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457200</wp:posOffset>
            </wp:positionV>
            <wp:extent cx="6629400" cy="891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9400" cy="891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48"/>
          <w:szCs w:val="48"/>
          <w:b w:val="1"/>
          <w:bCs w:val="1"/>
          <w:color w:val="FFFFFF"/>
        </w:rPr>
        <w:t>Annual Report</w:t>
      </w:r>
    </w:p>
    <w:p>
      <w:pPr>
        <w:sectPr>
          <w:pgSz w:w="11880" w:h="15480" w:orient="portrait"/>
          <w:cols w:equalWidth="0" w:num="1">
            <w:col w:w="9000"/>
          </w:cols>
          <w:pgMar w:left="1440" w:top="1440" w:right="1440" w:bottom="1440" w:gutter="0" w:footer="0" w:header="0"/>
        </w:sectPr>
      </w:pPr>
    </w:p>
    <w:bookmarkStart w:id="1" w:name="page2"/>
    <w:bookmarkEnd w:id="1"/>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jc w:val="center"/>
        <w:ind w:right="-39"/>
        <w:spacing w:after="0"/>
        <w:rPr>
          <w:sz w:val="20"/>
          <w:szCs w:val="20"/>
          <w:color w:val="auto"/>
        </w:rPr>
      </w:pPr>
      <w:r>
        <w:rPr>
          <w:rFonts w:ascii="Arial" w:cs="Arial" w:eastAsia="Arial" w:hAnsi="Arial"/>
          <w:sz w:val="16"/>
          <w:szCs w:val="16"/>
          <w:b w:val="1"/>
          <w:bCs w:val="1"/>
          <w:color w:val="auto"/>
        </w:rPr>
        <w:t>UNITED STATES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AND EXCHANGE COMMISSION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1947545</wp:posOffset>
                </wp:positionH>
                <wp:positionV relativeFrom="paragraph">
                  <wp:posOffset>95250</wp:posOffset>
                </wp:positionV>
                <wp:extent cx="284543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45435" cy="4763"/>
                        </a:xfrm>
                        <a:prstGeom prst="line">
                          <a:avLst/>
                        </a:prstGeom>
                        <a:solidFill>
                          <a:srgbClr val="FFFFFF"/>
                        </a:solidFill>
                        <a:ln w="11353">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35pt,7.5pt" to="377.4pt,7.5pt" o:allowincell="f" strokecolor="#000000" strokeweight="0.8939pt"/>
            </w:pict>
          </mc:Fallback>
        </mc:AlternateContent>
      </w:r>
    </w:p>
    <w:p>
      <w:pPr>
        <w:spacing w:after="0" w:line="128"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1947545</wp:posOffset>
                </wp:positionH>
                <wp:positionV relativeFrom="paragraph">
                  <wp:posOffset>17145</wp:posOffset>
                </wp:positionV>
                <wp:extent cx="284543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45435" cy="4763"/>
                        </a:xfrm>
                        <a:prstGeom prst="line">
                          <a:avLst/>
                        </a:prstGeom>
                        <a:solidFill>
                          <a:srgbClr val="FFFFFF"/>
                        </a:solidFill>
                        <a:ln w="11353">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35pt,1.35pt" to="377.4pt,1.35pt" o:allowincell="f" strokecolor="#000000" strokeweight="0.8939pt"/>
            </w:pict>
          </mc:Fallback>
        </mc:AlternateContent>
      </w:r>
    </w:p>
    <w:p>
      <w:pPr>
        <w:spacing w:after="0" w:line="67" w:lineRule="exact"/>
        <w:rPr>
          <w:sz w:val="20"/>
          <w:szCs w:val="20"/>
          <w:color w:val="auto"/>
        </w:rPr>
      </w:pPr>
    </w:p>
    <w:p>
      <w:pPr>
        <w:ind w:left="680" w:hanging="637"/>
        <w:spacing w:after="0"/>
        <w:tabs>
          <w:tab w:leader="none" w:pos="680" w:val="left"/>
        </w:tabs>
        <w:numPr>
          <w:ilvl w:val="0"/>
          <w:numId w:val="1"/>
        </w:numPr>
        <w:rPr>
          <w:rFonts w:ascii="MS PGothic" w:cs="MS PGothic" w:eastAsia="MS PGothic" w:hAnsi="MS PGothic"/>
          <w:sz w:val="14"/>
          <w:szCs w:val="14"/>
          <w:b w:val="1"/>
          <w:bCs w:val="1"/>
          <w:color w:val="auto"/>
        </w:rPr>
      </w:pPr>
      <w:r>
        <w:rPr>
          <w:rFonts w:ascii="Arial" w:cs="Arial" w:eastAsia="Arial" w:hAnsi="Arial"/>
          <w:sz w:val="14"/>
          <w:szCs w:val="14"/>
          <w:b w:val="1"/>
          <w:bCs w:val="1"/>
          <w:color w:val="auto"/>
        </w:rPr>
        <w:t>ANNUAL REPORT PURSUANT TO SECTION 13 OR 15(d) OF THE SECURITIES EXCHANGE ACT OF 1934</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 the fiscal year ended December 31, 2025</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OR</w:t>
      </w:r>
    </w:p>
    <w:p>
      <w:pPr>
        <w:spacing w:after="0" w:line="50" w:lineRule="exact"/>
        <w:rPr>
          <w:sz w:val="20"/>
          <w:szCs w:val="20"/>
          <w:color w:val="auto"/>
        </w:rPr>
      </w:pPr>
    </w:p>
    <w:p>
      <w:pPr>
        <w:ind w:left="680" w:hanging="637"/>
        <w:spacing w:after="0"/>
        <w:tabs>
          <w:tab w:leader="none" w:pos="680" w:val="left"/>
        </w:tabs>
        <w:numPr>
          <w:ilvl w:val="0"/>
          <w:numId w:val="2"/>
        </w:numPr>
        <w:rPr>
          <w:rFonts w:ascii="MS PGothic" w:cs="MS PGothic" w:eastAsia="MS PGothic" w:hAnsi="MS PGothic"/>
          <w:sz w:val="14"/>
          <w:szCs w:val="14"/>
          <w:b w:val="1"/>
          <w:bCs w:val="1"/>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8" w:lineRule="exact"/>
        <w:rPr>
          <w:sz w:val="20"/>
          <w:szCs w:val="20"/>
          <w:color w:val="auto"/>
        </w:rPr>
      </w:pPr>
    </w:p>
    <w:p>
      <w:pPr>
        <w:ind w:left="640"/>
        <w:spacing w:after="0"/>
        <w:tabs>
          <w:tab w:leader="none" w:pos="292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1"/>
          <w:szCs w:val="11"/>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1887855</wp:posOffset>
            </wp:positionH>
            <wp:positionV relativeFrom="paragraph">
              <wp:posOffset>69215</wp:posOffset>
            </wp:positionV>
            <wp:extent cx="302514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3025140" cy="56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72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4"/>
              </w:rPr>
              <w:t>Commission</w:t>
            </w:r>
          </w:p>
        </w:tc>
        <w:tc>
          <w:tcPr>
            <w:tcW w:w="6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6"/>
              </w:rPr>
              <w:t>Exact Name of Registrant as Specified in</w:t>
            </w:r>
          </w:p>
        </w:tc>
        <w:tc>
          <w:tcPr>
            <w:tcW w:w="40" w:type="dxa"/>
            <w:vAlign w:val="bottom"/>
          </w:tcPr>
          <w:p>
            <w:pPr>
              <w:spacing w:after="0"/>
              <w:rPr>
                <w:sz w:val="13"/>
                <w:szCs w:val="13"/>
                <w:color w:val="auto"/>
              </w:rPr>
            </w:pPr>
          </w:p>
        </w:tc>
        <w:tc>
          <w:tcPr>
            <w:tcW w:w="1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Principal Executive Office</w:t>
            </w:r>
          </w:p>
        </w:tc>
        <w:tc>
          <w:tcPr>
            <w:tcW w:w="100" w:type="dxa"/>
            <w:vAlign w:val="bottom"/>
          </w:tcPr>
          <w:p>
            <w:pPr>
              <w:spacing w:after="0"/>
              <w:rPr>
                <w:sz w:val="13"/>
                <w:szCs w:val="13"/>
                <w:color w:val="auto"/>
              </w:rPr>
            </w:pPr>
          </w:p>
        </w:tc>
        <w:tc>
          <w:tcPr>
            <w:tcW w:w="118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w w:val="91"/>
              </w:rPr>
              <w:t>Telephone Number</w:t>
            </w:r>
          </w:p>
        </w:tc>
        <w:tc>
          <w:tcPr>
            <w:tcW w:w="6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3"/>
              </w:rPr>
              <w:t>State of</w:t>
            </w:r>
          </w:p>
        </w:tc>
        <w:tc>
          <w:tcPr>
            <w:tcW w:w="6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60" w:type="dxa"/>
            <w:vAlign w:val="bottom"/>
          </w:tcPr>
          <w:p>
            <w:pPr>
              <w:spacing w:after="0"/>
              <w:rPr>
                <w:sz w:val="8"/>
                <w:szCs w:val="8"/>
                <w:color w:val="auto"/>
              </w:rPr>
            </w:pPr>
          </w:p>
        </w:tc>
        <w:tc>
          <w:tcPr>
            <w:tcW w:w="23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its Charter</w:t>
            </w: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Address</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Incorporation</w:t>
            </w:r>
          </w:p>
        </w:tc>
        <w:tc>
          <w:tcPr>
            <w:tcW w:w="6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001-06033</w:t>
            </w:r>
          </w:p>
        </w:tc>
        <w:tc>
          <w:tcPr>
            <w:tcW w:w="60" w:type="dxa"/>
            <w:vAlign w:val="bottom"/>
          </w:tcPr>
          <w:p>
            <w:pPr>
              <w:spacing w:after="0"/>
              <w:rPr>
                <w:sz w:val="14"/>
                <w:szCs w:val="14"/>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United Airlines Holdings, Inc.</w:t>
            </w:r>
          </w:p>
        </w:tc>
        <w:tc>
          <w:tcPr>
            <w:tcW w:w="40" w:type="dxa"/>
            <w:vAlign w:val="bottom"/>
          </w:tcPr>
          <w:p>
            <w:pPr>
              <w:spacing w:after="0"/>
              <w:rPr>
                <w:sz w:val="14"/>
                <w:szCs w:val="14"/>
                <w:color w:val="auto"/>
              </w:rPr>
            </w:pPr>
          </w:p>
        </w:tc>
        <w:tc>
          <w:tcPr>
            <w:tcW w:w="1780" w:type="dxa"/>
            <w:vAlign w:val="bottom"/>
            <w:gridSpan w:val="3"/>
          </w:tcPr>
          <w:p>
            <w:pPr>
              <w:ind w:left="60"/>
              <w:spacing w:after="0"/>
              <w:rPr>
                <w:sz w:val="20"/>
                <w:szCs w:val="20"/>
                <w:color w:val="auto"/>
              </w:rPr>
            </w:pPr>
            <w:r>
              <w:rPr>
                <w:rFonts w:ascii="Arial" w:cs="Arial" w:eastAsia="Arial" w:hAnsi="Arial"/>
                <w:sz w:val="13"/>
                <w:szCs w:val="13"/>
                <w:color w:val="auto"/>
              </w:rPr>
              <w:t>233 South Wacker Drive,</w:t>
            </w:r>
          </w:p>
        </w:tc>
        <w:tc>
          <w:tcPr>
            <w:tcW w:w="560" w:type="dxa"/>
            <w:vAlign w:val="bottom"/>
            <w:gridSpan w:val="2"/>
          </w:tcPr>
          <w:p>
            <w:pPr>
              <w:jc w:val="right"/>
              <w:ind w:right="77"/>
              <w:spacing w:after="0"/>
              <w:rPr>
                <w:sz w:val="20"/>
                <w:szCs w:val="20"/>
                <w:color w:val="auto"/>
              </w:rPr>
            </w:pPr>
            <w:r>
              <w:rPr>
                <w:rFonts w:ascii="Arial" w:cs="Arial" w:eastAsia="Arial" w:hAnsi="Arial"/>
                <w:sz w:val="13"/>
                <w:szCs w:val="13"/>
                <w:color w:val="auto"/>
              </w:rPr>
              <w:t>(872)</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825-4000</w:t>
            </w:r>
          </w:p>
        </w:tc>
        <w:tc>
          <w:tcPr>
            <w:tcW w:w="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87"/>
              </w:rPr>
              <w:t>Delaware</w:t>
            </w:r>
          </w:p>
        </w:tc>
        <w:tc>
          <w:tcPr>
            <w:tcW w:w="1500" w:type="dxa"/>
            <w:vAlign w:val="bottom"/>
            <w:gridSpan w:val="2"/>
          </w:tcPr>
          <w:p>
            <w:pPr>
              <w:jc w:val="center"/>
              <w:spacing w:after="0"/>
              <w:rPr>
                <w:sz w:val="20"/>
                <w:szCs w:val="20"/>
                <w:color w:val="auto"/>
              </w:rPr>
            </w:pPr>
            <w:r>
              <w:rPr>
                <w:rFonts w:ascii="Arial" w:cs="Arial" w:eastAsia="Arial" w:hAnsi="Arial"/>
                <w:sz w:val="13"/>
                <w:szCs w:val="13"/>
                <w:color w:val="auto"/>
                <w:w w:val="86"/>
              </w:rPr>
              <w:t>36-2675207</w:t>
            </w: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ind w:left="60"/>
              <w:spacing w:after="0"/>
              <w:rPr>
                <w:sz w:val="20"/>
                <w:szCs w:val="20"/>
                <w:color w:val="auto"/>
              </w:rPr>
            </w:pPr>
            <w:r>
              <w:rPr>
                <w:rFonts w:ascii="Arial" w:cs="Arial" w:eastAsia="Arial" w:hAnsi="Arial"/>
                <w:sz w:val="13"/>
                <w:szCs w:val="13"/>
                <w:color w:val="auto"/>
                <w:w w:val="97"/>
              </w:rPr>
              <w:t>Chicago,</w:t>
            </w:r>
          </w:p>
        </w:tc>
        <w:tc>
          <w:tcPr>
            <w:tcW w:w="600" w:type="dxa"/>
            <w:vAlign w:val="bottom"/>
          </w:tcPr>
          <w:p>
            <w:pPr>
              <w:ind w:left="60"/>
              <w:spacing w:after="0"/>
              <w:rPr>
                <w:sz w:val="20"/>
                <w:szCs w:val="20"/>
                <w:color w:val="auto"/>
              </w:rPr>
            </w:pPr>
            <w:r>
              <w:rPr>
                <w:rFonts w:ascii="Arial" w:cs="Arial" w:eastAsia="Arial" w:hAnsi="Arial"/>
                <w:sz w:val="13"/>
                <w:szCs w:val="13"/>
                <w:color w:val="auto"/>
              </w:rPr>
              <w:t>Illinois</w:t>
            </w:r>
          </w:p>
        </w:tc>
        <w:tc>
          <w:tcPr>
            <w:tcW w:w="600" w:type="dxa"/>
            <w:vAlign w:val="bottom"/>
          </w:tcPr>
          <w:p>
            <w:pPr>
              <w:jc w:val="right"/>
              <w:ind w:right="177"/>
              <w:spacing w:after="0"/>
              <w:rPr>
                <w:sz w:val="20"/>
                <w:szCs w:val="20"/>
                <w:color w:val="auto"/>
              </w:rPr>
            </w:pPr>
            <w:r>
              <w:rPr>
                <w:rFonts w:ascii="Arial" w:cs="Arial" w:eastAsia="Arial" w:hAnsi="Arial"/>
                <w:sz w:val="13"/>
                <w:szCs w:val="13"/>
                <w:color w:val="auto"/>
                <w:w w:val="93"/>
              </w:rPr>
              <w:t>60606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001-10323</w:t>
            </w:r>
          </w:p>
        </w:tc>
        <w:tc>
          <w:tcPr>
            <w:tcW w:w="60" w:type="dxa"/>
            <w:vAlign w:val="bottom"/>
          </w:tcPr>
          <w:p>
            <w:pPr>
              <w:spacing w:after="0"/>
              <w:rPr>
                <w:sz w:val="23"/>
                <w:szCs w:val="2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United Airlines, Inc.</w:t>
            </w:r>
          </w:p>
        </w:tc>
        <w:tc>
          <w:tcPr>
            <w:tcW w:w="40" w:type="dxa"/>
            <w:vAlign w:val="bottom"/>
          </w:tcPr>
          <w:p>
            <w:pPr>
              <w:spacing w:after="0"/>
              <w:rPr>
                <w:sz w:val="23"/>
                <w:szCs w:val="23"/>
                <w:color w:val="auto"/>
              </w:rPr>
            </w:pPr>
          </w:p>
        </w:tc>
        <w:tc>
          <w:tcPr>
            <w:tcW w:w="1780" w:type="dxa"/>
            <w:vAlign w:val="bottom"/>
            <w:gridSpan w:val="3"/>
          </w:tcPr>
          <w:p>
            <w:pPr>
              <w:ind w:left="60"/>
              <w:spacing w:after="0"/>
              <w:rPr>
                <w:sz w:val="20"/>
                <w:szCs w:val="20"/>
                <w:color w:val="auto"/>
              </w:rPr>
            </w:pPr>
            <w:r>
              <w:rPr>
                <w:rFonts w:ascii="Arial" w:cs="Arial" w:eastAsia="Arial" w:hAnsi="Arial"/>
                <w:sz w:val="13"/>
                <w:szCs w:val="13"/>
                <w:color w:val="auto"/>
              </w:rPr>
              <w:t>233 South Wacker Drive,</w:t>
            </w:r>
          </w:p>
        </w:tc>
        <w:tc>
          <w:tcPr>
            <w:tcW w:w="560" w:type="dxa"/>
            <w:vAlign w:val="bottom"/>
            <w:gridSpan w:val="2"/>
          </w:tcPr>
          <w:p>
            <w:pPr>
              <w:jc w:val="right"/>
              <w:ind w:right="77"/>
              <w:spacing w:after="0"/>
              <w:rPr>
                <w:sz w:val="20"/>
                <w:szCs w:val="20"/>
                <w:color w:val="auto"/>
              </w:rPr>
            </w:pPr>
            <w:r>
              <w:rPr>
                <w:rFonts w:ascii="Arial" w:cs="Arial" w:eastAsia="Arial" w:hAnsi="Arial"/>
                <w:sz w:val="13"/>
                <w:szCs w:val="13"/>
                <w:color w:val="auto"/>
              </w:rPr>
              <w:t>(872)</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825-4000</w:t>
            </w:r>
          </w:p>
        </w:tc>
        <w:tc>
          <w:tcPr>
            <w:tcW w:w="6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87"/>
              </w:rPr>
              <w:t>Delaware</w:t>
            </w:r>
          </w:p>
        </w:tc>
        <w:tc>
          <w:tcPr>
            <w:tcW w:w="1500" w:type="dxa"/>
            <w:vAlign w:val="bottom"/>
            <w:gridSpan w:val="2"/>
          </w:tcPr>
          <w:p>
            <w:pPr>
              <w:jc w:val="center"/>
              <w:spacing w:after="0"/>
              <w:rPr>
                <w:sz w:val="20"/>
                <w:szCs w:val="20"/>
                <w:color w:val="auto"/>
              </w:rPr>
            </w:pPr>
            <w:r>
              <w:rPr>
                <w:rFonts w:ascii="Arial" w:cs="Arial" w:eastAsia="Arial" w:hAnsi="Arial"/>
                <w:sz w:val="13"/>
                <w:szCs w:val="13"/>
                <w:color w:val="auto"/>
                <w:w w:val="86"/>
              </w:rPr>
              <w:t>74-2099724</w:t>
            </w:r>
          </w:p>
        </w:tc>
        <w:tc>
          <w:tcPr>
            <w:tcW w:w="0" w:type="dxa"/>
            <w:vAlign w:val="bottom"/>
          </w:tcPr>
          <w:p>
            <w:pPr>
              <w:spacing w:after="0"/>
              <w:rPr>
                <w:sz w:val="1"/>
                <w:szCs w:val="1"/>
                <w:color w:val="auto"/>
              </w:rPr>
            </w:pPr>
          </w:p>
        </w:tc>
      </w:tr>
      <w:tr>
        <w:trPr>
          <w:trHeight w:val="213"/>
        </w:trPr>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w w:val="97"/>
              </w:rPr>
              <w:t>Chicago,</w:t>
            </w: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Illinois</w:t>
            </w: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93"/>
              </w:rPr>
              <w:t>60606</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880" w:h="15480" w:orient="portrait"/>
          <w:cols w:equalWidth="0" w:num="1">
            <w:col w:w="10580"/>
          </w:cols>
          <w:pgMar w:left="680" w:top="759" w:right="620" w:bottom="258" w:gutter="0" w:footer="0" w:header="0"/>
        </w:sectPr>
      </w:pPr>
    </w:p>
    <w:p>
      <w:pPr>
        <w:spacing w:after="0" w:line="37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United Airlines Holdings, Inc.</w:t>
      </w: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1"/>
          <w:szCs w:val="11"/>
          <w:color w:val="auto"/>
        </w:rPr>
        <w:t>United Airlines,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4100" w:type="dxa"/>
            <w:vAlign w:val="bottom"/>
            <w:gridSpan w:val="4"/>
          </w:tcPr>
          <w:p>
            <w:pPr>
              <w:ind w:left="1020"/>
              <w:spacing w:after="0"/>
              <w:rPr>
                <w:sz w:val="20"/>
                <w:szCs w:val="20"/>
                <w:color w:val="auto"/>
              </w:rPr>
            </w:pPr>
            <w:r>
              <w:rPr>
                <w:rFonts w:ascii="Arial" w:cs="Arial" w:eastAsia="Arial" w:hAnsi="Arial"/>
                <w:sz w:val="13"/>
                <w:szCs w:val="13"/>
                <w:b w:val="1"/>
                <w:bCs w:val="1"/>
                <w:color w:val="auto"/>
                <w:w w:val="85"/>
              </w:rPr>
              <w:t>Securities registered pursuant to Section 12(b) of the Act:</w:t>
            </w:r>
          </w:p>
        </w:tc>
        <w:tc>
          <w:tcPr>
            <w:tcW w:w="2960" w:type="dxa"/>
            <w:vAlign w:val="bottom"/>
          </w:tcPr>
          <w:p>
            <w:pPr>
              <w:spacing w:after="0"/>
              <w:rPr>
                <w:sz w:val="14"/>
                <w:szCs w:val="14"/>
                <w:color w:val="auto"/>
              </w:rPr>
            </w:pPr>
          </w:p>
        </w:tc>
      </w:tr>
      <w:tr>
        <w:trPr>
          <w:trHeight w:val="191"/>
        </w:trPr>
        <w:tc>
          <w:tcPr>
            <w:tcW w:w="1960" w:type="dxa"/>
            <w:vAlign w:val="bottom"/>
          </w:tcPr>
          <w:p>
            <w:pPr>
              <w:ind w:left="480"/>
              <w:spacing w:after="0"/>
              <w:rPr>
                <w:sz w:val="20"/>
                <w:szCs w:val="20"/>
                <w:color w:val="auto"/>
              </w:rPr>
            </w:pPr>
            <w:r>
              <w:rPr>
                <w:rFonts w:ascii="Arial" w:cs="Arial" w:eastAsia="Arial" w:hAnsi="Arial"/>
                <w:sz w:val="13"/>
                <w:szCs w:val="13"/>
                <w:b w:val="1"/>
                <w:bCs w:val="1"/>
                <w:color w:val="auto"/>
              </w:rPr>
              <w:t>Title of Each Class</w:t>
            </w:r>
          </w:p>
        </w:tc>
        <w:tc>
          <w:tcPr>
            <w:tcW w:w="160" w:type="dxa"/>
            <w:vAlign w:val="bottom"/>
          </w:tcPr>
          <w:p>
            <w:pPr>
              <w:spacing w:after="0"/>
              <w:rPr>
                <w:sz w:val="16"/>
                <w:szCs w:val="16"/>
                <w:color w:val="auto"/>
              </w:rPr>
            </w:pPr>
          </w:p>
        </w:tc>
        <w:tc>
          <w:tcPr>
            <w:tcW w:w="1980" w:type="dxa"/>
            <w:vAlign w:val="bottom"/>
            <w:gridSpan w:val="2"/>
          </w:tcPr>
          <w:p>
            <w:pPr>
              <w:ind w:left="480"/>
              <w:spacing w:after="0"/>
              <w:rPr>
                <w:sz w:val="20"/>
                <w:szCs w:val="20"/>
                <w:color w:val="auto"/>
              </w:rPr>
            </w:pPr>
            <w:r>
              <w:rPr>
                <w:rFonts w:ascii="Arial" w:cs="Arial" w:eastAsia="Arial" w:hAnsi="Arial"/>
                <w:sz w:val="13"/>
                <w:szCs w:val="13"/>
                <w:b w:val="1"/>
                <w:bCs w:val="1"/>
                <w:color w:val="auto"/>
              </w:rPr>
              <w:t>Trading Symbol</w:t>
            </w:r>
          </w:p>
        </w:tc>
        <w:tc>
          <w:tcPr>
            <w:tcW w:w="2960" w:type="dxa"/>
            <w:vAlign w:val="bottom"/>
          </w:tcPr>
          <w:p>
            <w:pPr>
              <w:ind w:left="260"/>
              <w:spacing w:after="0"/>
              <w:rPr>
                <w:sz w:val="20"/>
                <w:szCs w:val="20"/>
                <w:color w:val="auto"/>
              </w:rPr>
            </w:pPr>
            <w:r>
              <w:rPr>
                <w:rFonts w:ascii="Arial" w:cs="Arial" w:eastAsia="Arial" w:hAnsi="Arial"/>
                <w:sz w:val="13"/>
                <w:szCs w:val="13"/>
                <w:b w:val="1"/>
                <w:bCs w:val="1"/>
                <w:color w:val="auto"/>
                <w:w w:val="94"/>
              </w:rPr>
              <w:t>Name of Each Exchange on Which Registered</w:t>
            </w:r>
          </w:p>
        </w:tc>
      </w:tr>
      <w:tr>
        <w:trPr>
          <w:trHeight w:val="160"/>
        </w:trPr>
        <w:tc>
          <w:tcPr>
            <w:tcW w:w="196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Common Stock, $0.01 par value</w:t>
            </w:r>
          </w:p>
        </w:tc>
        <w:tc>
          <w:tcPr>
            <w:tcW w:w="160" w:type="dxa"/>
            <w:vAlign w:val="bottom"/>
          </w:tcPr>
          <w:p>
            <w:pPr>
              <w:spacing w:after="0"/>
              <w:rPr>
                <w:sz w:val="13"/>
                <w:szCs w:val="13"/>
                <w:color w:val="auto"/>
              </w:rPr>
            </w:pPr>
          </w:p>
        </w:tc>
        <w:tc>
          <w:tcPr>
            <w:tcW w:w="184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UAL</w:t>
            </w:r>
          </w:p>
        </w:tc>
        <w:tc>
          <w:tcPr>
            <w:tcW w:w="140" w:type="dxa"/>
            <w:vAlign w:val="bottom"/>
          </w:tcPr>
          <w:p>
            <w:pPr>
              <w:spacing w:after="0"/>
              <w:rPr>
                <w:sz w:val="13"/>
                <w:szCs w:val="13"/>
                <w:color w:val="auto"/>
              </w:rPr>
            </w:pPr>
          </w:p>
        </w:tc>
        <w:tc>
          <w:tcPr>
            <w:tcW w:w="296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The Nasdaq Stock Market LLC</w:t>
            </w:r>
          </w:p>
        </w:tc>
      </w:tr>
      <w:tr>
        <w:trPr>
          <w:trHeight w:val="164"/>
        </w:trPr>
        <w:tc>
          <w:tcPr>
            <w:tcW w:w="1960" w:type="dxa"/>
            <w:vAlign w:val="bottom"/>
          </w:tcPr>
          <w:p>
            <w:pPr>
              <w:ind w:left="40"/>
              <w:spacing w:after="0"/>
              <w:rPr>
                <w:sz w:val="20"/>
                <w:szCs w:val="20"/>
                <w:color w:val="auto"/>
              </w:rPr>
            </w:pPr>
            <w:r>
              <w:rPr>
                <w:rFonts w:ascii="Arial" w:cs="Arial" w:eastAsia="Arial" w:hAnsi="Arial"/>
                <w:sz w:val="13"/>
                <w:szCs w:val="13"/>
                <w:color w:val="auto"/>
              </w:rPr>
              <w:t>Preferred Stock Purchase Rights</w:t>
            </w:r>
          </w:p>
        </w:tc>
        <w:tc>
          <w:tcPr>
            <w:tcW w:w="160" w:type="dxa"/>
            <w:vAlign w:val="bottom"/>
          </w:tcPr>
          <w:p>
            <w:pPr>
              <w:spacing w:after="0"/>
              <w:rPr>
                <w:sz w:val="14"/>
                <w:szCs w:val="14"/>
                <w:color w:val="auto"/>
              </w:rPr>
            </w:pPr>
          </w:p>
        </w:tc>
        <w:tc>
          <w:tcPr>
            <w:tcW w:w="1980" w:type="dxa"/>
            <w:vAlign w:val="bottom"/>
            <w:gridSpan w:val="2"/>
          </w:tcPr>
          <w:p>
            <w:pPr>
              <w:ind w:left="40"/>
              <w:spacing w:after="0"/>
              <w:rPr>
                <w:sz w:val="20"/>
                <w:szCs w:val="20"/>
                <w:color w:val="auto"/>
              </w:rPr>
            </w:pPr>
            <w:r>
              <w:rPr>
                <w:rFonts w:ascii="Arial" w:cs="Arial" w:eastAsia="Arial" w:hAnsi="Arial"/>
                <w:sz w:val="13"/>
                <w:szCs w:val="13"/>
                <w:color w:val="auto"/>
              </w:rPr>
              <w:t>None</w:t>
            </w:r>
          </w:p>
        </w:tc>
        <w:tc>
          <w:tcPr>
            <w:tcW w:w="2960" w:type="dxa"/>
            <w:vAlign w:val="bottom"/>
          </w:tcPr>
          <w:p>
            <w:pPr>
              <w:ind w:left="40"/>
              <w:spacing w:after="0"/>
              <w:rPr>
                <w:sz w:val="20"/>
                <w:szCs w:val="20"/>
                <w:color w:val="auto"/>
              </w:rPr>
            </w:pPr>
            <w:r>
              <w:rPr>
                <w:rFonts w:ascii="Arial" w:cs="Arial" w:eastAsia="Arial" w:hAnsi="Arial"/>
                <w:sz w:val="13"/>
                <w:szCs w:val="13"/>
                <w:color w:val="auto"/>
              </w:rPr>
              <w:t>The Nasdaq Stock Market LLC</w:t>
            </w:r>
          </w:p>
        </w:tc>
      </w:tr>
      <w:tr>
        <w:trPr>
          <w:trHeight w:val="174"/>
        </w:trPr>
        <w:tc>
          <w:tcPr>
            <w:tcW w:w="1960" w:type="dxa"/>
            <w:vAlign w:val="bottom"/>
          </w:tcPr>
          <w:p>
            <w:pPr>
              <w:ind w:left="40"/>
              <w:spacing w:after="0"/>
              <w:rPr>
                <w:sz w:val="20"/>
                <w:szCs w:val="20"/>
                <w:color w:val="auto"/>
              </w:rPr>
            </w:pPr>
            <w:r>
              <w:rPr>
                <w:rFonts w:ascii="Arial" w:cs="Arial" w:eastAsia="Arial" w:hAnsi="Arial"/>
                <w:sz w:val="13"/>
                <w:szCs w:val="13"/>
                <w:color w:val="auto"/>
              </w:rPr>
              <w:t>None</w:t>
            </w:r>
          </w:p>
        </w:tc>
        <w:tc>
          <w:tcPr>
            <w:tcW w:w="160" w:type="dxa"/>
            <w:vAlign w:val="bottom"/>
          </w:tcPr>
          <w:p>
            <w:pPr>
              <w:spacing w:after="0"/>
              <w:rPr>
                <w:sz w:val="15"/>
                <w:szCs w:val="15"/>
                <w:color w:val="auto"/>
              </w:rPr>
            </w:pPr>
          </w:p>
        </w:tc>
        <w:tc>
          <w:tcPr>
            <w:tcW w:w="1980" w:type="dxa"/>
            <w:vAlign w:val="bottom"/>
            <w:gridSpan w:val="2"/>
          </w:tcPr>
          <w:p>
            <w:pPr>
              <w:ind w:left="40"/>
              <w:spacing w:after="0"/>
              <w:rPr>
                <w:sz w:val="20"/>
                <w:szCs w:val="20"/>
                <w:color w:val="auto"/>
              </w:rPr>
            </w:pPr>
            <w:r>
              <w:rPr>
                <w:rFonts w:ascii="Arial" w:cs="Arial" w:eastAsia="Arial" w:hAnsi="Arial"/>
                <w:sz w:val="13"/>
                <w:szCs w:val="13"/>
                <w:color w:val="auto"/>
              </w:rPr>
              <w:t>None</w:t>
            </w:r>
          </w:p>
        </w:tc>
        <w:tc>
          <w:tcPr>
            <w:tcW w:w="2960" w:type="dxa"/>
            <w:vAlign w:val="bottom"/>
          </w:tcPr>
          <w:p>
            <w:pPr>
              <w:ind w:left="40"/>
              <w:spacing w:after="0"/>
              <w:rPr>
                <w:sz w:val="20"/>
                <w:szCs w:val="20"/>
                <w:color w:val="auto"/>
              </w:rPr>
            </w:pPr>
            <w:r>
              <w:rPr>
                <w:rFonts w:ascii="Arial" w:cs="Arial" w:eastAsia="Arial" w:hAnsi="Arial"/>
                <w:sz w:val="13"/>
                <w:szCs w:val="13"/>
                <w:color w:val="auto"/>
              </w:rPr>
              <w:t>None</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-1248410</wp:posOffset>
                </wp:positionH>
                <wp:positionV relativeFrom="paragraph">
                  <wp:posOffset>9525</wp:posOffset>
                </wp:positionV>
                <wp:extent cx="573278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4763"/>
                        </a:xfrm>
                        <a:prstGeom prst="line">
                          <a:avLst/>
                        </a:prstGeom>
                        <a:solidFill>
                          <a:srgbClr val="FFFFFF"/>
                        </a:solidFill>
                        <a:ln w="11353">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8.2999pt,0.75pt" to="353.1pt,0.75pt" o:allowincell="f" strokecolor="#000000" strokeweight="0.8939pt"/>
            </w:pict>
          </mc:Fallback>
        </mc:AlternateContent>
      </w:r>
    </w:p>
    <w:p>
      <w:pPr>
        <w:spacing w:after="0" w:line="62" w:lineRule="exact"/>
        <w:rPr>
          <w:sz w:val="20"/>
          <w:szCs w:val="20"/>
          <w:color w:val="auto"/>
        </w:rPr>
      </w:pPr>
    </w:p>
    <w:p>
      <w:pPr>
        <w:sectPr>
          <w:pgSz w:w="11880" w:h="15480" w:orient="portrait"/>
          <w:cols w:equalWidth="0" w:num="2">
            <w:col w:w="2360" w:space="400"/>
            <w:col w:w="7820"/>
          </w:cols>
          <w:pgMar w:left="680" w:top="759" w:right="620" w:bottom="258" w:gutter="0" w:footer="0" w:header="0"/>
          <w:type w:val="continuous"/>
        </w:sectPr>
      </w:pPr>
    </w:p>
    <w:p>
      <w:pPr>
        <w:jc w:val="center"/>
        <w:ind w:right="-39"/>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128" w:lineRule="exact"/>
        <w:rPr>
          <w:sz w:val="20"/>
          <w:szCs w:val="20"/>
          <w:color w:val="auto"/>
        </w:rPr>
      </w:pPr>
    </w:p>
    <w:tbl>
      <w:tblPr>
        <w:tblLayout w:type="fixed"/>
        <w:tblInd w:w="3180" w:type="dxa"/>
        <w:tblCellMar>
          <w:top w:w="0" w:type="dxa"/>
          <w:left w:w="0" w:type="dxa"/>
          <w:bottom w:w="0" w:type="dxa"/>
          <w:right w:w="0" w:type="dxa"/>
        </w:tblCellMar>
      </w:tblPr>
      <w:tr>
        <w:trPr>
          <w:trHeight w:val="174"/>
        </w:trPr>
        <w:tc>
          <w:tcPr>
            <w:tcW w:w="1860" w:type="dxa"/>
            <w:vAlign w:val="bottom"/>
          </w:tcPr>
          <w:p>
            <w:pPr>
              <w:spacing w:after="0"/>
              <w:rPr>
                <w:sz w:val="20"/>
                <w:szCs w:val="20"/>
                <w:color w:val="auto"/>
              </w:rPr>
            </w:pPr>
            <w:r>
              <w:rPr>
                <w:rFonts w:ascii="Arial" w:cs="Arial" w:eastAsia="Arial" w:hAnsi="Arial"/>
                <w:sz w:val="13"/>
                <w:szCs w:val="13"/>
                <w:color w:val="auto"/>
              </w:rPr>
              <w:t>United Airlines Holdings, Inc.</w:t>
            </w:r>
          </w:p>
        </w:tc>
        <w:tc>
          <w:tcPr>
            <w:tcW w:w="620" w:type="dxa"/>
            <w:vAlign w:val="bottom"/>
          </w:tcPr>
          <w:p>
            <w:pPr>
              <w:ind w:left="340"/>
              <w:spacing w:after="0"/>
              <w:rPr>
                <w:sz w:val="20"/>
                <w:szCs w:val="20"/>
                <w:color w:val="auto"/>
              </w:rPr>
            </w:pPr>
            <w:r>
              <w:rPr>
                <w:rFonts w:ascii="Arial" w:cs="Arial" w:eastAsia="Arial" w:hAnsi="Arial"/>
                <w:sz w:val="13"/>
                <w:szCs w:val="13"/>
                <w:color w:val="auto"/>
                <w:w w:val="83"/>
              </w:rPr>
              <w:t>None</w:t>
            </w:r>
          </w:p>
        </w:tc>
      </w:tr>
      <w:tr>
        <w:trPr>
          <w:trHeight w:val="177"/>
        </w:trPr>
        <w:tc>
          <w:tcPr>
            <w:tcW w:w="1860" w:type="dxa"/>
            <w:vAlign w:val="bottom"/>
          </w:tcPr>
          <w:p>
            <w:pPr>
              <w:spacing w:after="0"/>
              <w:rPr>
                <w:sz w:val="20"/>
                <w:szCs w:val="20"/>
                <w:color w:val="auto"/>
              </w:rPr>
            </w:pPr>
            <w:r>
              <w:rPr>
                <w:rFonts w:ascii="Arial" w:cs="Arial" w:eastAsia="Arial" w:hAnsi="Arial"/>
                <w:sz w:val="13"/>
                <w:szCs w:val="13"/>
                <w:color w:val="auto"/>
              </w:rPr>
              <w:t>United Airlines, Inc.</w:t>
            </w:r>
          </w:p>
        </w:tc>
        <w:tc>
          <w:tcPr>
            <w:tcW w:w="620" w:type="dxa"/>
            <w:vAlign w:val="bottom"/>
          </w:tcPr>
          <w:p>
            <w:pPr>
              <w:ind w:left="340"/>
              <w:spacing w:after="0"/>
              <w:rPr>
                <w:sz w:val="20"/>
                <w:szCs w:val="20"/>
                <w:color w:val="auto"/>
              </w:rPr>
            </w:pPr>
            <w:r>
              <w:rPr>
                <w:rFonts w:ascii="Arial" w:cs="Arial" w:eastAsia="Arial" w:hAnsi="Arial"/>
                <w:sz w:val="13"/>
                <w:szCs w:val="13"/>
                <w:color w:val="auto"/>
                <w:w w:val="83"/>
              </w:rPr>
              <w:t>None</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1951990</wp:posOffset>
                </wp:positionH>
                <wp:positionV relativeFrom="paragraph">
                  <wp:posOffset>35560</wp:posOffset>
                </wp:positionV>
                <wp:extent cx="283718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37180" cy="4763"/>
                        </a:xfrm>
                        <a:prstGeom prst="line">
                          <a:avLst/>
                        </a:prstGeom>
                        <a:solidFill>
                          <a:srgbClr val="FFFFFF"/>
                        </a:solidFill>
                        <a:ln w="11353">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7pt,2.8pt" to="377.1pt,2.8pt" o:allowincell="f" strokecolor="#000000" strokeweight="0.8939pt"/>
            </w:pict>
          </mc:Fallback>
        </mc:AlternateConten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49" w:lineRule="exact"/>
        <w:rPr>
          <w:sz w:val="20"/>
          <w:szCs w:val="20"/>
          <w:color w:val="auto"/>
        </w:rPr>
      </w:pPr>
    </w:p>
    <w:p>
      <w:pPr>
        <w:ind w:left="40"/>
        <w:spacing w:after="0" w:line="175" w:lineRule="exact"/>
        <w:tabs>
          <w:tab w:leader="none" w:pos="3800" w:val="left"/>
          <w:tab w:leader="none" w:pos="4160" w:val="left"/>
          <w:tab w:leader="none" w:pos="4540" w:val="left"/>
          <w:tab w:leader="none" w:pos="4900" w:val="left"/>
          <w:tab w:leader="none" w:pos="5420" w:val="left"/>
          <w:tab w:leader="none" w:pos="9220" w:val="left"/>
          <w:tab w:leader="none" w:pos="9580" w:val="left"/>
          <w:tab w:leader="none" w:pos="9940" w:val="left"/>
          <w:tab w:leader="none" w:pos="1030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3"/>
          <w:szCs w:val="13"/>
          <w:color w:val="auto"/>
        </w:rPr>
        <w:t>Yes</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United Airlines, Inc.</w:t>
      </w:r>
      <w:r>
        <w:rPr>
          <w:sz w:val="20"/>
          <w:szCs w:val="20"/>
          <w:color w:val="auto"/>
        </w:rPr>
        <w:tab/>
      </w:r>
      <w:r>
        <w:rPr>
          <w:rFonts w:ascii="Arial" w:cs="Arial" w:eastAsia="Arial" w:hAnsi="Arial"/>
          <w:sz w:val="13"/>
          <w:szCs w:val="13"/>
          <w:color w:val="auto"/>
        </w:rPr>
        <w:t>Yes</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Arial Unicode MS" w:cs="Arial Unicode MS" w:eastAsia="Arial Unicode MS" w:hAnsi="Arial Unicode MS"/>
          <w:sz w:val="13"/>
          <w:szCs w:val="13"/>
          <w:b w:val="1"/>
          <w:bCs w:val="1"/>
          <w:color w:val="auto"/>
        </w:rPr>
        <w:t>☐</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49" w:lineRule="exact"/>
        <w:rPr>
          <w:sz w:val="20"/>
          <w:szCs w:val="20"/>
          <w:color w:val="auto"/>
        </w:rPr>
      </w:pPr>
    </w:p>
    <w:p>
      <w:pPr>
        <w:ind w:left="40"/>
        <w:spacing w:after="0" w:line="175" w:lineRule="exact"/>
        <w:tabs>
          <w:tab w:leader="none" w:pos="3800" w:val="left"/>
          <w:tab w:leader="none" w:pos="4160" w:val="left"/>
          <w:tab w:leader="none" w:pos="4540" w:val="left"/>
          <w:tab w:leader="none" w:pos="4900" w:val="left"/>
          <w:tab w:leader="none" w:pos="5420" w:val="left"/>
          <w:tab w:leader="none" w:pos="9220" w:val="left"/>
          <w:tab w:leader="none" w:pos="9580" w:val="left"/>
          <w:tab w:leader="none" w:pos="9940" w:val="left"/>
          <w:tab w:leader="none" w:pos="1030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3"/>
          <w:szCs w:val="13"/>
          <w:color w:val="auto"/>
        </w:rPr>
        <w:t>Yes</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United Airlines, Inc.</w:t>
      </w:r>
      <w:r>
        <w:rPr>
          <w:sz w:val="20"/>
          <w:szCs w:val="20"/>
          <w:color w:val="auto"/>
        </w:rPr>
        <w:tab/>
      </w:r>
      <w:r>
        <w:rPr>
          <w:rFonts w:ascii="Arial" w:cs="Arial" w:eastAsia="Arial" w:hAnsi="Arial"/>
          <w:sz w:val="13"/>
          <w:szCs w:val="13"/>
          <w:color w:val="auto"/>
        </w:rPr>
        <w:t>Yes</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Arial Unicode MS" w:cs="Arial Unicode MS" w:eastAsia="Arial Unicode MS" w:hAnsi="Arial Unicode MS"/>
          <w:sz w:val="13"/>
          <w:szCs w:val="13"/>
          <w:b w:val="1"/>
          <w:bCs w:val="1"/>
          <w:color w:val="auto"/>
        </w:rPr>
        <w:t>☒</w:t>
      </w:r>
    </w:p>
    <w:p>
      <w:pPr>
        <w:spacing w:after="0" w:line="89"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0"/>
          <w:szCs w:val="20"/>
          <w:color w:val="auto"/>
        </w:rPr>
      </w:pPr>
    </w:p>
    <w:p>
      <w:pPr>
        <w:ind w:left="40"/>
        <w:spacing w:after="0" w:line="175" w:lineRule="exact"/>
        <w:tabs>
          <w:tab w:leader="none" w:pos="3800" w:val="left"/>
          <w:tab w:leader="none" w:pos="4160" w:val="left"/>
          <w:tab w:leader="none" w:pos="4540" w:val="left"/>
          <w:tab w:leader="none" w:pos="4900" w:val="left"/>
          <w:tab w:leader="none" w:pos="5420" w:val="left"/>
          <w:tab w:leader="none" w:pos="9220" w:val="left"/>
          <w:tab w:leader="none" w:pos="9580" w:val="left"/>
          <w:tab w:leader="none" w:pos="9940" w:val="left"/>
          <w:tab w:leader="none" w:pos="1030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3"/>
          <w:szCs w:val="13"/>
          <w:color w:val="auto"/>
        </w:rPr>
        <w:t>Yes</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United Airlines, Inc.</w:t>
      </w:r>
      <w:r>
        <w:rPr>
          <w:sz w:val="20"/>
          <w:szCs w:val="20"/>
          <w:color w:val="auto"/>
        </w:rPr>
        <w:tab/>
      </w:r>
      <w:r>
        <w:rPr>
          <w:rFonts w:ascii="Arial" w:cs="Arial" w:eastAsia="Arial" w:hAnsi="Arial"/>
          <w:sz w:val="13"/>
          <w:szCs w:val="13"/>
          <w:color w:val="auto"/>
        </w:rPr>
        <w:t>Yes</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Arial Unicode MS" w:cs="Arial Unicode MS" w:eastAsia="Arial Unicode MS" w:hAnsi="Arial Unicode MS"/>
          <w:sz w:val="13"/>
          <w:szCs w:val="13"/>
          <w:b w:val="1"/>
          <w:bCs w:val="1"/>
          <w:color w:val="auto"/>
        </w:rPr>
        <w:t>☐</w:t>
      </w:r>
    </w:p>
    <w:p>
      <w:pPr>
        <w:spacing w:after="0" w:line="83" w:lineRule="exact"/>
        <w:rPr>
          <w:sz w:val="20"/>
          <w:szCs w:val="20"/>
          <w:color w:val="auto"/>
        </w:rPr>
      </w:pPr>
    </w:p>
    <w:p>
      <w:pPr>
        <w:ind w:right="320"/>
        <w:spacing w:after="0" w:line="26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7" w:lineRule="exact"/>
        <w:rPr>
          <w:sz w:val="20"/>
          <w:szCs w:val="20"/>
          <w:color w:val="auto"/>
        </w:rPr>
      </w:pPr>
    </w:p>
    <w:p>
      <w:pPr>
        <w:ind w:left="40"/>
        <w:spacing w:after="0" w:line="175" w:lineRule="exact"/>
        <w:tabs>
          <w:tab w:leader="none" w:pos="3800" w:val="left"/>
          <w:tab w:leader="none" w:pos="4160" w:val="left"/>
          <w:tab w:leader="none" w:pos="4540" w:val="left"/>
          <w:tab w:leader="none" w:pos="4900" w:val="left"/>
          <w:tab w:leader="none" w:pos="5420" w:val="left"/>
          <w:tab w:leader="none" w:pos="9220" w:val="left"/>
          <w:tab w:leader="none" w:pos="9580" w:val="left"/>
          <w:tab w:leader="none" w:pos="9940" w:val="left"/>
          <w:tab w:leader="none" w:pos="1030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3"/>
          <w:szCs w:val="13"/>
          <w:color w:val="auto"/>
        </w:rPr>
        <w:t>Yes</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United Airlines, Inc.</w:t>
      </w:r>
      <w:r>
        <w:rPr>
          <w:sz w:val="20"/>
          <w:szCs w:val="20"/>
          <w:color w:val="auto"/>
        </w:rPr>
        <w:tab/>
      </w:r>
      <w:r>
        <w:rPr>
          <w:rFonts w:ascii="Arial" w:cs="Arial" w:eastAsia="Arial" w:hAnsi="Arial"/>
          <w:sz w:val="13"/>
          <w:szCs w:val="13"/>
          <w:color w:val="auto"/>
        </w:rPr>
        <w:t>Yes</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Arial Unicode MS" w:cs="Arial Unicode MS" w:eastAsia="Arial Unicode MS" w:hAnsi="Arial Unicode MS"/>
          <w:sz w:val="13"/>
          <w:szCs w:val="13"/>
          <w:b w:val="1"/>
          <w:bCs w:val="1"/>
          <w:color w:val="auto"/>
        </w:rPr>
        <w:t>☐</w:t>
      </w:r>
    </w:p>
    <w:p>
      <w:pPr>
        <w:spacing w:after="0" w:line="83"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0580"/>
          </w:cols>
          <w:pgMar w:left="680" w:top="759" w:right="620" w:bottom="258" w:gutter="0" w:footer="0" w:header="0"/>
          <w:type w:val="continuous"/>
        </w:sectPr>
      </w:pPr>
    </w:p>
    <w:p>
      <w:pPr>
        <w:spacing w:after="0" w:line="41" w:lineRule="exact"/>
        <w:rPr>
          <w:sz w:val="20"/>
          <w:szCs w:val="20"/>
          <w:color w:val="auto"/>
        </w:rPr>
      </w:pPr>
    </w:p>
    <w:p>
      <w:pPr>
        <w:ind w:left="40"/>
        <w:spacing w:after="0" w:line="175" w:lineRule="exact"/>
        <w:tabs>
          <w:tab w:leader="none" w:pos="2820" w:val="left"/>
          <w:tab w:leader="none" w:pos="4380" w:val="left"/>
          <w:tab w:leader="none" w:pos="5320" w:val="left"/>
          <w:tab w:leader="none" w:pos="5660" w:val="left"/>
          <w:tab w:leader="none" w:pos="6820" w:val="left"/>
          <w:tab w:leader="none" w:pos="7160" w:val="left"/>
          <w:tab w:leader="none" w:pos="8640" w:val="left"/>
          <w:tab w:leader="none" w:pos="898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Smaller reporting company</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1"/>
          <w:szCs w:val="11"/>
          <w:color w:val="auto"/>
        </w:rPr>
        <w:t>Emerging growth company</w:t>
      </w:r>
    </w:p>
    <w:p>
      <w:pPr>
        <w:spacing w:after="0" w:line="63" w:lineRule="exact"/>
        <w:rPr>
          <w:sz w:val="20"/>
          <w:szCs w:val="20"/>
          <w:color w:val="auto"/>
        </w:rPr>
      </w:pPr>
    </w:p>
    <w:p>
      <w:pPr>
        <w:ind w:left="40"/>
        <w:spacing w:after="0" w:line="175" w:lineRule="exact"/>
        <w:tabs>
          <w:tab w:leader="none" w:pos="2820" w:val="left"/>
          <w:tab w:leader="none" w:pos="4380" w:val="left"/>
          <w:tab w:leader="none" w:pos="5320" w:val="left"/>
          <w:tab w:leader="none" w:pos="5660" w:val="left"/>
          <w:tab w:leader="none" w:pos="6820" w:val="left"/>
          <w:tab w:leader="none" w:pos="7160" w:val="left"/>
          <w:tab w:leader="none" w:pos="8640" w:val="left"/>
          <w:tab w:leader="none" w:pos="8980" w:val="left"/>
        </w:tabs>
        <w:rPr>
          <w:sz w:val="20"/>
          <w:szCs w:val="20"/>
          <w:color w:val="auto"/>
        </w:rPr>
      </w:pPr>
      <w:r>
        <w:rPr>
          <w:rFonts w:ascii="Arial" w:cs="Arial" w:eastAsia="Arial" w:hAnsi="Arial"/>
          <w:sz w:val="13"/>
          <w:szCs w:val="13"/>
          <w:color w:val="auto"/>
        </w:rPr>
        <w:t>United Airlines, Inc.</w:t>
      </w:r>
      <w:r>
        <w:rPr>
          <w:sz w:val="20"/>
          <w:szCs w:val="20"/>
          <w:color w:val="auto"/>
        </w:rPr>
        <w:tab/>
      </w: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Smaller reporting company</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1"/>
          <w:szCs w:val="11"/>
          <w:color w:val="auto"/>
        </w:rPr>
        <w:t>Emerging growth company</w:t>
      </w:r>
    </w:p>
    <w:p>
      <w:pPr>
        <w:spacing w:after="0" w:line="87" w:lineRule="exact"/>
        <w:rPr>
          <w:sz w:val="20"/>
          <w:szCs w:val="20"/>
          <w:color w:val="auto"/>
        </w:rPr>
      </w:pPr>
    </w:p>
    <w:p>
      <w:pPr>
        <w:ind w:right="100"/>
        <w:spacing w:after="0" w:line="264"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7" w:lineRule="exact"/>
        <w:rPr>
          <w:sz w:val="20"/>
          <w:szCs w:val="20"/>
          <w:color w:val="auto"/>
        </w:rPr>
      </w:pPr>
    </w:p>
    <w:p>
      <w:pPr>
        <w:ind w:left="40"/>
        <w:spacing w:after="0" w:line="175" w:lineRule="exact"/>
        <w:tabs>
          <w:tab w:leader="none" w:pos="2000" w:val="left"/>
          <w:tab w:leader="none" w:pos="5440" w:val="left"/>
          <w:tab w:leader="none" w:pos="740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United Airlines, Inc.</w:t>
      </w:r>
      <w:r>
        <w:rPr>
          <w:sz w:val="20"/>
          <w:szCs w:val="20"/>
          <w:color w:val="auto"/>
        </w:rPr>
        <w:tab/>
      </w:r>
      <w:r>
        <w:rPr>
          <w:rFonts w:ascii="Arial Unicode MS" w:cs="Arial Unicode MS" w:eastAsia="Arial Unicode MS" w:hAnsi="Arial Unicode MS"/>
          <w:sz w:val="13"/>
          <w:szCs w:val="13"/>
          <w:b w:val="1"/>
          <w:bCs w:val="1"/>
          <w:color w:val="auto"/>
        </w:rPr>
        <w: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75" w:lineRule="exact"/>
        <w:rPr>
          <w:sz w:val="20"/>
          <w:szCs w:val="20"/>
          <w:color w:val="auto"/>
        </w:rPr>
      </w:pPr>
      <w:r>
        <w:rPr>
          <w:rFonts w:ascii="Arial Unicode MS" w:cs="Arial Unicode MS" w:eastAsia="Arial Unicode MS" w:hAnsi="Arial Unicode MS"/>
          <w:sz w:val="13"/>
          <w:szCs w:val="13"/>
          <w:b w:val="1"/>
          <w:bCs w:val="1"/>
          <w:color w:val="auto"/>
        </w:rPr>
        <w:t>☐</w:t>
      </w:r>
    </w:p>
    <w:p>
      <w:pPr>
        <w:spacing w:after="0" w:line="54" w:lineRule="exact"/>
        <w:rPr>
          <w:sz w:val="20"/>
          <w:szCs w:val="20"/>
          <w:color w:val="auto"/>
        </w:rPr>
      </w:pPr>
    </w:p>
    <w:p>
      <w:pPr>
        <w:spacing w:after="0" w:line="175" w:lineRule="exact"/>
        <w:rPr>
          <w:sz w:val="20"/>
          <w:szCs w:val="20"/>
          <w:color w:val="auto"/>
        </w:rPr>
      </w:pPr>
      <w:r>
        <w:rPr>
          <w:rFonts w:ascii="Arial Unicode MS" w:cs="Arial Unicode MS" w:eastAsia="Arial Unicode MS" w:hAnsi="Arial Unicode MS"/>
          <w:sz w:val="13"/>
          <w:szCs w:val="13"/>
          <w:b w:val="1"/>
          <w:bCs w:val="1"/>
          <w:color w:val="auto"/>
        </w:rPr>
        <w:t>☐</w:t>
      </w:r>
    </w:p>
    <w:p>
      <w:pPr>
        <w:spacing w:after="0" w:line="688" w:lineRule="exact"/>
        <w:rPr>
          <w:sz w:val="20"/>
          <w:szCs w:val="20"/>
          <w:color w:val="auto"/>
        </w:rPr>
      </w:pPr>
    </w:p>
    <w:p>
      <w:pPr>
        <w:sectPr>
          <w:pgSz w:w="11880" w:h="15480" w:orient="portrait"/>
          <w:cols w:equalWidth="0" w:num="2">
            <w:col w:w="10360" w:space="100"/>
            <w:col w:w="120"/>
          </w:cols>
          <w:pgMar w:left="680" w:top="759" w:right="620" w:bottom="258" w:gutter="0" w:footer="0" w:header="0"/>
          <w:type w:val="continuous"/>
        </w:sectPr>
      </w:pPr>
    </w:p>
    <w:p>
      <w:pPr>
        <w:ind w:right="180"/>
        <w:spacing w:after="0" w:line="264"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7" w:lineRule="exact"/>
        <w:rPr>
          <w:sz w:val="20"/>
          <w:szCs w:val="20"/>
          <w:color w:val="auto"/>
        </w:rPr>
      </w:pPr>
    </w:p>
    <w:p>
      <w:pPr>
        <w:ind w:left="40"/>
        <w:spacing w:after="0" w:line="175" w:lineRule="exact"/>
        <w:tabs>
          <w:tab w:leader="none" w:pos="2000" w:val="left"/>
          <w:tab w:leader="none" w:pos="5440" w:val="left"/>
          <w:tab w:leader="none" w:pos="740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United Airlines, Inc.</w:t>
      </w:r>
      <w:r>
        <w:rPr>
          <w:sz w:val="20"/>
          <w:szCs w:val="20"/>
          <w:color w:val="auto"/>
        </w:rPr>
        <w:tab/>
      </w:r>
      <w:r>
        <w:rPr>
          <w:rFonts w:ascii="Arial Unicode MS" w:cs="Arial Unicode MS" w:eastAsia="Arial Unicode MS" w:hAnsi="Arial Unicode MS"/>
          <w:sz w:val="13"/>
          <w:szCs w:val="13"/>
          <w:b w:val="1"/>
          <w:bCs w:val="1"/>
          <w:color w:val="auto"/>
        </w:rPr>
        <w:t>☐</w:t>
      </w:r>
    </w:p>
    <w:p>
      <w:pPr>
        <w:spacing w:after="0" w:line="83"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7" w:lineRule="exact"/>
        <w:rPr>
          <w:sz w:val="20"/>
          <w:szCs w:val="20"/>
          <w:color w:val="auto"/>
        </w:rPr>
      </w:pPr>
    </w:p>
    <w:p>
      <w:pPr>
        <w:ind w:left="40"/>
        <w:spacing w:after="0" w:line="175" w:lineRule="exact"/>
        <w:tabs>
          <w:tab w:leader="none" w:pos="2000" w:val="left"/>
          <w:tab w:leader="none" w:pos="5440" w:val="left"/>
          <w:tab w:leader="none" w:pos="740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United Airlines, Inc.</w:t>
      </w:r>
      <w:r>
        <w:rPr>
          <w:sz w:val="20"/>
          <w:szCs w:val="20"/>
          <w:color w:val="auto"/>
        </w:rPr>
        <w:tab/>
      </w:r>
      <w:r>
        <w:rPr>
          <w:rFonts w:ascii="Arial Unicode MS" w:cs="Arial Unicode MS" w:eastAsia="Arial Unicode MS" w:hAnsi="Arial Unicode MS"/>
          <w:sz w:val="13"/>
          <w:szCs w:val="13"/>
          <w:b w:val="1"/>
          <w:bCs w:val="1"/>
          <w:color w:val="auto"/>
        </w:rPr>
        <w:t>☐</w:t>
      </w:r>
    </w:p>
    <w:p>
      <w:pPr>
        <w:spacing w:after="0" w:line="73" w:lineRule="exact"/>
        <w:rPr>
          <w:sz w:val="20"/>
          <w:szCs w:val="20"/>
          <w:color w:val="auto"/>
        </w:rPr>
      </w:pPr>
    </w:p>
    <w:p>
      <w:pPr>
        <w:ind w:right="120"/>
        <w:spacing w:after="0" w:line="162"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b w:val="1"/>
          <w:bCs w:val="1"/>
          <w:color w:val="auto"/>
        </w:rPr>
        <w:t>ﬃ</w:t>
      </w:r>
      <w:r>
        <w:rPr>
          <w:rFonts w:ascii="Arial" w:cs="Arial" w:eastAsia="Arial" w:hAnsi="Arial"/>
          <w:sz w:val="13"/>
          <w:szCs w:val="13"/>
          <w:color w:val="auto"/>
        </w:rPr>
        <w:t>cers during the relevant recovery period pursuant to §240.10D-1(b).</w:t>
      </w:r>
    </w:p>
    <w:p>
      <w:pPr>
        <w:spacing w:after="0" w:line="43" w:lineRule="exact"/>
        <w:rPr>
          <w:sz w:val="20"/>
          <w:szCs w:val="20"/>
          <w:color w:val="auto"/>
        </w:rPr>
      </w:pPr>
    </w:p>
    <w:p>
      <w:pPr>
        <w:ind w:right="3060" w:firstLine="47"/>
        <w:spacing w:after="0" w:line="211" w:lineRule="exact"/>
        <w:rPr>
          <w:sz w:val="20"/>
          <w:szCs w:val="20"/>
          <w:color w:val="auto"/>
        </w:rPr>
      </w:pPr>
      <w:r>
        <w:rPr>
          <w:rFonts w:ascii="Arial" w:cs="Arial" w:eastAsia="Arial" w:hAnsi="Arial"/>
          <w:sz w:val="13"/>
          <w:szCs w:val="13"/>
          <w:color w:val="auto"/>
        </w:rPr>
        <w:t xml:space="preserve">United Airlines Holdings, Inc. </w:t>
      </w:r>
      <w:r>
        <w:rPr>
          <w:rFonts w:ascii="Arial Unicode MS" w:cs="Arial Unicode MS" w:eastAsia="Arial Unicode MS" w:hAnsi="Arial Unicode MS"/>
          <w:sz w:val="13"/>
          <w:szCs w:val="13"/>
          <w:b w:val="1"/>
          <w:bCs w:val="1"/>
          <w:color w:val="auto"/>
        </w:rPr>
        <w:t>☐</w:t>
      </w:r>
      <w:r>
        <w:rPr>
          <w:rFonts w:ascii="Arial" w:cs="Arial" w:eastAsia="Arial" w:hAnsi="Arial"/>
          <w:sz w:val="13"/>
          <w:szCs w:val="13"/>
          <w:color w:val="auto"/>
        </w:rPr>
        <w:t xml:space="preserve"> United Airlines, Inc. </w:t>
      </w:r>
      <w:r>
        <w:rPr>
          <w:rFonts w:ascii="Arial Unicode MS" w:cs="Arial Unicode MS" w:eastAsia="Arial Unicode MS" w:hAnsi="Arial Unicode MS"/>
          <w:sz w:val="13"/>
          <w:szCs w:val="13"/>
          <w:b w:val="1"/>
          <w:bCs w:val="1"/>
          <w:color w:val="auto"/>
        </w:rPr>
        <w:t>☐</w:t>
      </w:r>
      <w:r>
        <w:rPr>
          <w:rFonts w:ascii="Arial" w:cs="Arial" w:eastAsia="Arial" w:hAnsi="Arial"/>
          <w:sz w:val="13"/>
          <w:szCs w:val="13"/>
          <w:color w:val="auto"/>
        </w:rPr>
        <w:t xml:space="preserve"> Indicate by check mark whether the registrant is a shell company (as defined in Rule 12b-2 of the Exchange Act).</w:t>
      </w:r>
    </w:p>
    <w:p>
      <w:pPr>
        <w:spacing w:after="0" w:line="35" w:lineRule="exact"/>
        <w:rPr>
          <w:sz w:val="20"/>
          <w:szCs w:val="20"/>
          <w:color w:val="auto"/>
        </w:rPr>
      </w:pPr>
    </w:p>
    <w:p>
      <w:pPr>
        <w:ind w:left="40"/>
        <w:spacing w:after="0" w:line="175" w:lineRule="exact"/>
        <w:tabs>
          <w:tab w:leader="none" w:pos="3800" w:val="left"/>
          <w:tab w:leader="none" w:pos="4180" w:val="left"/>
          <w:tab w:leader="none" w:pos="4540" w:val="left"/>
          <w:tab w:leader="none" w:pos="4900" w:val="left"/>
          <w:tab w:leader="none" w:pos="5440" w:val="left"/>
          <w:tab w:leader="none" w:pos="9220" w:val="left"/>
          <w:tab w:leader="none" w:pos="9580" w:val="left"/>
          <w:tab w:leader="none" w:pos="9940" w:val="left"/>
          <w:tab w:leader="none" w:pos="1030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3"/>
          <w:szCs w:val="13"/>
          <w:color w:val="auto"/>
        </w:rPr>
        <w:t>Yes</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United Airlines, Inc.</w:t>
      </w:r>
      <w:r>
        <w:rPr>
          <w:sz w:val="20"/>
          <w:szCs w:val="20"/>
          <w:color w:val="auto"/>
        </w:rPr>
        <w:tab/>
      </w:r>
      <w:r>
        <w:rPr>
          <w:rFonts w:ascii="Arial" w:cs="Arial" w:eastAsia="Arial" w:hAnsi="Arial"/>
          <w:sz w:val="13"/>
          <w:szCs w:val="13"/>
          <w:color w:val="auto"/>
        </w:rPr>
        <w:t>Yes</w:t>
      </w:r>
      <w:r>
        <w:rPr>
          <w:sz w:val="20"/>
          <w:szCs w:val="20"/>
          <w:color w:val="auto"/>
        </w:rPr>
        <w:tab/>
      </w:r>
      <w:r>
        <w:rPr>
          <w:rFonts w:ascii="Arial Unicode MS" w:cs="Arial Unicode MS" w:eastAsia="Arial Unicode MS" w:hAnsi="Arial Unicode MS"/>
          <w:sz w:val="13"/>
          <w:szCs w:val="13"/>
          <w:b w:val="1"/>
          <w:bCs w:val="1"/>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Arial Unicode MS" w:cs="Arial Unicode MS" w:eastAsia="Arial Unicode MS" w:hAnsi="Arial Unicode MS"/>
          <w:sz w:val="13"/>
          <w:szCs w:val="13"/>
          <w:b w:val="1"/>
          <w:bCs w:val="1"/>
          <w:color w:val="auto"/>
        </w:rPr>
        <w:t>☒</w:t>
      </w:r>
    </w:p>
    <w:p>
      <w:pPr>
        <w:spacing w:after="0" w:line="97" w:lineRule="exact"/>
        <w:rPr>
          <w:sz w:val="20"/>
          <w:szCs w:val="20"/>
          <w:color w:val="auto"/>
        </w:rPr>
      </w:pPr>
    </w:p>
    <w:p>
      <w:pPr>
        <w:ind w:right="300"/>
        <w:spacing w:after="0" w:line="255" w:lineRule="auto"/>
        <w:rPr>
          <w:sz w:val="20"/>
          <w:szCs w:val="20"/>
          <w:color w:val="auto"/>
        </w:rPr>
      </w:pPr>
      <w:r>
        <w:rPr>
          <w:rFonts w:ascii="Arial" w:cs="Arial" w:eastAsia="Arial" w:hAnsi="Arial"/>
          <w:sz w:val="13"/>
          <w:szCs w:val="13"/>
          <w:color w:val="auto"/>
        </w:rPr>
        <w:t>The aggregate market value of common stock held by non-affiliates of United Airlines Holdings, Inc. was $25.6 billion as of June 30, 2025 based on the closing sale price of $79.63 on that date. There is no market for United Airlines, Inc. common stock.</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Indicate the number of shares outstanding of each of the registrant's classes of common stock, as of February 5, 2026.</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660" w:type="dxa"/>
            <w:vAlign w:val="bottom"/>
          </w:tcPr>
          <w:p>
            <w:pPr>
              <w:spacing w:after="0"/>
              <w:rPr>
                <w:sz w:val="20"/>
                <w:szCs w:val="20"/>
                <w:color w:val="auto"/>
              </w:rPr>
            </w:pPr>
            <w:r>
              <w:rPr>
                <w:rFonts w:ascii="Arial" w:cs="Arial" w:eastAsia="Arial" w:hAnsi="Arial"/>
                <w:sz w:val="13"/>
                <w:szCs w:val="13"/>
                <w:color w:val="auto"/>
                <w:w w:val="98"/>
              </w:rPr>
              <w:t>United Airlines Holdings, Inc.</w:t>
            </w:r>
          </w:p>
        </w:tc>
        <w:tc>
          <w:tcPr>
            <w:tcW w:w="1060" w:type="dxa"/>
            <w:vAlign w:val="bottom"/>
          </w:tcPr>
          <w:p>
            <w:pPr>
              <w:ind w:left="140"/>
              <w:spacing w:after="0"/>
              <w:rPr>
                <w:sz w:val="20"/>
                <w:szCs w:val="20"/>
                <w:color w:val="auto"/>
              </w:rPr>
            </w:pPr>
            <w:r>
              <w:rPr>
                <w:rFonts w:ascii="Arial" w:cs="Arial" w:eastAsia="Arial" w:hAnsi="Arial"/>
                <w:sz w:val="13"/>
                <w:szCs w:val="13"/>
                <w:color w:val="auto"/>
              </w:rPr>
              <w:t>323,430,419</w:t>
            </w:r>
          </w:p>
        </w:tc>
        <w:tc>
          <w:tcPr>
            <w:tcW w:w="4860" w:type="dxa"/>
            <w:vAlign w:val="bottom"/>
          </w:tcPr>
          <w:p>
            <w:pPr>
              <w:ind w:left="280"/>
              <w:spacing w:after="0"/>
              <w:rPr>
                <w:sz w:val="20"/>
                <w:szCs w:val="20"/>
                <w:color w:val="auto"/>
              </w:rPr>
            </w:pPr>
            <w:r>
              <w:rPr>
                <w:rFonts w:ascii="Arial" w:cs="Arial" w:eastAsia="Arial" w:hAnsi="Arial"/>
                <w:sz w:val="13"/>
                <w:szCs w:val="13"/>
                <w:color w:val="auto"/>
              </w:rPr>
              <w:t>shares of common stock ($0.01 par value)</w:t>
            </w:r>
          </w:p>
        </w:tc>
      </w:tr>
      <w:tr>
        <w:trPr>
          <w:trHeight w:val="177"/>
        </w:trPr>
        <w:tc>
          <w:tcPr>
            <w:tcW w:w="1660" w:type="dxa"/>
            <w:vAlign w:val="bottom"/>
          </w:tcPr>
          <w:p>
            <w:pPr>
              <w:spacing w:after="0"/>
              <w:rPr>
                <w:sz w:val="20"/>
                <w:szCs w:val="20"/>
                <w:color w:val="auto"/>
              </w:rPr>
            </w:pPr>
            <w:r>
              <w:rPr>
                <w:rFonts w:ascii="Arial" w:cs="Arial" w:eastAsia="Arial" w:hAnsi="Arial"/>
                <w:sz w:val="13"/>
                <w:szCs w:val="13"/>
                <w:color w:val="auto"/>
              </w:rPr>
              <w:t>United Airlines, Inc.</w:t>
            </w:r>
          </w:p>
        </w:tc>
        <w:tc>
          <w:tcPr>
            <w:tcW w:w="1060" w:type="dxa"/>
            <w:vAlign w:val="bottom"/>
          </w:tcPr>
          <w:p>
            <w:pPr>
              <w:ind w:left="140"/>
              <w:spacing w:after="0"/>
              <w:rPr>
                <w:sz w:val="20"/>
                <w:szCs w:val="20"/>
                <w:color w:val="auto"/>
              </w:rPr>
            </w:pPr>
            <w:r>
              <w:rPr>
                <w:rFonts w:ascii="Arial" w:cs="Arial" w:eastAsia="Arial" w:hAnsi="Arial"/>
                <w:sz w:val="13"/>
                <w:szCs w:val="13"/>
                <w:color w:val="auto"/>
              </w:rPr>
              <w:t>1,000</w:t>
            </w:r>
          </w:p>
        </w:tc>
        <w:tc>
          <w:tcPr>
            <w:tcW w:w="4860" w:type="dxa"/>
            <w:vAlign w:val="bottom"/>
          </w:tcPr>
          <w:p>
            <w:pPr>
              <w:ind w:left="280"/>
              <w:spacing w:after="0"/>
              <w:rPr>
                <w:sz w:val="20"/>
                <w:szCs w:val="20"/>
                <w:color w:val="auto"/>
              </w:rPr>
            </w:pPr>
            <w:r>
              <w:rPr>
                <w:rFonts w:ascii="Arial" w:cs="Arial" w:eastAsia="Arial" w:hAnsi="Arial"/>
                <w:sz w:val="13"/>
                <w:szCs w:val="13"/>
                <w:color w:val="auto"/>
                <w:w w:val="88"/>
              </w:rPr>
              <w:t>shares of common stock ($0.01 par value) (100% owned by United Airlines Holdings, Inc.)</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This combined Form 10-K is separately filed by United Airlines Holdings, Inc. and United Airlines, Inc.</w:t>
      </w:r>
    </w:p>
    <w:p>
      <w:pPr>
        <w:spacing w:after="0" w:line="14"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OMISSION OF CERTAIN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United Airlines, Inc. meets the conditions set forth in General Instruction I(1)(a) and (b) of Form 10-K and is therefore filing this form with the reduced disclosure format allowed under that General Instruction.</w:t>
      </w:r>
    </w:p>
    <w:p>
      <w:pPr>
        <w:spacing w:after="0" w:line="37"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23" w:lineRule="exact"/>
        <w:rPr>
          <w:sz w:val="20"/>
          <w:szCs w:val="20"/>
          <w:color w:val="auto"/>
        </w:rPr>
      </w:pPr>
    </w:p>
    <w:p>
      <w:pPr>
        <w:ind w:right="380"/>
        <w:spacing w:after="0" w:line="264" w:lineRule="auto"/>
        <w:rPr>
          <w:sz w:val="20"/>
          <w:szCs w:val="20"/>
          <w:color w:val="auto"/>
        </w:rPr>
      </w:pPr>
      <w:r>
        <w:rPr>
          <w:rFonts w:ascii="Arial" w:cs="Arial" w:eastAsia="Arial" w:hAnsi="Arial"/>
          <w:sz w:val="13"/>
          <w:szCs w:val="13"/>
          <w:color w:val="auto"/>
        </w:rPr>
        <w:t>Certain information required by Items 10, 11, 12 and 13 of Part III of this Form 10-K is incorporated by reference for United Airlines Holdings, Inc. from its definitive proxy statement for its 2026 Annual Meeting of Stockholders.</w:t>
      </w:r>
    </w:p>
    <w:p>
      <w:pPr>
        <w:sectPr>
          <w:pgSz w:w="11880" w:h="15480" w:orient="portrait"/>
          <w:cols w:equalWidth="0" w:num="1">
            <w:col w:w="10580"/>
          </w:cols>
          <w:pgMar w:left="680" w:top="759" w:right="620" w:bottom="258"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Item 1.</w:t>
      </w: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color w:val="auto"/>
        </w:rPr>
        <w:t>Item 1A.</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Item 1B.</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Item 1C.</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Item 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Item 3.</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Item 5.</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Item 6.</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Item 7.</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color w:val="auto"/>
        </w:rPr>
        <w:t>Item 7A.</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Item 8.</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Item 9.</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color w:val="auto"/>
        </w:rPr>
        <w:t>Item 9A.</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Item 9B.</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color w:val="auto"/>
        </w:rPr>
        <w:t>Item 9C.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Item 10.</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Item 11.</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Item 12.</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Item 13.</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Item 14.</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Item 15.</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color w:val="auto"/>
        </w:rPr>
        <w:t>Item 16.</w:t>
      </w:r>
    </w:p>
    <w:p>
      <w:pPr>
        <w:spacing w:after="0" w:line="20" w:lineRule="exact"/>
        <w:rPr>
          <w:sz w:val="20"/>
          <w:szCs w:val="20"/>
          <w:color w:val="auto"/>
        </w:rPr>
      </w:pPr>
      <w:r>
        <w:rPr>
          <w:sz w:val="20"/>
          <w:szCs w:val="20"/>
          <w:color w:val="auto"/>
        </w:rPr>
        <w:br w:type="column"/>
      </w:r>
    </w:p>
    <w:p>
      <w:pPr>
        <w:jc w:val="center"/>
        <w:ind w:right="1020"/>
        <w:spacing w:after="0"/>
        <w:rPr>
          <w:sz w:val="20"/>
          <w:szCs w:val="20"/>
          <w:color w:val="auto"/>
        </w:rPr>
      </w:pPr>
      <w:r>
        <w:rPr>
          <w:rFonts w:ascii="Arial" w:cs="Arial" w:eastAsia="Arial" w:hAnsi="Arial"/>
          <w:sz w:val="20"/>
          <w:szCs w:val="20"/>
          <w:b w:val="1"/>
          <w:bCs w:val="1"/>
          <w:color w:val="auto"/>
        </w:rPr>
        <w:t>United Airlines Holdings, Inc. and Subsidiary Companies</w:t>
      </w:r>
    </w:p>
    <w:p>
      <w:pPr>
        <w:spacing w:after="0" w:line="10" w:lineRule="exact"/>
        <w:rPr>
          <w:sz w:val="20"/>
          <w:szCs w:val="20"/>
          <w:color w:val="auto"/>
        </w:rPr>
      </w:pPr>
    </w:p>
    <w:p>
      <w:pPr>
        <w:jc w:val="center"/>
        <w:ind w:right="1020"/>
        <w:spacing w:after="0"/>
        <w:rPr>
          <w:sz w:val="20"/>
          <w:szCs w:val="20"/>
          <w:color w:val="auto"/>
        </w:rPr>
      </w:pPr>
      <w:r>
        <w:rPr>
          <w:rFonts w:ascii="Arial" w:cs="Arial" w:eastAsia="Arial" w:hAnsi="Arial"/>
          <w:sz w:val="20"/>
          <w:szCs w:val="20"/>
          <w:b w:val="1"/>
          <w:bCs w:val="1"/>
          <w:color w:val="auto"/>
        </w:rPr>
        <w:t>United Airlines, Inc. and Subsidiary Companies</w:t>
      </w:r>
    </w:p>
    <w:p>
      <w:pPr>
        <w:spacing w:after="0" w:line="110" w:lineRule="exact"/>
        <w:rPr>
          <w:sz w:val="20"/>
          <w:szCs w:val="20"/>
          <w:color w:val="auto"/>
        </w:rPr>
      </w:pPr>
    </w:p>
    <w:p>
      <w:pPr>
        <w:jc w:val="center"/>
        <w:ind w:right="1020"/>
        <w:spacing w:after="0"/>
        <w:rPr>
          <w:sz w:val="20"/>
          <w:szCs w:val="20"/>
          <w:color w:val="auto"/>
        </w:rPr>
      </w:pPr>
      <w:r>
        <w:rPr>
          <w:rFonts w:ascii="Arial" w:cs="Arial" w:eastAsia="Arial" w:hAnsi="Arial"/>
          <w:sz w:val="20"/>
          <w:szCs w:val="20"/>
          <w:b w:val="1"/>
          <w:bCs w:val="1"/>
          <w:color w:val="auto"/>
        </w:rPr>
        <w:t>Annual Report on Form 10-K</w:t>
      </w:r>
    </w:p>
    <w:p>
      <w:pPr>
        <w:spacing w:after="0" w:line="10" w:lineRule="exact"/>
        <w:rPr>
          <w:sz w:val="20"/>
          <w:szCs w:val="20"/>
          <w:color w:val="auto"/>
        </w:rPr>
      </w:pPr>
    </w:p>
    <w:p>
      <w:pPr>
        <w:jc w:val="center"/>
        <w:ind w:right="1020"/>
        <w:spacing w:after="0"/>
        <w:rPr>
          <w:sz w:val="20"/>
          <w:szCs w:val="20"/>
          <w:color w:val="auto"/>
        </w:rPr>
      </w:pPr>
      <w:r>
        <w:rPr>
          <w:rFonts w:ascii="Arial" w:cs="Arial" w:eastAsia="Arial" w:hAnsi="Arial"/>
          <w:sz w:val="20"/>
          <w:szCs w:val="20"/>
          <w:b w:val="1"/>
          <w:bCs w:val="1"/>
          <w:color w:val="auto"/>
        </w:rPr>
        <w:t>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80" w:type="dxa"/>
            <w:vAlign w:val="bottom"/>
            <w:gridSpan w:val="9"/>
            <w:vMerge w:val="restart"/>
          </w:tcPr>
          <w:p>
            <w:pPr>
              <w:jc w:val="center"/>
              <w:ind w:right="3100"/>
              <w:spacing w:after="0"/>
              <w:rPr>
                <w:sz w:val="20"/>
                <w:szCs w:val="20"/>
                <w:color w:val="auto"/>
              </w:rPr>
            </w:pPr>
            <w:r>
              <w:rPr>
                <w:rFonts w:ascii="Arial" w:cs="Arial" w:eastAsia="Arial" w:hAnsi="Arial"/>
                <w:sz w:val="20"/>
                <w:szCs w:val="20"/>
                <w:b w:val="1"/>
                <w:bCs w:val="1"/>
                <w:color w:val="auto"/>
              </w:rPr>
              <w:t>PART I</w:t>
            </w:r>
          </w:p>
        </w:tc>
        <w:tc>
          <w:tcPr>
            <w:tcW w:w="40" w:type="dxa"/>
            <w:vAlign w:val="bottom"/>
          </w:tcPr>
          <w:p>
            <w:pPr>
              <w:spacing w:after="0"/>
              <w:rPr>
                <w:sz w:val="21"/>
                <w:szCs w:val="21"/>
                <w:color w:val="auto"/>
              </w:rPr>
            </w:pPr>
          </w:p>
        </w:tc>
        <w:tc>
          <w:tcPr>
            <w:tcW w:w="15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8"/>
                <w:szCs w:val="18"/>
                <w:b w:val="1"/>
                <w:bCs w:val="1"/>
                <w:color w:val="auto"/>
              </w:rPr>
              <w:t>Page</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gridSpan w:val="9"/>
            <w:vMerge w:val="continue"/>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7580" w:type="dxa"/>
            <w:vAlign w:val="bottom"/>
            <w:gridSpan w:val="26"/>
          </w:tcPr>
          <w:p>
            <w:pPr>
              <w:spacing w:after="0"/>
              <w:rPr>
                <w:sz w:val="20"/>
                <w:szCs w:val="20"/>
                <w:color w:val="auto"/>
              </w:rPr>
            </w:pPr>
            <w:r>
              <w:rPr>
                <w:rFonts w:ascii="Arial" w:cs="Arial" w:eastAsia="Arial" w:hAnsi="Arial"/>
                <w:sz w:val="20"/>
                <w:szCs w:val="20"/>
                <w:color w:val="auto"/>
              </w:rPr>
              <w:t>Business</w:t>
            </w:r>
          </w:p>
        </w:tc>
        <w:tc>
          <w:tcPr>
            <w:tcW w:w="1580" w:type="dxa"/>
            <w:vAlign w:val="bottom"/>
            <w:gridSpan w:val="4"/>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580" w:type="dxa"/>
            <w:vAlign w:val="bottom"/>
            <w:gridSpan w:val="26"/>
          </w:tcPr>
          <w:p>
            <w:pPr>
              <w:spacing w:after="0"/>
              <w:rPr>
                <w:sz w:val="20"/>
                <w:szCs w:val="20"/>
                <w:color w:val="auto"/>
              </w:rPr>
            </w:pPr>
            <w:r>
              <w:rPr>
                <w:rFonts w:ascii="Arial" w:cs="Arial" w:eastAsia="Arial" w:hAnsi="Arial"/>
                <w:sz w:val="20"/>
                <w:szCs w:val="20"/>
                <w:color w:val="auto"/>
              </w:rPr>
              <w:t>Information about Our Executive Officers</w:t>
            </w:r>
          </w:p>
        </w:tc>
        <w:tc>
          <w:tcPr>
            <w:tcW w:w="1580" w:type="dxa"/>
            <w:vAlign w:val="bottom"/>
            <w:gridSpan w:val="4"/>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360" w:type="dxa"/>
            <w:vAlign w:val="bottom"/>
            <w:tcBorders>
              <w:top w:val="single" w:sz="8" w:color="auto"/>
            </w:tcBorders>
            <w:gridSpan w:val="15"/>
          </w:tcPr>
          <w:p>
            <w:pPr>
              <w:spacing w:after="0"/>
              <w:rPr>
                <w:sz w:val="20"/>
                <w:szCs w:val="20"/>
                <w:color w:val="auto"/>
              </w:rPr>
            </w:pPr>
            <w:r>
              <w:rPr>
                <w:rFonts w:ascii="Arial" w:cs="Arial" w:eastAsia="Arial" w:hAnsi="Arial"/>
                <w:sz w:val="20"/>
                <w:szCs w:val="20"/>
                <w:color w:val="auto"/>
              </w:rPr>
              <w:t>Risk Factors</w:t>
            </w:r>
          </w:p>
        </w:tc>
        <w:tc>
          <w:tcPr>
            <w:tcW w:w="4220" w:type="dxa"/>
            <w:vAlign w:val="bottom"/>
            <w:gridSpan w:val="11"/>
          </w:tcPr>
          <w:p>
            <w:pPr>
              <w:spacing w:after="0"/>
              <w:rPr>
                <w:sz w:val="24"/>
                <w:szCs w:val="24"/>
                <w:color w:val="auto"/>
              </w:rPr>
            </w:pPr>
          </w:p>
        </w:tc>
        <w:tc>
          <w:tcPr>
            <w:tcW w:w="1380" w:type="dxa"/>
            <w:vAlign w:val="bottom"/>
            <w:gridSpan w:val="2"/>
          </w:tcPr>
          <w:p>
            <w:pPr>
              <w:spacing w:after="0"/>
              <w:rPr>
                <w:sz w:val="24"/>
                <w:szCs w:val="24"/>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w w:val="80"/>
              </w:rPr>
              <w:t>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280" w:type="dxa"/>
            <w:vAlign w:val="bottom"/>
            <w:tcBorders>
              <w:bottom w:val="single" w:sz="8" w:color="auto"/>
            </w:tcBorders>
            <w:gridSpan w:val="13"/>
          </w:tcPr>
          <w:p>
            <w:pPr>
              <w:spacing w:after="0"/>
              <w:rPr>
                <w:sz w:val="20"/>
                <w:szCs w:val="20"/>
                <w:color w:val="auto"/>
              </w:rPr>
            </w:pPr>
            <w:r>
              <w:rPr>
                <w:rFonts w:ascii="Arial" w:cs="Arial" w:eastAsia="Arial" w:hAnsi="Arial"/>
                <w:sz w:val="20"/>
                <w:szCs w:val="20"/>
                <w:color w:val="auto"/>
                <w:w w:val="90"/>
              </w:rPr>
              <w:t>Unresolved Staff Comments</w:t>
            </w:r>
          </w:p>
        </w:tc>
        <w:tc>
          <w:tcPr>
            <w:tcW w:w="5300" w:type="dxa"/>
            <w:vAlign w:val="bottom"/>
            <w:gridSpan w:val="13"/>
          </w:tcPr>
          <w:p>
            <w:pPr>
              <w:spacing w:after="0"/>
              <w:rPr>
                <w:sz w:val="24"/>
                <w:szCs w:val="24"/>
                <w:color w:val="auto"/>
              </w:rPr>
            </w:pPr>
          </w:p>
        </w:tc>
        <w:tc>
          <w:tcPr>
            <w:tcW w:w="1380" w:type="dxa"/>
            <w:vAlign w:val="bottom"/>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80"/>
              </w:rPr>
              <w:t>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2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89"/>
              </w:rPr>
              <w:t>Cybersecurity</w:t>
            </w:r>
          </w:p>
        </w:tc>
        <w:tc>
          <w:tcPr>
            <w:tcW w:w="6460" w:type="dxa"/>
            <w:vAlign w:val="bottom"/>
            <w:gridSpan w:val="20"/>
          </w:tcPr>
          <w:p>
            <w:pPr>
              <w:spacing w:after="0"/>
              <w:rPr>
                <w:sz w:val="24"/>
                <w:szCs w:val="24"/>
                <w:color w:val="auto"/>
              </w:rPr>
            </w:pPr>
          </w:p>
        </w:tc>
        <w:tc>
          <w:tcPr>
            <w:tcW w:w="1380" w:type="dxa"/>
            <w:vAlign w:val="bottom"/>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80"/>
              </w:rPr>
              <w:t>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580" w:type="dxa"/>
            <w:vAlign w:val="bottom"/>
            <w:gridSpan w:val="26"/>
          </w:tcPr>
          <w:p>
            <w:pPr>
              <w:spacing w:after="0"/>
              <w:rPr>
                <w:sz w:val="20"/>
                <w:szCs w:val="20"/>
                <w:color w:val="auto"/>
              </w:rPr>
            </w:pPr>
            <w:r>
              <w:rPr>
                <w:rFonts w:ascii="Arial" w:cs="Arial" w:eastAsia="Arial" w:hAnsi="Arial"/>
                <w:sz w:val="20"/>
                <w:szCs w:val="20"/>
                <w:color w:val="auto"/>
              </w:rPr>
              <w:t>Properties</w:t>
            </w:r>
          </w:p>
        </w:tc>
        <w:tc>
          <w:tcPr>
            <w:tcW w:w="1580" w:type="dxa"/>
            <w:vAlign w:val="bottom"/>
            <w:gridSpan w:val="4"/>
          </w:tcPr>
          <w:p>
            <w:pPr>
              <w:jc w:val="right"/>
              <w:spacing w:after="0"/>
              <w:rPr>
                <w:sz w:val="20"/>
                <w:szCs w:val="20"/>
                <w:color w:val="auto"/>
              </w:rPr>
            </w:pPr>
            <w:r>
              <w:rPr>
                <w:rFonts w:ascii="Arial" w:cs="Arial" w:eastAsia="Arial" w:hAnsi="Arial"/>
                <w:sz w:val="20"/>
                <w:szCs w:val="20"/>
                <w:color w:val="auto"/>
              </w:rPr>
              <w:t>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48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88"/>
              </w:rPr>
              <w:t>Legal Proceedings</w:t>
            </w:r>
          </w:p>
        </w:tc>
        <w:tc>
          <w:tcPr>
            <w:tcW w:w="6100" w:type="dxa"/>
            <w:vAlign w:val="bottom"/>
            <w:gridSpan w:val="17"/>
          </w:tcPr>
          <w:p>
            <w:pPr>
              <w:spacing w:after="0"/>
              <w:rPr>
                <w:sz w:val="24"/>
                <w:szCs w:val="24"/>
                <w:color w:val="auto"/>
              </w:rPr>
            </w:pPr>
          </w:p>
        </w:tc>
        <w:tc>
          <w:tcPr>
            <w:tcW w:w="1380" w:type="dxa"/>
            <w:vAlign w:val="bottom"/>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80"/>
              </w:rPr>
              <w:t>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580" w:type="dxa"/>
            <w:vAlign w:val="bottom"/>
            <w:gridSpan w:val="26"/>
          </w:tcPr>
          <w:p>
            <w:pPr>
              <w:spacing w:after="0"/>
              <w:rPr>
                <w:sz w:val="20"/>
                <w:szCs w:val="20"/>
                <w:color w:val="auto"/>
              </w:rPr>
            </w:pPr>
            <w:r>
              <w:rPr>
                <w:rFonts w:ascii="Arial" w:cs="Arial" w:eastAsia="Arial" w:hAnsi="Arial"/>
                <w:sz w:val="20"/>
                <w:szCs w:val="20"/>
                <w:color w:val="auto"/>
              </w:rPr>
              <w:t>Mine Safety Disclosures</w:t>
            </w:r>
          </w:p>
        </w:tc>
        <w:tc>
          <w:tcPr>
            <w:tcW w:w="1580" w:type="dxa"/>
            <w:vAlign w:val="bottom"/>
            <w:gridSpan w:val="4"/>
          </w:tcPr>
          <w:p>
            <w:pPr>
              <w:jc w:val="right"/>
              <w:spacing w:after="0"/>
              <w:rPr>
                <w:sz w:val="20"/>
                <w:szCs w:val="20"/>
                <w:color w:val="auto"/>
              </w:rPr>
            </w:pPr>
            <w:r>
              <w:rPr>
                <w:rFonts w:ascii="Arial" w:cs="Arial" w:eastAsia="Arial" w:hAnsi="Arial"/>
                <w:sz w:val="20"/>
                <w:szCs w:val="20"/>
                <w:color w:val="auto"/>
              </w:rPr>
              <w:t>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9"/>
          </w:tcPr>
          <w:p>
            <w:pPr>
              <w:jc w:val="center"/>
              <w:ind w:right="3100"/>
              <w:spacing w:after="0"/>
              <w:rPr>
                <w:sz w:val="20"/>
                <w:szCs w:val="20"/>
                <w:color w:val="auto"/>
              </w:rPr>
            </w:pPr>
            <w:r>
              <w:rPr>
                <w:rFonts w:ascii="Arial" w:cs="Arial" w:eastAsia="Arial" w:hAnsi="Arial"/>
                <w:sz w:val="20"/>
                <w:szCs w:val="20"/>
                <w:b w:val="1"/>
                <w:bCs w:val="1"/>
                <w:color w:val="auto"/>
              </w:rPr>
              <w:t>PART II</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580" w:type="dxa"/>
            <w:vAlign w:val="bottom"/>
            <w:tcBorders>
              <w:bottom w:val="single" w:sz="8" w:color="auto"/>
            </w:tcBorders>
            <w:gridSpan w:val="26"/>
          </w:tcPr>
          <w:p>
            <w:pPr>
              <w:spacing w:after="0"/>
              <w:rPr>
                <w:sz w:val="20"/>
                <w:szCs w:val="20"/>
                <w:color w:val="auto"/>
              </w:rPr>
            </w:pPr>
            <w:r>
              <w:rPr>
                <w:rFonts w:ascii="Arial" w:cs="Arial" w:eastAsia="Arial" w:hAnsi="Arial"/>
                <w:sz w:val="20"/>
                <w:szCs w:val="20"/>
                <w:color w:val="auto"/>
                <w:w w:val="90"/>
              </w:rPr>
              <w:t>Market for Registrant's Common Equity, Related Stockholder Matters and Issuer Purchases of</w:t>
            </w:r>
          </w:p>
        </w:tc>
        <w:tc>
          <w:tcPr>
            <w:tcW w:w="1580" w:type="dxa"/>
            <w:vAlign w:val="bottom"/>
            <w:gridSpan w:val="4"/>
            <w:vMerge w:val="restart"/>
          </w:tcPr>
          <w:p>
            <w:pPr>
              <w:jc w:val="right"/>
              <w:spacing w:after="0"/>
              <w:rPr>
                <w:sz w:val="20"/>
                <w:szCs w:val="20"/>
                <w:color w:val="auto"/>
              </w:rPr>
            </w:pPr>
            <w:r>
              <w:rPr>
                <w:rFonts w:ascii="Arial" w:cs="Arial" w:eastAsia="Arial" w:hAnsi="Arial"/>
                <w:sz w:val="20"/>
                <w:szCs w:val="20"/>
                <w:color w:val="auto"/>
              </w:rPr>
              <w:t>36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7580" w:type="dxa"/>
            <w:vAlign w:val="bottom"/>
            <w:gridSpan w:val="26"/>
          </w:tcPr>
          <w:p>
            <w:pPr>
              <w:spacing w:after="0" w:line="180" w:lineRule="exact"/>
              <w:rPr>
                <w:sz w:val="20"/>
                <w:szCs w:val="20"/>
                <w:color w:val="auto"/>
              </w:rPr>
            </w:pPr>
            <w:r>
              <w:rPr>
                <w:rFonts w:ascii="Arial" w:cs="Arial" w:eastAsia="Arial" w:hAnsi="Arial"/>
                <w:sz w:val="20"/>
                <w:szCs w:val="20"/>
                <w:color w:val="auto"/>
              </w:rPr>
              <w:t>Equity Securities</w:t>
            </w:r>
          </w:p>
        </w:tc>
        <w:tc>
          <w:tcPr>
            <w:tcW w:w="15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88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20"/>
                <w:szCs w:val="20"/>
                <w:color w:val="auto"/>
                <w:w w:val="88"/>
              </w:rPr>
              <w:t>[Reserved]</w:t>
            </w:r>
          </w:p>
        </w:tc>
        <w:tc>
          <w:tcPr>
            <w:tcW w:w="480" w:type="dxa"/>
            <w:vAlign w:val="bottom"/>
            <w:tcBorders>
              <w:top w:val="single" w:sz="8" w:color="auto"/>
            </w:tcBorders>
            <w:gridSpan w:val="3"/>
          </w:tcPr>
          <w:p>
            <w:pPr>
              <w:spacing w:after="0"/>
              <w:rPr>
                <w:sz w:val="24"/>
                <w:szCs w:val="24"/>
                <w:color w:val="auto"/>
              </w:rPr>
            </w:pPr>
          </w:p>
        </w:tc>
        <w:tc>
          <w:tcPr>
            <w:tcW w:w="6220" w:type="dxa"/>
            <w:vAlign w:val="bottom"/>
            <w:gridSpan w:val="19"/>
          </w:tcPr>
          <w:p>
            <w:pPr>
              <w:spacing w:after="0"/>
              <w:rPr>
                <w:sz w:val="24"/>
                <w:szCs w:val="24"/>
                <w:color w:val="auto"/>
              </w:rPr>
            </w:pPr>
          </w:p>
        </w:tc>
        <w:tc>
          <w:tcPr>
            <w:tcW w:w="1380" w:type="dxa"/>
            <w:vAlign w:val="bottom"/>
            <w:gridSpan w:val="2"/>
          </w:tcPr>
          <w:p>
            <w:pPr>
              <w:spacing w:after="0"/>
              <w:rPr>
                <w:sz w:val="24"/>
                <w:szCs w:val="24"/>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80"/>
              </w:rPr>
              <w:t>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580" w:type="dxa"/>
            <w:vAlign w:val="bottom"/>
            <w:gridSpan w:val="26"/>
          </w:tcPr>
          <w:p>
            <w:pPr>
              <w:spacing w:after="0"/>
              <w:rPr>
                <w:sz w:val="20"/>
                <w:szCs w:val="20"/>
                <w:color w:val="auto"/>
              </w:rPr>
            </w:pPr>
            <w:r>
              <w:rPr>
                <w:rFonts w:ascii="Arial" w:cs="Arial" w:eastAsia="Arial" w:hAnsi="Arial"/>
                <w:sz w:val="20"/>
                <w:szCs w:val="20"/>
                <w:color w:val="auto"/>
                <w:w w:val="96"/>
              </w:rPr>
              <w:t>Management's Discussion and Analysis of Financial Condition and Results of Operations</w:t>
            </w:r>
          </w:p>
        </w:tc>
        <w:tc>
          <w:tcPr>
            <w:tcW w:w="1580" w:type="dxa"/>
            <w:vAlign w:val="bottom"/>
            <w:gridSpan w:val="4"/>
          </w:tcPr>
          <w:p>
            <w:pPr>
              <w:jc w:val="right"/>
              <w:spacing w:after="0"/>
              <w:rPr>
                <w:sz w:val="20"/>
                <w:szCs w:val="20"/>
                <w:color w:val="auto"/>
              </w:rPr>
            </w:pPr>
            <w:r>
              <w:rPr>
                <w:rFonts w:ascii="Arial" w:cs="Arial" w:eastAsia="Arial" w:hAnsi="Arial"/>
                <w:sz w:val="20"/>
                <w:szCs w:val="20"/>
                <w:color w:val="auto"/>
              </w:rPr>
              <w:t>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840" w:type="dxa"/>
            <w:vAlign w:val="bottom"/>
            <w:tcBorders>
              <w:top w:val="single" w:sz="8" w:color="auto"/>
              <w:bottom w:val="single" w:sz="8" w:color="auto"/>
            </w:tcBorders>
            <w:gridSpan w:val="20"/>
          </w:tcPr>
          <w:p>
            <w:pPr>
              <w:spacing w:after="0"/>
              <w:rPr>
                <w:sz w:val="20"/>
                <w:szCs w:val="20"/>
                <w:color w:val="auto"/>
              </w:rPr>
            </w:pPr>
            <w:r>
              <w:rPr>
                <w:rFonts w:ascii="Arial" w:cs="Arial" w:eastAsia="Arial" w:hAnsi="Arial"/>
                <w:sz w:val="20"/>
                <w:szCs w:val="20"/>
                <w:color w:val="auto"/>
                <w:w w:val="92"/>
              </w:rPr>
              <w:t>Quantitative and Qualitative Disclosures About Market Risk</w:t>
            </w:r>
          </w:p>
        </w:tc>
        <w:tc>
          <w:tcPr>
            <w:tcW w:w="2300" w:type="dxa"/>
            <w:vAlign w:val="bottom"/>
            <w:tcBorders>
              <w:top w:val="single" w:sz="8" w:color="auto"/>
            </w:tcBorders>
            <w:gridSpan w:val="3"/>
          </w:tcPr>
          <w:p>
            <w:pPr>
              <w:spacing w:after="0"/>
              <w:rPr>
                <w:sz w:val="24"/>
                <w:szCs w:val="24"/>
                <w:color w:val="auto"/>
              </w:rPr>
            </w:pPr>
          </w:p>
        </w:tc>
        <w:tc>
          <w:tcPr>
            <w:tcW w:w="440" w:type="dxa"/>
            <w:vAlign w:val="bottom"/>
            <w:gridSpan w:val="3"/>
          </w:tcPr>
          <w:p>
            <w:pPr>
              <w:spacing w:after="0"/>
              <w:rPr>
                <w:sz w:val="24"/>
                <w:szCs w:val="24"/>
                <w:color w:val="auto"/>
              </w:rPr>
            </w:pPr>
          </w:p>
        </w:tc>
        <w:tc>
          <w:tcPr>
            <w:tcW w:w="1380" w:type="dxa"/>
            <w:vAlign w:val="bottom"/>
            <w:gridSpan w:val="2"/>
          </w:tcPr>
          <w:p>
            <w:pPr>
              <w:spacing w:after="0"/>
              <w:rPr>
                <w:sz w:val="24"/>
                <w:szCs w:val="24"/>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80"/>
              </w:rPr>
              <w:t>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700" w:type="dxa"/>
            <w:vAlign w:val="bottom"/>
            <w:tcBorders>
              <w:bottom w:val="single" w:sz="8" w:color="auto"/>
            </w:tcBorders>
            <w:gridSpan w:val="17"/>
          </w:tcPr>
          <w:p>
            <w:pPr>
              <w:spacing w:after="0"/>
              <w:rPr>
                <w:sz w:val="20"/>
                <w:szCs w:val="20"/>
                <w:color w:val="auto"/>
              </w:rPr>
            </w:pPr>
            <w:r>
              <w:rPr>
                <w:rFonts w:ascii="Arial" w:cs="Arial" w:eastAsia="Arial" w:hAnsi="Arial"/>
                <w:sz w:val="20"/>
                <w:szCs w:val="20"/>
                <w:color w:val="auto"/>
                <w:w w:val="88"/>
              </w:rPr>
              <w:t>Financial Statements and Supplementary Data</w:t>
            </w:r>
          </w:p>
        </w:tc>
        <w:tc>
          <w:tcPr>
            <w:tcW w:w="3880" w:type="dxa"/>
            <w:vAlign w:val="bottom"/>
            <w:gridSpan w:val="9"/>
          </w:tcPr>
          <w:p>
            <w:pPr>
              <w:spacing w:after="0"/>
              <w:rPr>
                <w:sz w:val="24"/>
                <w:szCs w:val="24"/>
                <w:color w:val="auto"/>
              </w:rPr>
            </w:pPr>
          </w:p>
        </w:tc>
        <w:tc>
          <w:tcPr>
            <w:tcW w:w="1380" w:type="dxa"/>
            <w:vAlign w:val="bottom"/>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80"/>
              </w:rPr>
              <w:t>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380" w:type="dxa"/>
            <w:vAlign w:val="bottom"/>
            <w:tcBorders>
              <w:bottom w:val="single" w:sz="8" w:color="auto"/>
            </w:tcBorders>
            <w:gridSpan w:val="18"/>
          </w:tcPr>
          <w:p>
            <w:pPr>
              <w:spacing w:after="0"/>
              <w:rPr>
                <w:sz w:val="20"/>
                <w:szCs w:val="20"/>
                <w:color w:val="auto"/>
              </w:rPr>
            </w:pPr>
            <w:r>
              <w:rPr>
                <w:rFonts w:ascii="Arial" w:cs="Arial" w:eastAsia="Arial" w:hAnsi="Arial"/>
                <w:sz w:val="20"/>
                <w:szCs w:val="20"/>
                <w:color w:val="auto"/>
                <w:w w:val="89"/>
              </w:rPr>
              <w:t>Combined Notes to Consolidated Financial Statements</w:t>
            </w:r>
          </w:p>
        </w:tc>
        <w:tc>
          <w:tcPr>
            <w:tcW w:w="3200" w:type="dxa"/>
            <w:vAlign w:val="bottom"/>
            <w:gridSpan w:val="8"/>
          </w:tcPr>
          <w:p>
            <w:pPr>
              <w:spacing w:after="0"/>
              <w:rPr>
                <w:sz w:val="24"/>
                <w:szCs w:val="24"/>
                <w:color w:val="auto"/>
              </w:rPr>
            </w:pPr>
          </w:p>
        </w:tc>
        <w:tc>
          <w:tcPr>
            <w:tcW w:w="1380" w:type="dxa"/>
            <w:vAlign w:val="bottom"/>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80"/>
              </w:rPr>
              <w:t>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580" w:type="dxa"/>
            <w:vAlign w:val="bottom"/>
            <w:gridSpan w:val="26"/>
          </w:tcPr>
          <w:p>
            <w:pPr>
              <w:spacing w:after="0"/>
              <w:rPr>
                <w:sz w:val="20"/>
                <w:szCs w:val="20"/>
                <w:color w:val="auto"/>
              </w:rPr>
            </w:pPr>
            <w:r>
              <w:rPr>
                <w:rFonts w:ascii="Arial" w:cs="Arial" w:eastAsia="Arial" w:hAnsi="Arial"/>
                <w:sz w:val="20"/>
                <w:szCs w:val="20"/>
                <w:color w:val="auto"/>
                <w:w w:val="95"/>
              </w:rPr>
              <w:t>Changes in and Disagreements with Accountants on Accounting and Financial Disclosure</w:t>
            </w:r>
          </w:p>
        </w:tc>
        <w:tc>
          <w:tcPr>
            <w:tcW w:w="1580" w:type="dxa"/>
            <w:vAlign w:val="bottom"/>
            <w:gridSpan w:val="4"/>
          </w:tcPr>
          <w:p>
            <w:pPr>
              <w:jc w:val="right"/>
              <w:spacing w:after="0"/>
              <w:rPr>
                <w:sz w:val="20"/>
                <w:szCs w:val="20"/>
                <w:color w:val="auto"/>
              </w:rPr>
            </w:pPr>
            <w:r>
              <w:rPr>
                <w:rFonts w:ascii="Arial" w:cs="Arial" w:eastAsia="Arial" w:hAnsi="Arial"/>
                <w:sz w:val="20"/>
                <w:szCs w:val="20"/>
                <w:color w:val="auto"/>
              </w:rPr>
              <w:t>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180" w:type="dxa"/>
            <w:vAlign w:val="bottom"/>
            <w:tcBorders>
              <w:top w:val="single" w:sz="8" w:color="auto"/>
            </w:tcBorders>
            <w:gridSpan w:val="24"/>
          </w:tcPr>
          <w:p>
            <w:pPr>
              <w:spacing w:after="0"/>
              <w:rPr>
                <w:sz w:val="20"/>
                <w:szCs w:val="20"/>
                <w:color w:val="auto"/>
              </w:rPr>
            </w:pPr>
            <w:r>
              <w:rPr>
                <w:rFonts w:ascii="Arial" w:cs="Arial" w:eastAsia="Arial" w:hAnsi="Arial"/>
                <w:sz w:val="20"/>
                <w:szCs w:val="20"/>
                <w:color w:val="auto"/>
              </w:rPr>
              <w:t>Controls and Procedures</w:t>
            </w:r>
          </w:p>
        </w:tc>
        <w:tc>
          <w:tcPr>
            <w:tcW w:w="400" w:type="dxa"/>
            <w:vAlign w:val="bottom"/>
            <w:gridSpan w:val="2"/>
          </w:tcPr>
          <w:p>
            <w:pPr>
              <w:spacing w:after="0"/>
              <w:rPr>
                <w:sz w:val="24"/>
                <w:szCs w:val="24"/>
                <w:color w:val="auto"/>
              </w:rPr>
            </w:pPr>
          </w:p>
        </w:tc>
        <w:tc>
          <w:tcPr>
            <w:tcW w:w="1380" w:type="dxa"/>
            <w:vAlign w:val="bottom"/>
            <w:gridSpan w:val="2"/>
          </w:tcPr>
          <w:p>
            <w:pPr>
              <w:spacing w:after="0"/>
              <w:rPr>
                <w:sz w:val="24"/>
                <w:szCs w:val="24"/>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w w:val="80"/>
              </w:rPr>
              <w:t>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46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20"/>
                <w:szCs w:val="20"/>
                <w:color w:val="auto"/>
                <w:w w:val="92"/>
              </w:rPr>
              <w:t>Other Information</w:t>
            </w:r>
          </w:p>
        </w:tc>
        <w:tc>
          <w:tcPr>
            <w:tcW w:w="500" w:type="dxa"/>
            <w:vAlign w:val="bottom"/>
            <w:tcBorders>
              <w:top w:val="single" w:sz="8" w:color="auto"/>
            </w:tcBorders>
            <w:gridSpan w:val="3"/>
          </w:tcPr>
          <w:p>
            <w:pPr>
              <w:spacing w:after="0"/>
              <w:rPr>
                <w:sz w:val="24"/>
                <w:szCs w:val="24"/>
                <w:color w:val="auto"/>
              </w:rPr>
            </w:pPr>
          </w:p>
        </w:tc>
        <w:tc>
          <w:tcPr>
            <w:tcW w:w="5620" w:type="dxa"/>
            <w:vAlign w:val="bottom"/>
            <w:gridSpan w:val="15"/>
          </w:tcPr>
          <w:p>
            <w:pPr>
              <w:spacing w:after="0"/>
              <w:rPr>
                <w:sz w:val="24"/>
                <w:szCs w:val="24"/>
                <w:color w:val="auto"/>
              </w:rPr>
            </w:pPr>
          </w:p>
        </w:tc>
        <w:tc>
          <w:tcPr>
            <w:tcW w:w="1380" w:type="dxa"/>
            <w:vAlign w:val="bottom"/>
            <w:gridSpan w:val="2"/>
          </w:tcPr>
          <w:p>
            <w:pPr>
              <w:spacing w:after="0"/>
              <w:rPr>
                <w:sz w:val="24"/>
                <w:szCs w:val="24"/>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80"/>
              </w:rPr>
              <w:t>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440" w:type="dxa"/>
            <w:vAlign w:val="bottom"/>
            <w:tcBorders>
              <w:bottom w:val="single" w:sz="8" w:color="auto"/>
            </w:tcBorders>
            <w:gridSpan w:val="21"/>
          </w:tcPr>
          <w:p>
            <w:pPr>
              <w:spacing w:after="0"/>
              <w:rPr>
                <w:sz w:val="20"/>
                <w:szCs w:val="20"/>
                <w:color w:val="auto"/>
              </w:rPr>
            </w:pPr>
            <w:r>
              <w:rPr>
                <w:rFonts w:ascii="Arial" w:cs="Arial" w:eastAsia="Arial" w:hAnsi="Arial"/>
                <w:sz w:val="20"/>
                <w:szCs w:val="20"/>
                <w:color w:val="auto"/>
                <w:w w:val="90"/>
              </w:rPr>
              <w:t>Disclosure Regarding Foreign Jurisdictions that Prevent Inspections</w:t>
            </w:r>
          </w:p>
        </w:tc>
        <w:tc>
          <w:tcPr>
            <w:tcW w:w="2140" w:type="dxa"/>
            <w:vAlign w:val="bottom"/>
            <w:gridSpan w:val="5"/>
          </w:tcPr>
          <w:p>
            <w:pPr>
              <w:spacing w:after="0"/>
              <w:rPr>
                <w:sz w:val="24"/>
                <w:szCs w:val="24"/>
                <w:color w:val="auto"/>
              </w:rPr>
            </w:pPr>
          </w:p>
        </w:tc>
        <w:tc>
          <w:tcPr>
            <w:tcW w:w="1380" w:type="dxa"/>
            <w:vAlign w:val="bottom"/>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80"/>
              </w:rPr>
              <w:t>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gridSpan w:val="10"/>
          </w:tcPr>
          <w:p>
            <w:pPr>
              <w:jc w:val="center"/>
              <w:ind w:right="2900"/>
              <w:spacing w:after="0"/>
              <w:rPr>
                <w:sz w:val="20"/>
                <w:szCs w:val="20"/>
                <w:color w:val="auto"/>
              </w:rPr>
            </w:pPr>
            <w:r>
              <w:rPr>
                <w:rFonts w:ascii="Arial" w:cs="Arial" w:eastAsia="Arial" w:hAnsi="Arial"/>
                <w:sz w:val="20"/>
                <w:szCs w:val="20"/>
                <w:b w:val="1"/>
                <w:bCs w:val="1"/>
                <w:color w:val="auto"/>
              </w:rPr>
              <w:t>PART III</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580" w:type="dxa"/>
            <w:vAlign w:val="bottom"/>
            <w:gridSpan w:val="26"/>
          </w:tcPr>
          <w:p>
            <w:pPr>
              <w:spacing w:after="0"/>
              <w:rPr>
                <w:sz w:val="20"/>
                <w:szCs w:val="20"/>
                <w:color w:val="auto"/>
              </w:rPr>
            </w:pPr>
            <w:r>
              <w:rPr>
                <w:rFonts w:ascii="Arial" w:cs="Arial" w:eastAsia="Arial" w:hAnsi="Arial"/>
                <w:sz w:val="20"/>
                <w:szCs w:val="20"/>
                <w:color w:val="auto"/>
              </w:rPr>
              <w:t>Directors, Executive Officers and Corporate Governance</w:t>
            </w:r>
          </w:p>
        </w:tc>
        <w:tc>
          <w:tcPr>
            <w:tcW w:w="1580" w:type="dxa"/>
            <w:vAlign w:val="bottom"/>
            <w:gridSpan w:val="4"/>
          </w:tcPr>
          <w:p>
            <w:pPr>
              <w:jc w:val="right"/>
              <w:spacing w:after="0"/>
              <w:rPr>
                <w:sz w:val="20"/>
                <w:szCs w:val="20"/>
                <w:color w:val="auto"/>
              </w:rPr>
            </w:pPr>
            <w:r>
              <w:rPr>
                <w:rFonts w:ascii="Arial" w:cs="Arial" w:eastAsia="Arial" w:hAnsi="Arial"/>
                <w:sz w:val="20"/>
                <w:szCs w:val="20"/>
                <w:color w:val="auto"/>
              </w:rPr>
              <w:t>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540" w:type="dxa"/>
            <w:vAlign w:val="bottom"/>
            <w:tcBorders>
              <w:top w:val="single" w:sz="8" w:color="auto"/>
            </w:tcBorders>
            <w:gridSpan w:val="19"/>
          </w:tcPr>
          <w:p>
            <w:pPr>
              <w:spacing w:after="0"/>
              <w:rPr>
                <w:sz w:val="20"/>
                <w:szCs w:val="20"/>
                <w:color w:val="auto"/>
              </w:rPr>
            </w:pPr>
            <w:r>
              <w:rPr>
                <w:rFonts w:ascii="Arial" w:cs="Arial" w:eastAsia="Arial" w:hAnsi="Arial"/>
                <w:sz w:val="20"/>
                <w:szCs w:val="20"/>
                <w:color w:val="auto"/>
              </w:rPr>
              <w:t>Executive Compensation</w:t>
            </w:r>
          </w:p>
        </w:tc>
        <w:tc>
          <w:tcPr>
            <w:tcW w:w="3040" w:type="dxa"/>
            <w:vAlign w:val="bottom"/>
            <w:gridSpan w:val="7"/>
          </w:tcPr>
          <w:p>
            <w:pPr>
              <w:spacing w:after="0"/>
              <w:rPr>
                <w:sz w:val="24"/>
                <w:szCs w:val="24"/>
                <w:color w:val="auto"/>
              </w:rPr>
            </w:pPr>
          </w:p>
        </w:tc>
        <w:tc>
          <w:tcPr>
            <w:tcW w:w="1380" w:type="dxa"/>
            <w:vAlign w:val="bottom"/>
            <w:gridSpan w:val="2"/>
          </w:tcPr>
          <w:p>
            <w:pPr>
              <w:spacing w:after="0"/>
              <w:rPr>
                <w:sz w:val="24"/>
                <w:szCs w:val="24"/>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w w:val="80"/>
              </w:rPr>
              <w:t>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120" w:type="dxa"/>
            <w:vAlign w:val="bottom"/>
            <w:gridSpan w:val="9"/>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580" w:type="dxa"/>
            <w:vAlign w:val="bottom"/>
            <w:gridSpan w:val="26"/>
          </w:tcPr>
          <w:p>
            <w:pPr>
              <w:spacing w:after="0"/>
              <w:rPr>
                <w:sz w:val="20"/>
                <w:szCs w:val="20"/>
                <w:color w:val="auto"/>
              </w:rPr>
            </w:pPr>
            <w:r>
              <w:rPr>
                <w:rFonts w:ascii="Arial" w:cs="Arial" w:eastAsia="Arial" w:hAnsi="Arial"/>
                <w:sz w:val="20"/>
                <w:szCs w:val="20"/>
                <w:color w:val="auto"/>
                <w:w w:val="92"/>
              </w:rPr>
              <w:t>Security Ownership of Certain Beneficial Owners and Management and Related Stockholder</w:t>
            </w:r>
          </w:p>
        </w:tc>
        <w:tc>
          <w:tcPr>
            <w:tcW w:w="1580" w:type="dxa"/>
            <w:vAlign w:val="bottom"/>
            <w:gridSpan w:val="4"/>
            <w:vMerge w:val="restart"/>
          </w:tcPr>
          <w:p>
            <w:pPr>
              <w:jc w:val="right"/>
              <w:spacing w:after="0"/>
              <w:rPr>
                <w:sz w:val="20"/>
                <w:szCs w:val="20"/>
                <w:color w:val="auto"/>
              </w:rPr>
            </w:pPr>
            <w:r>
              <w:rPr>
                <w:rFonts w:ascii="Arial" w:cs="Arial" w:eastAsia="Arial" w:hAnsi="Arial"/>
                <w:sz w:val="20"/>
                <w:szCs w:val="20"/>
                <w:color w:val="auto"/>
              </w:rPr>
              <w:t>96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7480" w:type="dxa"/>
            <w:vAlign w:val="bottom"/>
            <w:tcBorders>
              <w:top w:val="single" w:sz="8" w:color="auto"/>
            </w:tcBorders>
            <w:gridSpan w:val="25"/>
          </w:tcPr>
          <w:p>
            <w:pPr>
              <w:spacing w:after="0" w:line="180" w:lineRule="exact"/>
              <w:rPr>
                <w:sz w:val="20"/>
                <w:szCs w:val="20"/>
                <w:color w:val="auto"/>
              </w:rPr>
            </w:pPr>
            <w:r>
              <w:rPr>
                <w:rFonts w:ascii="Arial" w:cs="Arial" w:eastAsia="Arial" w:hAnsi="Arial"/>
                <w:sz w:val="20"/>
                <w:szCs w:val="20"/>
                <w:color w:val="auto"/>
              </w:rPr>
              <w:t>Matters</w:t>
            </w:r>
          </w:p>
        </w:tc>
        <w:tc>
          <w:tcPr>
            <w:tcW w:w="10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120" w:type="dxa"/>
            <w:vAlign w:val="bottom"/>
            <w:gridSpan w:val="9"/>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060" w:type="dxa"/>
            <w:vAlign w:val="bottom"/>
            <w:tcBorders>
              <w:bottom w:val="single" w:sz="8" w:color="auto"/>
            </w:tcBorders>
            <w:gridSpan w:val="22"/>
          </w:tcPr>
          <w:p>
            <w:pPr>
              <w:spacing w:after="0"/>
              <w:rPr>
                <w:sz w:val="20"/>
                <w:szCs w:val="20"/>
                <w:color w:val="auto"/>
              </w:rPr>
            </w:pPr>
            <w:r>
              <w:rPr>
                <w:rFonts w:ascii="Arial" w:cs="Arial" w:eastAsia="Arial" w:hAnsi="Arial"/>
                <w:sz w:val="20"/>
                <w:szCs w:val="20"/>
                <w:color w:val="auto"/>
                <w:w w:val="89"/>
              </w:rPr>
              <w:t>Certain Relationships and Related Transactions, and Director Independence</w:t>
            </w:r>
          </w:p>
        </w:tc>
        <w:tc>
          <w:tcPr>
            <w:tcW w:w="1520" w:type="dxa"/>
            <w:vAlign w:val="bottom"/>
            <w:gridSpan w:val="4"/>
          </w:tcPr>
          <w:p>
            <w:pPr>
              <w:spacing w:after="0"/>
              <w:rPr>
                <w:sz w:val="24"/>
                <w:szCs w:val="24"/>
                <w:color w:val="auto"/>
              </w:rPr>
            </w:pPr>
          </w:p>
        </w:tc>
        <w:tc>
          <w:tcPr>
            <w:tcW w:w="1380" w:type="dxa"/>
            <w:vAlign w:val="bottom"/>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80"/>
              </w:rPr>
              <w:t>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580" w:type="dxa"/>
            <w:vAlign w:val="bottom"/>
            <w:gridSpan w:val="26"/>
          </w:tcPr>
          <w:p>
            <w:pPr>
              <w:spacing w:after="0"/>
              <w:rPr>
                <w:sz w:val="20"/>
                <w:szCs w:val="20"/>
                <w:color w:val="auto"/>
              </w:rPr>
            </w:pPr>
            <w:r>
              <w:rPr>
                <w:rFonts w:ascii="Arial" w:cs="Arial" w:eastAsia="Arial" w:hAnsi="Arial"/>
                <w:sz w:val="20"/>
                <w:szCs w:val="20"/>
                <w:color w:val="auto"/>
              </w:rPr>
              <w:t>Principal Accountant Fees and Services</w:t>
            </w:r>
          </w:p>
        </w:tc>
        <w:tc>
          <w:tcPr>
            <w:tcW w:w="1580" w:type="dxa"/>
            <w:vAlign w:val="bottom"/>
            <w:gridSpan w:val="4"/>
          </w:tcPr>
          <w:p>
            <w:pPr>
              <w:jc w:val="right"/>
              <w:spacing w:after="0"/>
              <w:rPr>
                <w:sz w:val="20"/>
                <w:szCs w:val="20"/>
                <w:color w:val="auto"/>
              </w:rPr>
            </w:pPr>
            <w:r>
              <w:rPr>
                <w:rFonts w:ascii="Arial" w:cs="Arial" w:eastAsia="Arial" w:hAnsi="Arial"/>
                <w:sz w:val="20"/>
                <w:szCs w:val="20"/>
                <w:color w:val="auto"/>
              </w:rPr>
              <w:t>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gridSpan w:val="10"/>
          </w:tcPr>
          <w:p>
            <w:pPr>
              <w:jc w:val="center"/>
              <w:ind w:right="2900"/>
              <w:spacing w:after="0"/>
              <w:rPr>
                <w:sz w:val="20"/>
                <w:szCs w:val="20"/>
                <w:color w:val="auto"/>
              </w:rPr>
            </w:pPr>
            <w:r>
              <w:rPr>
                <w:rFonts w:ascii="Arial" w:cs="Arial" w:eastAsia="Arial" w:hAnsi="Arial"/>
                <w:sz w:val="20"/>
                <w:szCs w:val="20"/>
                <w:b w:val="1"/>
                <w:bCs w:val="1"/>
                <w:color w:val="auto"/>
              </w:rPr>
              <w:t>PART IV</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580" w:type="dxa"/>
            <w:vAlign w:val="bottom"/>
            <w:gridSpan w:val="26"/>
          </w:tcPr>
          <w:p>
            <w:pPr>
              <w:spacing w:after="0"/>
              <w:rPr>
                <w:sz w:val="20"/>
                <w:szCs w:val="20"/>
                <w:color w:val="auto"/>
              </w:rPr>
            </w:pPr>
            <w:r>
              <w:rPr>
                <w:rFonts w:ascii="Arial" w:cs="Arial" w:eastAsia="Arial" w:hAnsi="Arial"/>
                <w:sz w:val="20"/>
                <w:szCs w:val="20"/>
                <w:color w:val="auto"/>
              </w:rPr>
              <w:t>Exhibits and Financial Statement Schedules</w:t>
            </w:r>
          </w:p>
        </w:tc>
        <w:tc>
          <w:tcPr>
            <w:tcW w:w="1580" w:type="dxa"/>
            <w:vAlign w:val="bottom"/>
            <w:gridSpan w:val="4"/>
          </w:tcPr>
          <w:p>
            <w:pPr>
              <w:jc w:val="right"/>
              <w:spacing w:after="0"/>
              <w:rPr>
                <w:sz w:val="20"/>
                <w:szCs w:val="20"/>
                <w:color w:val="auto"/>
              </w:rPr>
            </w:pPr>
            <w:r>
              <w:rPr>
                <w:rFonts w:ascii="Arial" w:cs="Arial" w:eastAsia="Arial" w:hAnsi="Arial"/>
                <w:sz w:val="20"/>
                <w:szCs w:val="20"/>
                <w:color w:val="auto"/>
              </w:rPr>
              <w:t>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720" w:type="dxa"/>
            <w:vAlign w:val="bottom"/>
            <w:tcBorders>
              <w:top w:val="single" w:sz="8" w:color="auto"/>
              <w:bottom w:val="single" w:sz="8" w:color="auto"/>
            </w:tcBorders>
            <w:gridSpan w:val="10"/>
          </w:tcPr>
          <w:p>
            <w:pPr>
              <w:spacing w:after="0"/>
              <w:rPr>
                <w:sz w:val="20"/>
                <w:szCs w:val="20"/>
                <w:color w:val="auto"/>
              </w:rPr>
            </w:pPr>
            <w:r>
              <w:rPr>
                <w:rFonts w:ascii="Arial" w:cs="Arial" w:eastAsia="Arial" w:hAnsi="Arial"/>
                <w:sz w:val="20"/>
                <w:szCs w:val="20"/>
                <w:color w:val="auto"/>
                <w:w w:val="91"/>
              </w:rPr>
              <w:t>Form 10-K Summary</w:t>
            </w:r>
          </w:p>
        </w:tc>
        <w:tc>
          <w:tcPr>
            <w:tcW w:w="1780" w:type="dxa"/>
            <w:vAlign w:val="bottom"/>
            <w:tcBorders>
              <w:top w:val="single" w:sz="8" w:color="auto"/>
            </w:tcBorders>
            <w:gridSpan w:val="6"/>
          </w:tcPr>
          <w:p>
            <w:pPr>
              <w:spacing w:after="0"/>
              <w:rPr>
                <w:sz w:val="24"/>
                <w:szCs w:val="24"/>
                <w:color w:val="auto"/>
              </w:rPr>
            </w:pPr>
          </w:p>
        </w:tc>
        <w:tc>
          <w:tcPr>
            <w:tcW w:w="4080" w:type="dxa"/>
            <w:vAlign w:val="bottom"/>
            <w:gridSpan w:val="10"/>
          </w:tcPr>
          <w:p>
            <w:pPr>
              <w:spacing w:after="0"/>
              <w:rPr>
                <w:sz w:val="24"/>
                <w:szCs w:val="24"/>
                <w:color w:val="auto"/>
              </w:rPr>
            </w:pPr>
          </w:p>
        </w:tc>
        <w:tc>
          <w:tcPr>
            <w:tcW w:w="1380" w:type="dxa"/>
            <w:vAlign w:val="bottom"/>
            <w:gridSpan w:val="2"/>
          </w:tcPr>
          <w:p>
            <w:pPr>
              <w:spacing w:after="0"/>
              <w:rPr>
                <w:sz w:val="24"/>
                <w:szCs w:val="24"/>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80"/>
              </w:rPr>
              <w:t>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80" w:orient="portrait"/>
          <w:cols w:equalWidth="0" w:num="2">
            <w:col w:w="720" w:space="260"/>
            <w:col w:w="9220"/>
          </w:cols>
          <w:pgMar w:left="860" w:top="605" w:right="820" w:bottom="1440" w:gutter="0" w:footer="0" w:header="0"/>
        </w:sectPr>
      </w:pPr>
    </w:p>
    <w:bookmarkStart w:id="4" w:name="page5"/>
    <w:bookmarkEnd w:id="4"/>
    <w:p>
      <w:pPr>
        <w:ind w:right="60"/>
        <w:spacing w:after="0" w:line="277" w:lineRule="auto"/>
        <w:rPr>
          <w:sz w:val="20"/>
          <w:szCs w:val="20"/>
          <w:color w:val="auto"/>
        </w:rPr>
      </w:pPr>
      <w:r>
        <w:rPr>
          <w:rFonts w:ascii="Arial" w:cs="Arial" w:eastAsia="Arial" w:hAnsi="Arial"/>
          <w:sz w:val="18"/>
          <w:szCs w:val="18"/>
          <w:b w:val="1"/>
          <w:bCs w:val="1"/>
          <w:i w:val="1"/>
          <w:iCs w:val="1"/>
          <w:color w:val="auto"/>
        </w:rPr>
        <w:t>This Annual Report on Form 10-K ("Form 10-K") contains various "forward-looking statements" within the meaning of Section 27A of the Securities Act of 1933, as amended (the "Securities Act"), and Section 21E of the Securities Exchange Act of 1934, as amended (the "Exchange Act"). Forward-looking statements represent our expectations and beliefs concerning future results or events, based on information available to us on the date of the filing of this Form 10-K, and are subject to various risks and uncertainties. Factors that could cause actual results or events to differ materially from those referenced in the forward-looking statements are listed in Part I, Item 1A. Risk Factors and in Part II, Item 7. Management's Discussion and Analysis of Financial Condition and Results of Operations. We disclaim any intent or obligation to update or revise any of the forward-looking statements, whether in response to new information, unforeseen events, changed circumstances or otherwise, except as required by applicable law.</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I</w:t>
      </w:r>
    </w:p>
    <w:p>
      <w:pPr>
        <w:spacing w:after="0" w:line="200" w:lineRule="exact"/>
        <w:rPr>
          <w:sz w:val="20"/>
          <w:szCs w:val="20"/>
          <w:color w:val="auto"/>
        </w:rPr>
      </w:pPr>
    </w:p>
    <w:p>
      <w:pPr>
        <w:spacing w:after="0" w:line="280"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b w:val="1"/>
          <w:bCs w:val="1"/>
          <w:color w:val="auto"/>
        </w:rPr>
        <w:t>ITEM 1.</w:t>
      </w:r>
      <w:r>
        <w:rPr>
          <w:sz w:val="20"/>
          <w:szCs w:val="20"/>
          <w:color w:val="auto"/>
        </w:rPr>
        <w:tab/>
      </w:r>
      <w:r>
        <w:rPr>
          <w:rFonts w:ascii="Arial" w:cs="Arial" w:eastAsia="Arial" w:hAnsi="Arial"/>
          <w:sz w:val="18"/>
          <w:szCs w:val="18"/>
          <w:b w:val="1"/>
          <w:bCs w:val="1"/>
          <w:color w:val="auto"/>
        </w:rPr>
        <w:t>BUSINESS.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United Airlines Holdings, Inc. (together with its consolidated subsidiaries, "UAL" or the "Company") is a holding company and its wholly-owned subsidiary is United Airlines, Inc. (together with its consolidated subsidiaries, "United"). United's shared purpose is "Connecting People. Uniting the World." United has the most comprehensive route network among North American carriers, including U.S. mainland hubs in Chicago, Denver, Houston, Los Angeles, New York/Newark, San Francisco and Washington, D.C.</w:t>
      </w:r>
      <w:r>
        <w:rPr>
          <w:rFonts w:ascii="Arial" w:cs="Arial" w:eastAsia="Arial" w:hAnsi="Arial"/>
          <w:sz w:val="19"/>
          <w:szCs w:val="19"/>
          <w:b w:val="1"/>
          <w:bCs w:val="1"/>
          <w:color w:val="auto"/>
        </w:rPr>
        <w:t xml:space="preserve"> </w:t>
      </w:r>
    </w:p>
    <w:p>
      <w:pPr>
        <w:spacing w:after="0" w:line="114" w:lineRule="exact"/>
        <w:rPr>
          <w:sz w:val="20"/>
          <w:szCs w:val="20"/>
          <w:color w:val="auto"/>
        </w:rPr>
      </w:pPr>
    </w:p>
    <w:p>
      <w:pPr>
        <w:ind w:right="120"/>
        <w:spacing w:after="0" w:line="262" w:lineRule="auto"/>
        <w:rPr>
          <w:sz w:val="20"/>
          <w:szCs w:val="20"/>
          <w:color w:val="auto"/>
        </w:rPr>
      </w:pPr>
      <w:r>
        <w:rPr>
          <w:rFonts w:ascii="Arial" w:cs="Arial" w:eastAsia="Arial" w:hAnsi="Arial"/>
          <w:sz w:val="19"/>
          <w:szCs w:val="19"/>
          <w:color w:val="auto"/>
        </w:rPr>
        <w:t>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principal executive office is located at 233 South Wacker Drive, Chicago, Illinois 60606 (telephone number</w:t>
      </w:r>
    </w:p>
    <w:p>
      <w:pPr>
        <w:spacing w:after="0" w:line="26" w:lineRule="exact"/>
        <w:rPr>
          <w:sz w:val="20"/>
          <w:szCs w:val="20"/>
          <w:color w:val="auto"/>
        </w:rPr>
      </w:pPr>
    </w:p>
    <w:p>
      <w:pPr>
        <w:ind w:right="120" w:firstLine="3"/>
        <w:spacing w:after="0" w:line="277" w:lineRule="auto"/>
        <w:tabs>
          <w:tab w:leader="none" w:pos="469" w:val="left"/>
        </w:tabs>
        <w:numPr>
          <w:ilvl w:val="0"/>
          <w:numId w:val="3"/>
        </w:numPr>
        <w:rPr>
          <w:rFonts w:ascii="Arial" w:cs="Arial" w:eastAsia="Arial" w:hAnsi="Arial"/>
          <w:sz w:val="18"/>
          <w:szCs w:val="18"/>
          <w:color w:val="auto"/>
        </w:rPr>
      </w:pPr>
      <w:r>
        <w:rPr>
          <w:rFonts w:ascii="Arial" w:cs="Arial" w:eastAsia="Arial" w:hAnsi="Arial"/>
          <w:sz w:val="18"/>
          <w:szCs w:val="18"/>
          <w:color w:val="auto"/>
        </w:rPr>
        <w:t>825-4000). The Company's website is located at www.united.com and its investor relations website is located at ir.united.com. The information contained on or connected to the Company's websites is not incorporated by reference into this Form 10-K and should not be considered part of this or any other report filed with the U.S. Securities and Exchange Commission ("SEC"). The Company's filings with the SEC, including annual reports on Form 10-K, quarterly reports on Form 10-Q, current reports on Form 8-K, and all amendments to those reports, as well as UAL's proxy statement for its annual meeting of stockholders, are accessible without charge on the Company's investor relations website, as soon as reasonably practicable, after we electronically file such material with, or furnish such material to, the SEC pursuant to Section 13(a) or 15(d) of the Exchange Act. Such filings are also available on the SEC's website at www.sec.gov.</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Operations</w:t>
      </w:r>
    </w:p>
    <w:p>
      <w:pPr>
        <w:spacing w:after="0" w:line="196"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The Company transports people and cargo throughout North America and to destinations in Asia, Europe, Africa, the Pacific, the Middle East and Latin America. UAL, through United and its regional carriers, operates across six continents, with hubs at Chicago O'Hare International Airport ("ORD"), Denver International Airport ("DEN"), George Bush Intercontinental Airport ("IAH"), Los Angeles International Airport ("LAX"), Newark Liberty International Airport ("EWR"), San Francisco International Airport ("SFO"), Washington Dulles International Airport ("IAD") and A.B. Won Pat International Airport ("GUM").</w:t>
      </w:r>
    </w:p>
    <w:p>
      <w:pPr>
        <w:spacing w:after="0" w:line="135" w:lineRule="exact"/>
        <w:rPr>
          <w:sz w:val="20"/>
          <w:szCs w:val="20"/>
          <w:color w:val="auto"/>
        </w:rPr>
      </w:pPr>
    </w:p>
    <w:p>
      <w:pPr>
        <w:ind w:right="180"/>
        <w:spacing w:after="0" w:line="283" w:lineRule="auto"/>
        <w:rPr>
          <w:sz w:val="20"/>
          <w:szCs w:val="20"/>
          <w:color w:val="auto"/>
        </w:rPr>
      </w:pPr>
      <w:r>
        <w:rPr>
          <w:rFonts w:ascii="Arial" w:cs="Arial" w:eastAsia="Arial" w:hAnsi="Arial"/>
          <w:sz w:val="18"/>
          <w:szCs w:val="18"/>
          <w:color w:val="auto"/>
        </w:rPr>
        <w:t>All of the Company's domestic hubs are located in large business and population centers, contributing to a large amount of "origin and destination" traffic. The hub and spoke system allows us to transport passengers between a large number of destinations with substantially more frequent service than if each route were served directly. The hub system also allows us to add service to a new destination from a large number of cities using only one or a limited number of aircraft. As discussed under Alliances below, United is a member of Star Alliance, the world's largest alliance network.</w:t>
      </w:r>
    </w:p>
    <w:p>
      <w:pPr>
        <w:spacing w:after="0" w:line="114" w:lineRule="exact"/>
        <w:rPr>
          <w:sz w:val="20"/>
          <w:szCs w:val="20"/>
          <w:color w:val="auto"/>
        </w:rPr>
      </w:pPr>
    </w:p>
    <w:p>
      <w:pPr>
        <w:ind w:right="60"/>
        <w:spacing w:after="0" w:line="305" w:lineRule="auto"/>
        <w:rPr>
          <w:sz w:val="20"/>
          <w:szCs w:val="20"/>
          <w:color w:val="auto"/>
        </w:rPr>
      </w:pPr>
      <w:r>
        <w:rPr>
          <w:rFonts w:ascii="Arial" w:cs="Arial" w:eastAsia="Arial" w:hAnsi="Arial"/>
          <w:sz w:val="17"/>
          <w:szCs w:val="17"/>
          <w:b w:val="1"/>
          <w:bCs w:val="1"/>
          <w:i w:val="1"/>
          <w:iCs w:val="1"/>
          <w:color w:val="auto"/>
        </w:rPr>
        <w:t xml:space="preserve">United Next. </w:t>
      </w:r>
      <w:r>
        <w:rPr>
          <w:rFonts w:ascii="Arial" w:cs="Arial" w:eastAsia="Arial" w:hAnsi="Arial"/>
          <w:sz w:val="17"/>
          <w:szCs w:val="17"/>
          <w:color w:val="auto"/>
        </w:rPr>
        <w:t>In 2025 the Company continued to make progress with its United Next plan to align its network and product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potential of its hubs while remaining focused on protecting the safety of its employees and customers and providing a superior customer experience. United Next aims to increase customer choice and win brand-loyal customers by offering a diversity of products ranging from Basic Economy to Polaris and growing our leading global network, which the Company believes will lead to diverse revenue streams for the Company. As part of its United Next growth plan, the Company expects to</w:t>
      </w:r>
    </w:p>
    <w:p>
      <w:pPr>
        <w:sectPr>
          <w:pgSz w:w="11880" w:h="15480" w:orient="portrait"/>
          <w:cols w:equalWidth="0" w:num="1">
            <w:col w:w="9940"/>
          </w:cols>
          <w:pgMar w:left="960" w:top="583" w:right="980" w:bottom="68"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9940"/>
          </w:cols>
          <w:pgMar w:left="960" w:top="583" w:right="980" w:bottom="68" w:gutter="0" w:footer="0" w:header="0"/>
          <w:type w:val="continuous"/>
        </w:sectPr>
      </w:pPr>
    </w:p>
    <w:bookmarkStart w:id="5" w:name="page6"/>
    <w:bookmarkEnd w:id="5"/>
    <w:p>
      <w:pPr>
        <w:ind w:right="140"/>
        <w:spacing w:after="0" w:line="274" w:lineRule="auto"/>
        <w:rPr>
          <w:sz w:val="20"/>
          <w:szCs w:val="20"/>
          <w:color w:val="auto"/>
        </w:rPr>
      </w:pPr>
      <w:r>
        <w:rPr>
          <w:rFonts w:ascii="Arial" w:cs="Arial" w:eastAsia="Arial" w:hAnsi="Arial"/>
          <w:sz w:val="19"/>
          <w:szCs w:val="19"/>
          <w:color w:val="auto"/>
        </w:rPr>
        <w:t>take delivery of over 630 new narrow- and widebody aircraft by the end of 2034. The new aircraft that the Company has taken delivery of to date have increased the Company's gauge, scale and connectivity as well as improved the Company's fuel efficiency. Other key highlights of its United Next plan include:</w:t>
      </w:r>
    </w:p>
    <w:p>
      <w:pPr>
        <w:spacing w:after="0" w:line="125" w:lineRule="exact"/>
        <w:rPr>
          <w:sz w:val="20"/>
          <w:szCs w:val="20"/>
          <w:color w:val="auto"/>
        </w:rPr>
      </w:pPr>
    </w:p>
    <w:p>
      <w:pPr>
        <w:ind w:left="700" w:hanging="348"/>
        <w:spacing w:after="0"/>
        <w:tabs>
          <w:tab w:leader="none" w:pos="70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increasing our employee headcount by more than 38,000 employees since 2020;</w:t>
      </w:r>
    </w:p>
    <w:p>
      <w:pPr>
        <w:spacing w:after="0" w:line="188" w:lineRule="exact"/>
        <w:rPr>
          <w:rFonts w:ascii="Arial" w:cs="Arial" w:eastAsia="Arial" w:hAnsi="Arial"/>
          <w:sz w:val="19"/>
          <w:szCs w:val="19"/>
          <w:color w:val="auto"/>
        </w:rPr>
      </w:pPr>
    </w:p>
    <w:p>
      <w:pPr>
        <w:ind w:left="700" w:right="40" w:hanging="348"/>
        <w:spacing w:after="0" w:line="294" w:lineRule="auto"/>
        <w:tabs>
          <w:tab w:leader="none" w:pos="700" w:val="left"/>
        </w:tabs>
        <w:numPr>
          <w:ilvl w:val="0"/>
          <w:numId w:val="4"/>
        </w:numPr>
        <w:rPr>
          <w:rFonts w:ascii="Arial" w:cs="Arial" w:eastAsia="Arial" w:hAnsi="Arial"/>
          <w:sz w:val="19"/>
          <w:szCs w:val="19"/>
          <w:color w:val="auto"/>
        </w:rPr>
      </w:pPr>
      <w:r>
        <w:rPr>
          <w:rFonts w:ascii="Arial" w:cs="Arial" w:eastAsia="Arial" w:hAnsi="Arial"/>
          <w:sz w:val="19"/>
          <w:szCs w:val="19"/>
          <w:color w:val="auto"/>
        </w:rPr>
        <w:t>surpassing 530 new and retrofit aircraft featuring United's signature interior with bigger bins, seatback screens at every seat and Bluetooth connectivity;</w:t>
      </w:r>
    </w:p>
    <w:p>
      <w:pPr>
        <w:spacing w:after="0" w:line="105" w:lineRule="exact"/>
        <w:rPr>
          <w:rFonts w:ascii="Arial" w:cs="Arial" w:eastAsia="Arial" w:hAnsi="Arial"/>
          <w:sz w:val="19"/>
          <w:szCs w:val="19"/>
          <w:color w:val="auto"/>
        </w:rPr>
      </w:pPr>
    </w:p>
    <w:p>
      <w:pPr>
        <w:ind w:left="700" w:right="40" w:hanging="348"/>
        <w:spacing w:after="0" w:line="294" w:lineRule="auto"/>
        <w:tabs>
          <w:tab w:leader="none" w:pos="700" w:val="left"/>
        </w:tabs>
        <w:numPr>
          <w:ilvl w:val="0"/>
          <w:numId w:val="4"/>
        </w:numPr>
        <w:rPr>
          <w:rFonts w:ascii="Arial" w:cs="Arial" w:eastAsia="Arial" w:hAnsi="Arial"/>
          <w:sz w:val="19"/>
          <w:szCs w:val="19"/>
          <w:color w:val="auto"/>
        </w:rPr>
      </w:pPr>
      <w:r>
        <w:rPr>
          <w:rFonts w:ascii="Arial" w:cs="Arial" w:eastAsia="Arial" w:hAnsi="Arial"/>
          <w:sz w:val="19"/>
          <w:szCs w:val="19"/>
          <w:color w:val="auto"/>
        </w:rPr>
        <w:t>expanding the Company's leading global network to destinations like Bangkok, Thailand; Ho Chi Minh City, Vietnam; and Adelaide, Australia.</w:t>
      </w:r>
    </w:p>
    <w:p>
      <w:pPr>
        <w:spacing w:after="0" w:line="105" w:lineRule="exact"/>
        <w:rPr>
          <w:rFonts w:ascii="Arial" w:cs="Arial" w:eastAsia="Arial" w:hAnsi="Arial"/>
          <w:sz w:val="19"/>
          <w:szCs w:val="19"/>
          <w:color w:val="auto"/>
        </w:rPr>
      </w:pPr>
    </w:p>
    <w:p>
      <w:pPr>
        <w:ind w:left="700" w:right="560" w:hanging="348"/>
        <w:spacing w:after="0" w:line="294" w:lineRule="auto"/>
        <w:tabs>
          <w:tab w:leader="none" w:pos="70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inaugurating service to eight new destinations: Nuuk, Greenland; Ulaanbaatar, Mongolia; Faro, Portugal; Puerto Escondido, Mexico; Palermo, Italy; Bilbao, Spain; and Madeira Island, Portugal.</w:t>
      </w:r>
    </w:p>
    <w:p>
      <w:pPr>
        <w:spacing w:after="0" w:line="105" w:lineRule="exact"/>
        <w:rPr>
          <w:rFonts w:ascii="Arial" w:cs="Arial" w:eastAsia="Arial" w:hAnsi="Arial"/>
          <w:sz w:val="19"/>
          <w:szCs w:val="19"/>
          <w:color w:val="auto"/>
        </w:rPr>
      </w:pPr>
    </w:p>
    <w:p>
      <w:pPr>
        <w:ind w:left="700" w:right="200" w:hanging="348"/>
        <w:spacing w:after="0" w:line="294" w:lineRule="auto"/>
        <w:tabs>
          <w:tab w:leader="none" w:pos="700" w:val="left"/>
        </w:tabs>
        <w:numPr>
          <w:ilvl w:val="0"/>
          <w:numId w:val="4"/>
        </w:numPr>
        <w:rPr>
          <w:rFonts w:ascii="Arial" w:cs="Arial" w:eastAsia="Arial" w:hAnsi="Arial"/>
          <w:sz w:val="19"/>
          <w:szCs w:val="19"/>
          <w:color w:val="auto"/>
        </w:rPr>
      </w:pPr>
      <w:r>
        <w:rPr>
          <w:rFonts w:ascii="Arial" w:cs="Arial" w:eastAsia="Arial" w:hAnsi="Arial"/>
          <w:sz w:val="19"/>
          <w:szCs w:val="19"/>
          <w:color w:val="auto"/>
        </w:rPr>
        <w:t>launching Kinective Media</w:t>
      </w:r>
      <w:r>
        <w:rPr>
          <w:rFonts w:ascii="Arial" w:cs="Arial" w:eastAsia="Arial" w:hAnsi="Arial"/>
          <w:sz w:val="12"/>
          <w:szCs w:val="12"/>
          <w:color w:val="auto"/>
        </w:rPr>
        <w:t>SM</w:t>
      </w:r>
      <w:r>
        <w:rPr>
          <w:rFonts w:ascii="Arial" w:cs="Arial" w:eastAsia="Arial" w:hAnsi="Arial"/>
          <w:sz w:val="19"/>
          <w:szCs w:val="19"/>
          <w:color w:val="auto"/>
        </w:rPr>
        <w:t xml:space="preserve"> – the first media network that uses insights from travel behaviors to connect customers to personalized advertising, experiences and offers from leading brands;</w:t>
      </w:r>
    </w:p>
    <w:p>
      <w:pPr>
        <w:spacing w:after="0" w:line="105" w:lineRule="exact"/>
        <w:rPr>
          <w:rFonts w:ascii="Arial" w:cs="Arial" w:eastAsia="Arial" w:hAnsi="Arial"/>
          <w:sz w:val="19"/>
          <w:szCs w:val="19"/>
          <w:color w:val="auto"/>
        </w:rPr>
      </w:pPr>
    </w:p>
    <w:p>
      <w:pPr>
        <w:ind w:left="700" w:right="300" w:hanging="348"/>
        <w:spacing w:after="0" w:line="294" w:lineRule="auto"/>
        <w:tabs>
          <w:tab w:leader="none" w:pos="700" w:val="left"/>
        </w:tabs>
        <w:numPr>
          <w:ilvl w:val="0"/>
          <w:numId w:val="4"/>
        </w:numPr>
        <w:rPr>
          <w:rFonts w:ascii="Arial" w:cs="Arial" w:eastAsia="Arial" w:hAnsi="Arial"/>
          <w:sz w:val="19"/>
          <w:szCs w:val="19"/>
          <w:color w:val="auto"/>
        </w:rPr>
      </w:pPr>
      <w:r>
        <w:rPr>
          <w:rFonts w:ascii="Arial" w:cs="Arial" w:eastAsia="Arial" w:hAnsi="Arial"/>
          <w:sz w:val="19"/>
          <w:szCs w:val="19"/>
          <w:color w:val="auto"/>
        </w:rPr>
        <w:t>bringing Starlink's Wi-Fi service (the world's fastest, most reliable Wi-Fi in the sky) to our United Express regional aircraft and beginning installation on our mainline aircraft; and</w:t>
      </w:r>
    </w:p>
    <w:p>
      <w:pPr>
        <w:spacing w:after="0" w:line="105" w:lineRule="exact"/>
        <w:rPr>
          <w:rFonts w:ascii="Arial" w:cs="Arial" w:eastAsia="Arial" w:hAnsi="Arial"/>
          <w:sz w:val="19"/>
          <w:szCs w:val="19"/>
          <w:color w:val="auto"/>
        </w:rPr>
      </w:pPr>
    </w:p>
    <w:p>
      <w:pPr>
        <w:ind w:left="700" w:hanging="348"/>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making significant technology changes that empower the Company's employees and improve the customer experience.</w:t>
      </w:r>
    </w:p>
    <w:p>
      <w:pPr>
        <w:spacing w:after="0" w:line="207"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auto"/>
        </w:rPr>
        <w:t xml:space="preserve">Regional. </w:t>
      </w:r>
      <w:r>
        <w:rPr>
          <w:rFonts w:ascii="Arial" w:cs="Arial" w:eastAsia="Arial" w:hAnsi="Arial"/>
          <w:sz w:val="17"/>
          <w:szCs w:val="17"/>
          <w:color w:val="auto"/>
        </w:rPr>
        <w:t>The Company's business and operations are dependent on its regional flight network, with regional capacity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for approximately 6.1% of the Company's total capacity for the year ended December 31, 2025. The Company has contractual relationships with various regional carriers to provide regional aircraft service branded as United Express. This regional service complements our operations by carrying traffic that connects to our hubs and allows flights to smaller cities that cannot be provided economically with mainline aircraft. CommuteAir LLC ("CommuteAir"), GoJet Airlines, LLC ("GoJet"), Mesa Airlines, Inc. ("Mesa"), Republic Airways Inc. ("Republic") and SkyWest Airlines, Inc. ("SkyWest") are all regional carriers that operate with capacity contracted to United under capacity purchase agreements ("CPAs"). Under these CPAs, the Company pays the regional carriers contractually agreed fees (carrier costs) for operating these flights plus a variable rate adjustment based on agreed performance metrics, subject to annual adjustments. The fees are based on rates multiplied by specific operating statistics (e.g., block hours, departures), as well as fixed monthly amounts. Under these CPAs, the Company is also responsible for all fuel costs incurred, as well as landing fees and other costs, which are either passed through by the regional carrier to the Company without any markup or directly incurred by the Company. In some cases, the Company owns some or all of the aircraft subject to the CPA and leases such aircraft to the regional carrier. In return, the regional carriers operate the capacity of the aircraft included within the scope of such CPA exclusively for United, on schedules determined by the Company. The Company also determines pricing and revenue management, assumes the inventory and distribution risk for the available seats and permits mileage accrual and redemption for regional flights through its MileagePlus loyalty program.</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Alliances. </w:t>
      </w:r>
      <w:r>
        <w:rPr>
          <w:rFonts w:ascii="Arial" w:cs="Arial" w:eastAsia="Arial" w:hAnsi="Arial"/>
          <w:sz w:val="18"/>
          <w:szCs w:val="18"/>
          <w:color w:val="auto"/>
        </w:rPr>
        <w:t>United is a member of Star Alliance, a global integrated airline network and the largest and most comprehensive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airline alliance in the world. In 2025, Star Alliance member carriers continued to serve more than 1,150 airports in more than 190 countries and territories with 17,500 average daily departures. Star Alliance members, in addition to United, are Aegean Airlines, Air Canada, Air China, Air India, Air New Zealand, All Nippon Airways ("ANA"), Asiana Airlines, Austrian Airlines, Aerovías del Continente Americano (Avianca), Brussels Airlines, Copa Airlines, Croatia Airlines, EGYPTAIR, Ethiopian Airlines, EVA Air, LOT Polish Airlines, Lufthansa, Shenzhen Airlines, Singapore Airlines, South African Airways, SWISS, TAP Air Portugal, THAI Airways International and Turkish Airlines. In addition to its members, Star Alliance includes Shanghai-based Juneyao Airlines as a connecting partner and Germany-based Deutsche Bahn and Austria-based ÖBB – Austrian Federal Railways as railway intermodal partners. Lufthansa City Airlines joined Star Alliance as part of Lufthansa.</w:t>
      </w:r>
    </w:p>
    <w:p>
      <w:pPr>
        <w:spacing w:after="0" w:line="125" w:lineRule="exact"/>
        <w:rPr>
          <w:sz w:val="20"/>
          <w:szCs w:val="20"/>
          <w:color w:val="auto"/>
        </w:rPr>
      </w:pPr>
    </w:p>
    <w:p>
      <w:pPr>
        <w:ind w:right="200"/>
        <w:spacing w:after="0" w:line="262" w:lineRule="auto"/>
        <w:rPr>
          <w:sz w:val="20"/>
          <w:szCs w:val="20"/>
          <w:color w:val="auto"/>
        </w:rPr>
      </w:pPr>
      <w:r>
        <w:rPr>
          <w:rFonts w:ascii="Arial" w:cs="Arial" w:eastAsia="Arial" w:hAnsi="Arial"/>
          <w:sz w:val="19"/>
          <w:szCs w:val="19"/>
          <w:color w:val="auto"/>
        </w:rPr>
        <w:t>United has a variety of bilateral commercial alliance agreements and obligations with Star Alliance members, addressing, among other things, reciprocal earning and redemption of frequent flyer miles, access to airport lounges and, with certain Star Alliance members, codesharing of flight operations (whereby one carrier's selected flights can be marketed under the brand name of another carrier). In addition to the alliance agreements with Star Alliance members, United currently maintains independent alliance agreements with other air carriers, including Aer Lingus, Air Dolomiti, Airlink, Azul Linhas Aéreas Brasileiras, Cape Air, Discover Airlines, Edelweiss Air, Emirates, Eurowings, flydubai, Hawaiian Airlines, ITA Airways, JetBlue, JetSuiteX, Olympic Air and Virgin Australia Airlines.</w:t>
      </w:r>
    </w:p>
    <w:p>
      <w:pPr>
        <w:spacing w:after="0" w:line="135" w:lineRule="exact"/>
        <w:rPr>
          <w:sz w:val="20"/>
          <w:szCs w:val="20"/>
          <w:color w:val="auto"/>
        </w:rPr>
      </w:pPr>
    </w:p>
    <w:p>
      <w:pPr>
        <w:ind w:right="100"/>
        <w:spacing w:after="0" w:line="321" w:lineRule="auto"/>
        <w:rPr>
          <w:sz w:val="20"/>
          <w:szCs w:val="20"/>
          <w:color w:val="auto"/>
        </w:rPr>
      </w:pPr>
      <w:r>
        <w:rPr>
          <w:rFonts w:ascii="Arial" w:cs="Arial" w:eastAsia="Arial" w:hAnsi="Arial"/>
          <w:sz w:val="17"/>
          <w:szCs w:val="17"/>
          <w:color w:val="auto"/>
        </w:rPr>
        <w:t>United also participates in four passenger joint business arrangements ("JBAs"): one with Air Canada and the Lufthansa Group (which includes Lufthansa and its affiliates Air Dolomiti, Austrian Airlines, Brussels Airlines, Discover Airlines, Edelweiss, Eurowings, Lufthansa City Airlines and SWISS) covering transatlantic routes, one with ANA covering certain transpacific</w:t>
      </w:r>
    </w:p>
    <w:p>
      <w:pPr>
        <w:sectPr>
          <w:pgSz w:w="11880" w:h="15480" w:orient="portrait"/>
          <w:cols w:equalWidth="0" w:num="1">
            <w:col w:w="9960"/>
          </w:cols>
          <w:pgMar w:left="960" w:top="586" w:right="960" w:bottom="68"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9960"/>
          </w:cols>
          <w:pgMar w:left="960" w:top="586" w:right="960" w:bottom="68" w:gutter="0" w:footer="0" w:header="0"/>
          <w:type w:val="continuous"/>
        </w:sectPr>
      </w:pPr>
    </w:p>
    <w:bookmarkStart w:id="6" w:name="page7"/>
    <w:bookmarkEnd w:id="6"/>
    <w:p>
      <w:pPr>
        <w:ind w:right="20"/>
        <w:spacing w:after="0" w:line="263" w:lineRule="auto"/>
        <w:rPr>
          <w:sz w:val="20"/>
          <w:szCs w:val="20"/>
          <w:color w:val="auto"/>
        </w:rPr>
      </w:pPr>
      <w:r>
        <w:rPr>
          <w:rFonts w:ascii="Arial" w:cs="Arial" w:eastAsia="Arial" w:hAnsi="Arial"/>
          <w:sz w:val="19"/>
          <w:szCs w:val="19"/>
          <w:color w:val="auto"/>
        </w:rPr>
        <w:t>routes, one with Air New Zealand covering certain routes between the United States and New Zealand, and one with Air Canada covering certain United States and Canada transborder routes. These passenger JBAs enable the participating carriers to integrate the services they provide in the respective regions, capturing revenue synergies and delivering enhanced customer benefits, such as highly competitive flight schedules, fares and services. Separate from the passenger JBAs, United is also a party to a JBA with Lufthansa for transatlantic cargo services. This cargo JBA offers expanded and more seamless access to cargo space across the carriers' respective combined networks.</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b w:val="1"/>
          <w:bCs w:val="1"/>
          <w:i w:val="1"/>
          <w:iCs w:val="1"/>
          <w:color w:val="auto"/>
        </w:rPr>
        <w:t xml:space="preserve">Loyalty Program. </w:t>
      </w:r>
      <w:r>
        <w:rPr>
          <w:rFonts w:ascii="Arial" w:cs="Arial" w:eastAsia="Arial" w:hAnsi="Arial"/>
          <w:sz w:val="19"/>
          <w:szCs w:val="19"/>
          <w:color w:val="auto"/>
        </w:rPr>
        <w:t>United's MileagePlus loyalty program builds customer loyalty by offering awards, benefits and services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program participants. Members in this program earn miles for flights on United, United Express, Star Alliance members and certain other airlines that participate in the program. Members can also earn miles by purchasing goods and services from our network of non-airline partners, such as domestic and international credit card issuers, retail merchants, hotels and car rental companies. Members can redeem miles for free (other than taxes and government-imposed fees), discounted or upgraded travel and non-travel awards.</w:t>
      </w:r>
    </w:p>
    <w:p>
      <w:pPr>
        <w:spacing w:after="0" w:line="135"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United has an agreement with JPMorgan Chase Bank, N.A. ("Chase"), pursuant to which members of United's MileagePlus loyalty program who are residents of the United States can earn miles for making purchases using a MileagePlus credit card issued by Chase (the "Co-Brand Agreement"). The Co-Brand Agreement also provides for joint marketing and other support for the MileagePlus credit card and provides Chase with other benefits such as permission to market to the Company's customer database.</w:t>
      </w:r>
    </w:p>
    <w:p>
      <w:pPr>
        <w:spacing w:after="0" w:line="133"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In 2025, approximately 10.9 million MileagePlus flight awards were used on United and United Express. These awards represented approximately 10.3% of United's total revenue passenger miles. Total miles redeemed for flights on United and United Express, including class-of-service upgrades, represented approximately 90% of the total miles redeemed. In addition, excluding miles redeemed for flights on United and United Express, MileagePlus members redeemed miles for approximately 4.3 million other awards. These awards include United Club memberships, car and hotel awards, merchandise and flights on other air carriers.</w:t>
      </w:r>
    </w:p>
    <w:p>
      <w:pPr>
        <w:spacing w:after="0" w:line="5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Air Cargo. </w:t>
      </w:r>
      <w:r>
        <w:rPr>
          <w:rFonts w:ascii="Arial" w:cs="Arial" w:eastAsia="Arial" w:hAnsi="Arial"/>
          <w:sz w:val="18"/>
          <w:szCs w:val="18"/>
          <w:color w:val="auto"/>
        </w:rPr>
        <w:t>The Company provides freight and mail transportation services ("Air Cargo"). The majority of Air Cargo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provided to commercial businesses, freight forwarders, logistics firms and national postal services. Through our global network, the Company's Air Cargo operations are able to connect the world's major freight gateways. The Company generates Air Cargo revenues in domestic and international markets through the use of cargo capacity on regularly scheduled passenger flights, interline and charter flights, and ground trucking arrangements.</w:t>
      </w:r>
    </w:p>
    <w:p>
      <w:pPr>
        <w:spacing w:after="0" w:line="113" w:lineRule="exact"/>
        <w:rPr>
          <w:sz w:val="20"/>
          <w:szCs w:val="20"/>
          <w:color w:val="auto"/>
        </w:rPr>
      </w:pPr>
    </w:p>
    <w:p>
      <w:pPr>
        <w:ind w:right="80"/>
        <w:spacing w:after="0" w:line="266" w:lineRule="auto"/>
        <w:rPr>
          <w:sz w:val="20"/>
          <w:szCs w:val="20"/>
          <w:color w:val="auto"/>
        </w:rPr>
      </w:pPr>
      <w:r>
        <w:rPr>
          <w:rFonts w:ascii="Arial" w:cs="Arial" w:eastAsia="Arial" w:hAnsi="Arial"/>
          <w:sz w:val="19"/>
          <w:szCs w:val="19"/>
          <w:b w:val="1"/>
          <w:bCs w:val="1"/>
          <w:i w:val="1"/>
          <w:iCs w:val="1"/>
          <w:color w:val="auto"/>
        </w:rPr>
        <w:t xml:space="preserve">Distribution Channels. </w:t>
      </w:r>
      <w:r>
        <w:rPr>
          <w:rFonts w:ascii="Arial" w:cs="Arial" w:eastAsia="Arial" w:hAnsi="Arial"/>
          <w:sz w:val="19"/>
          <w:szCs w:val="19"/>
          <w:color w:val="auto"/>
        </w:rPr>
        <w:t>The Company sells airline tickets and ancillary products through a wide range of distribution channels,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direct channels such as the Company's website at www.united.com and the Company's mobile app, as well as traditional travel agencies, online travel agencies ("OTAs") and other intermediaries. The Company seeks to make its products available across these channels to support customer choice, subject to the technological capabilities and commercial arrangements applicable to each channel.</w:t>
      </w:r>
    </w:p>
    <w:p>
      <w:pPr>
        <w:spacing w:after="0" w:line="133"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The Company continues to invest in modernizing its distribution systems, including enhancements to its direct channels and implementing New Distribution Capability ("NDC"), to support the marketing and sale of its products. Direct channels, including the Company's website, the Company's mobile app and NDC-enabled channels, provide opportunities to better differentiate the Company's offerings, present richer content, deliver more relevant offers, strengthen customer relationships, improve customer service, enhance brand engagement and reduce ticket distribution costs. However, a portion of the Company's ticket sales continues to be distributed through legacy distribution technology, which may involve higher costs and more limited functionality compared to the Company's direct and NDC channels.</w:t>
      </w:r>
    </w:p>
    <w:p>
      <w:pPr>
        <w:spacing w:after="0" w:line="121" w:lineRule="exact"/>
        <w:rPr>
          <w:sz w:val="20"/>
          <w:szCs w:val="20"/>
          <w:color w:val="auto"/>
        </w:rPr>
      </w:pPr>
    </w:p>
    <w:p>
      <w:pPr>
        <w:ind w:right="160"/>
        <w:spacing w:after="0" w:line="299" w:lineRule="auto"/>
        <w:rPr>
          <w:sz w:val="20"/>
          <w:szCs w:val="20"/>
          <w:color w:val="auto"/>
        </w:rPr>
      </w:pPr>
      <w:r>
        <w:rPr>
          <w:rFonts w:ascii="Arial" w:cs="Arial" w:eastAsia="Arial" w:hAnsi="Arial"/>
          <w:sz w:val="19"/>
          <w:szCs w:val="19"/>
          <w:b w:val="1"/>
          <w:bCs w:val="1"/>
          <w:i w:val="1"/>
          <w:iCs w:val="1"/>
          <w:color w:val="auto"/>
        </w:rPr>
        <w:t xml:space="preserve">Third-Party Business. </w:t>
      </w:r>
      <w:r>
        <w:rPr>
          <w:rFonts w:ascii="Arial" w:cs="Arial" w:eastAsia="Arial" w:hAnsi="Arial"/>
          <w:sz w:val="19"/>
          <w:szCs w:val="19"/>
          <w:color w:val="auto"/>
        </w:rPr>
        <w:t>United generates third-party business revenue that includes maintenance services, frequent flyer award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non-travel redemptions, flight academy and ground handling.</w:t>
      </w:r>
    </w:p>
    <w:p>
      <w:pPr>
        <w:spacing w:after="0" w:line="96" w:lineRule="exact"/>
        <w:rPr>
          <w:sz w:val="20"/>
          <w:szCs w:val="20"/>
          <w:color w:val="auto"/>
        </w:rPr>
      </w:pPr>
    </w:p>
    <w:p>
      <w:pPr>
        <w:spacing w:after="0" w:line="299" w:lineRule="auto"/>
        <w:rPr>
          <w:sz w:val="20"/>
          <w:szCs w:val="20"/>
          <w:color w:val="auto"/>
        </w:rPr>
      </w:pPr>
      <w:r>
        <w:rPr>
          <w:rFonts w:ascii="Arial" w:cs="Arial" w:eastAsia="Arial" w:hAnsi="Arial"/>
          <w:sz w:val="19"/>
          <w:szCs w:val="19"/>
          <w:b w:val="1"/>
          <w:bCs w:val="1"/>
          <w:i w:val="1"/>
          <w:iCs w:val="1"/>
          <w:color w:val="auto"/>
        </w:rPr>
        <w:t xml:space="preserve">Aircraft Fuel. </w:t>
      </w:r>
      <w:r>
        <w:rPr>
          <w:rFonts w:ascii="Arial" w:cs="Arial" w:eastAsia="Arial" w:hAnsi="Arial"/>
          <w:sz w:val="19"/>
          <w:szCs w:val="19"/>
          <w:color w:val="auto"/>
        </w:rPr>
        <w:t>The table below summarizes the fuel consumption and expense of UAL's aircraft (including the operations of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regional carriers operating under CPAs) during the last three years.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20" w:type="dxa"/>
            <w:vAlign w:val="bottom"/>
            <w:vMerge w:val="restart"/>
          </w:tcPr>
          <w:p>
            <w:pPr>
              <w:ind w:left="600"/>
              <w:spacing w:after="0"/>
              <w:rPr>
                <w:sz w:val="20"/>
                <w:szCs w:val="20"/>
                <w:color w:val="auto"/>
              </w:rPr>
            </w:pPr>
            <w:r>
              <w:rPr>
                <w:rFonts w:ascii="Arial" w:cs="Arial" w:eastAsia="Arial" w:hAnsi="Arial"/>
                <w:sz w:val="19"/>
                <w:szCs w:val="19"/>
                <w:b w:val="1"/>
                <w:bCs w:val="1"/>
                <w:color w:val="auto"/>
              </w:rPr>
              <w:t>Year</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9"/>
                <w:szCs w:val="19"/>
                <w:b w:val="1"/>
                <w:bCs w:val="1"/>
                <w:color w:val="auto"/>
                <w:w w:val="94"/>
              </w:rPr>
              <w:t>Gallons Consumed</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ind w:right="303"/>
              <w:spacing w:after="0"/>
              <w:rPr>
                <w:sz w:val="20"/>
                <w:szCs w:val="20"/>
                <w:color w:val="auto"/>
              </w:rPr>
            </w:pPr>
            <w:r>
              <w:rPr>
                <w:rFonts w:ascii="Arial" w:cs="Arial" w:eastAsia="Arial" w:hAnsi="Arial"/>
                <w:sz w:val="19"/>
                <w:szCs w:val="19"/>
                <w:b w:val="1"/>
                <w:bCs w:val="1"/>
                <w:color w:val="auto"/>
                <w:w w:val="97"/>
              </w:rPr>
              <w:t>Fuel Expense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83"/>
              <w:spacing w:after="0"/>
              <w:rPr>
                <w:sz w:val="20"/>
                <w:szCs w:val="20"/>
                <w:color w:val="auto"/>
              </w:rPr>
            </w:pPr>
            <w:r>
              <w:rPr>
                <w:rFonts w:ascii="Arial" w:cs="Arial" w:eastAsia="Arial" w:hAnsi="Arial"/>
                <w:sz w:val="19"/>
                <w:szCs w:val="19"/>
                <w:b w:val="1"/>
                <w:bCs w:val="1"/>
                <w:color w:val="auto"/>
                <w:w w:val="92"/>
              </w:rPr>
              <w:t>Average Price Per</w:t>
            </w:r>
          </w:p>
        </w:tc>
        <w:tc>
          <w:tcPr>
            <w:tcW w:w="160" w:type="dxa"/>
            <w:vAlign w:val="bottom"/>
          </w:tcPr>
          <w:p>
            <w:pPr>
              <w:spacing w:after="0"/>
              <w:rPr>
                <w:sz w:val="19"/>
                <w:szCs w:val="19"/>
                <w:color w:val="auto"/>
              </w:rPr>
            </w:pPr>
          </w:p>
        </w:tc>
        <w:tc>
          <w:tcPr>
            <w:tcW w:w="2040" w:type="dxa"/>
            <w:vAlign w:val="bottom"/>
          </w:tcPr>
          <w:p>
            <w:pPr>
              <w:jc w:val="right"/>
              <w:ind w:right="123"/>
              <w:spacing w:after="0"/>
              <w:rPr>
                <w:sz w:val="20"/>
                <w:szCs w:val="20"/>
                <w:color w:val="auto"/>
              </w:rPr>
            </w:pPr>
            <w:r>
              <w:rPr>
                <w:rFonts w:ascii="Arial" w:cs="Arial" w:eastAsia="Arial" w:hAnsi="Arial"/>
                <w:sz w:val="19"/>
                <w:szCs w:val="19"/>
                <w:b w:val="1"/>
                <w:bCs w:val="1"/>
                <w:color w:val="auto"/>
              </w:rPr>
              <w:t>Percentage of Total</w:t>
            </w:r>
          </w:p>
        </w:tc>
        <w:tc>
          <w:tcPr>
            <w:tcW w:w="0" w:type="dxa"/>
            <w:vAlign w:val="bottom"/>
          </w:tcPr>
          <w:p>
            <w:pPr>
              <w:spacing w:after="0"/>
              <w:rPr>
                <w:sz w:val="1"/>
                <w:szCs w:val="1"/>
                <w:color w:val="auto"/>
              </w:rPr>
            </w:pPr>
          </w:p>
        </w:tc>
      </w:tr>
      <w:tr>
        <w:trPr>
          <w:trHeight w:val="255"/>
        </w:trPr>
        <w:tc>
          <w:tcPr>
            <w:tcW w:w="162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E6E6E6"/>
            </w:tcBorders>
          </w:tcPr>
          <w:p>
            <w:pPr>
              <w:spacing w:after="0"/>
              <w:rPr>
                <w:sz w:val="22"/>
                <w:szCs w:val="22"/>
                <w:color w:val="auto"/>
              </w:rPr>
            </w:pPr>
          </w:p>
        </w:tc>
        <w:tc>
          <w:tcPr>
            <w:tcW w:w="1740" w:type="dxa"/>
            <w:vAlign w:val="bottom"/>
            <w:tcBorders>
              <w:bottom w:val="single" w:sz="8" w:color="auto"/>
            </w:tcBorders>
          </w:tcPr>
          <w:p>
            <w:pPr>
              <w:jc w:val="right"/>
              <w:ind w:right="263"/>
              <w:spacing w:after="0"/>
              <w:rPr>
                <w:sz w:val="20"/>
                <w:szCs w:val="20"/>
                <w:color w:val="auto"/>
              </w:rPr>
            </w:pPr>
            <w:r>
              <w:rPr>
                <w:rFonts w:ascii="Arial" w:cs="Arial" w:eastAsia="Arial" w:hAnsi="Arial"/>
                <w:sz w:val="19"/>
                <w:szCs w:val="19"/>
                <w:b w:val="1"/>
                <w:bCs w:val="1"/>
                <w:color w:val="auto"/>
              </w:rPr>
              <w:t>(in millions)</w:t>
            </w:r>
          </w:p>
        </w:tc>
        <w:tc>
          <w:tcPr>
            <w:tcW w:w="16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b w:val="1"/>
                <w:bCs w:val="1"/>
                <w:color w:val="auto"/>
              </w:rPr>
              <w:t>(in millions)</w:t>
            </w:r>
          </w:p>
        </w:tc>
        <w:tc>
          <w:tcPr>
            <w:tcW w:w="18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543"/>
              <w:spacing w:after="0"/>
              <w:rPr>
                <w:sz w:val="20"/>
                <w:szCs w:val="20"/>
                <w:color w:val="auto"/>
              </w:rPr>
            </w:pPr>
            <w:r>
              <w:rPr>
                <w:rFonts w:ascii="Arial" w:cs="Arial" w:eastAsia="Arial" w:hAnsi="Arial"/>
                <w:sz w:val="19"/>
                <w:szCs w:val="19"/>
                <w:b w:val="1"/>
                <w:bCs w:val="1"/>
                <w:color w:val="auto"/>
              </w:rPr>
              <w:t>Gallon</w:t>
            </w:r>
          </w:p>
        </w:tc>
        <w:tc>
          <w:tcPr>
            <w:tcW w:w="160" w:type="dxa"/>
            <w:vAlign w:val="bottom"/>
            <w:tcBorders>
              <w:bottom w:val="single" w:sz="8" w:color="E6E6E6"/>
            </w:tcBorders>
          </w:tcPr>
          <w:p>
            <w:pPr>
              <w:spacing w:after="0"/>
              <w:rPr>
                <w:sz w:val="22"/>
                <w:szCs w:val="22"/>
                <w:color w:val="auto"/>
              </w:rPr>
            </w:pPr>
          </w:p>
        </w:tc>
        <w:tc>
          <w:tcPr>
            <w:tcW w:w="2040" w:type="dxa"/>
            <w:vAlign w:val="bottom"/>
            <w:tcBorders>
              <w:bottom w:val="single" w:sz="8" w:color="auto"/>
            </w:tcBorders>
          </w:tcPr>
          <w:p>
            <w:pPr>
              <w:jc w:val="right"/>
              <w:ind w:right="123"/>
              <w:spacing w:after="0"/>
              <w:rPr>
                <w:sz w:val="20"/>
                <w:szCs w:val="20"/>
                <w:color w:val="auto"/>
              </w:rPr>
            </w:pPr>
            <w:r>
              <w:rPr>
                <w:rFonts w:ascii="Arial" w:cs="Arial" w:eastAsia="Arial" w:hAnsi="Arial"/>
                <w:sz w:val="19"/>
                <w:szCs w:val="19"/>
                <w:b w:val="1"/>
                <w:bCs w:val="1"/>
                <w:color w:val="auto"/>
              </w:rPr>
              <w:t>Operating Expense</w:t>
            </w:r>
          </w:p>
        </w:tc>
        <w:tc>
          <w:tcPr>
            <w:tcW w:w="0" w:type="dxa"/>
            <w:vAlign w:val="bottom"/>
          </w:tcPr>
          <w:p>
            <w:pPr>
              <w:spacing w:after="0"/>
              <w:rPr>
                <w:sz w:val="1"/>
                <w:szCs w:val="1"/>
                <w:color w:val="auto"/>
              </w:rPr>
            </w:pPr>
          </w:p>
        </w:tc>
      </w:tr>
      <w:tr>
        <w:trPr>
          <w:trHeight w:val="237"/>
        </w:trPr>
        <w:tc>
          <w:tcPr>
            <w:tcW w:w="1620" w:type="dxa"/>
            <w:vAlign w:val="bottom"/>
            <w:shd w:val="clear" w:color="auto" w:fill="E6E6E6"/>
          </w:tcPr>
          <w:p>
            <w:pPr>
              <w:ind w:left="620"/>
              <w:spacing w:after="0"/>
              <w:rPr>
                <w:sz w:val="20"/>
                <w:szCs w:val="20"/>
                <w:color w:val="auto"/>
              </w:rPr>
            </w:pPr>
            <w:r>
              <w:rPr>
                <w:rFonts w:ascii="Arial" w:cs="Arial" w:eastAsia="Arial" w:hAnsi="Arial"/>
                <w:sz w:val="19"/>
                <w:szCs w:val="19"/>
                <w:b w:val="1"/>
                <w:bCs w:val="1"/>
                <w:color w:val="auto"/>
              </w:rPr>
              <w:t>2025</w:t>
            </w:r>
          </w:p>
        </w:tc>
        <w:tc>
          <w:tcPr>
            <w:tcW w:w="180" w:type="dxa"/>
            <w:vAlign w:val="bottom"/>
            <w:shd w:val="clear" w:color="auto" w:fill="E6E6E6"/>
          </w:tcPr>
          <w:p>
            <w:pPr>
              <w:spacing w:after="0"/>
              <w:rPr>
                <w:sz w:val="20"/>
                <w:szCs w:val="20"/>
                <w:color w:val="auto"/>
              </w:rPr>
            </w:pPr>
          </w:p>
        </w:tc>
        <w:tc>
          <w:tcPr>
            <w:tcW w:w="1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4,663</w:t>
            </w:r>
          </w:p>
        </w:tc>
        <w:tc>
          <w:tcPr>
            <w:tcW w:w="16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1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11,396</w:t>
            </w:r>
          </w:p>
        </w:tc>
        <w:tc>
          <w:tcPr>
            <w:tcW w:w="180" w:type="dxa"/>
            <w:vAlign w:val="bottom"/>
            <w:shd w:val="clear" w:color="auto" w:fill="E6E6E6"/>
          </w:tcPr>
          <w:p>
            <w:pPr>
              <w:spacing w:after="0"/>
              <w:rPr>
                <w:sz w:val="20"/>
                <w:szCs w:val="20"/>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2.44</w:t>
            </w:r>
          </w:p>
        </w:tc>
        <w:tc>
          <w:tcPr>
            <w:tcW w:w="160" w:type="dxa"/>
            <w:vAlign w:val="bottom"/>
            <w:shd w:val="clear" w:color="auto" w:fill="E6E6E6"/>
          </w:tcPr>
          <w:p>
            <w:pPr>
              <w:spacing w:after="0"/>
              <w:rPr>
                <w:sz w:val="20"/>
                <w:szCs w:val="20"/>
                <w:color w:val="auto"/>
              </w:rPr>
            </w:pPr>
          </w:p>
        </w:tc>
        <w:tc>
          <w:tcPr>
            <w:tcW w:w="20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21 %</w:t>
            </w:r>
          </w:p>
        </w:tc>
        <w:tc>
          <w:tcPr>
            <w:tcW w:w="0" w:type="dxa"/>
            <w:vAlign w:val="bottom"/>
          </w:tcPr>
          <w:p>
            <w:pPr>
              <w:spacing w:after="0"/>
              <w:rPr>
                <w:sz w:val="1"/>
                <w:szCs w:val="1"/>
                <w:color w:val="auto"/>
              </w:rPr>
            </w:pPr>
          </w:p>
        </w:tc>
      </w:tr>
      <w:tr>
        <w:trPr>
          <w:trHeight w:val="247"/>
        </w:trPr>
        <w:tc>
          <w:tcPr>
            <w:tcW w:w="1620" w:type="dxa"/>
            <w:vAlign w:val="bottom"/>
          </w:tcPr>
          <w:p>
            <w:pPr>
              <w:ind w:left="620"/>
              <w:spacing w:after="0"/>
              <w:rPr>
                <w:sz w:val="20"/>
                <w:szCs w:val="20"/>
                <w:color w:val="auto"/>
              </w:rPr>
            </w:pPr>
            <w:r>
              <w:rPr>
                <w:rFonts w:ascii="Arial" w:cs="Arial" w:eastAsia="Arial" w:hAnsi="Arial"/>
                <w:sz w:val="19"/>
                <w:szCs w:val="19"/>
                <w:b w:val="1"/>
                <w:bCs w:val="1"/>
                <w:color w:val="auto"/>
              </w:rPr>
              <w:t>2024</w:t>
            </w:r>
          </w:p>
        </w:tc>
        <w:tc>
          <w:tcPr>
            <w:tcW w:w="1920" w:type="dxa"/>
            <w:vAlign w:val="bottom"/>
            <w:gridSpan w:val="2"/>
          </w:tcPr>
          <w:p>
            <w:pPr>
              <w:jc w:val="right"/>
              <w:spacing w:after="0"/>
              <w:rPr>
                <w:sz w:val="20"/>
                <w:szCs w:val="20"/>
                <w:color w:val="auto"/>
              </w:rPr>
            </w:pPr>
            <w:r>
              <w:rPr>
                <w:rFonts w:ascii="Arial" w:cs="Arial" w:eastAsia="Arial" w:hAnsi="Arial"/>
                <w:sz w:val="19"/>
                <w:szCs w:val="19"/>
                <w:color w:val="auto"/>
              </w:rPr>
              <w:t>4,444</w:t>
            </w:r>
          </w:p>
        </w:tc>
        <w:tc>
          <w:tcPr>
            <w:tcW w:w="4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1620" w:type="dxa"/>
            <w:vAlign w:val="bottom"/>
          </w:tcPr>
          <w:p>
            <w:pPr>
              <w:jc w:val="right"/>
              <w:spacing w:after="0"/>
              <w:rPr>
                <w:sz w:val="20"/>
                <w:szCs w:val="20"/>
                <w:color w:val="auto"/>
              </w:rPr>
            </w:pPr>
            <w:r>
              <w:rPr>
                <w:rFonts w:ascii="Arial" w:cs="Arial" w:eastAsia="Arial" w:hAnsi="Arial"/>
                <w:sz w:val="19"/>
                <w:szCs w:val="19"/>
                <w:color w:val="auto"/>
              </w:rPr>
              <w:t>11,756</w:t>
            </w:r>
          </w:p>
        </w:tc>
        <w:tc>
          <w:tcPr>
            <w:tcW w:w="3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700" w:type="dxa"/>
            <w:vAlign w:val="bottom"/>
          </w:tcPr>
          <w:p>
            <w:pPr>
              <w:jc w:val="right"/>
              <w:spacing w:after="0"/>
              <w:rPr>
                <w:sz w:val="20"/>
                <w:szCs w:val="20"/>
                <w:color w:val="auto"/>
              </w:rPr>
            </w:pPr>
            <w:r>
              <w:rPr>
                <w:rFonts w:ascii="Arial" w:cs="Arial" w:eastAsia="Arial" w:hAnsi="Arial"/>
                <w:sz w:val="19"/>
                <w:szCs w:val="19"/>
                <w:color w:val="auto"/>
              </w:rPr>
              <w:t>2.65</w:t>
            </w:r>
          </w:p>
        </w:tc>
        <w:tc>
          <w:tcPr>
            <w:tcW w:w="2200" w:type="dxa"/>
            <w:vAlign w:val="bottom"/>
            <w:gridSpan w:val="2"/>
          </w:tcPr>
          <w:p>
            <w:pPr>
              <w:jc w:val="right"/>
              <w:spacing w:after="0"/>
              <w:rPr>
                <w:sz w:val="20"/>
                <w:szCs w:val="20"/>
                <w:color w:val="auto"/>
              </w:rPr>
            </w:pPr>
            <w:r>
              <w:rPr>
                <w:rFonts w:ascii="Arial" w:cs="Arial" w:eastAsia="Arial" w:hAnsi="Arial"/>
                <w:sz w:val="19"/>
                <w:szCs w:val="19"/>
                <w:color w:val="auto"/>
              </w:rPr>
              <w:t>23 %</w:t>
            </w:r>
          </w:p>
        </w:tc>
        <w:tc>
          <w:tcPr>
            <w:tcW w:w="0" w:type="dxa"/>
            <w:vAlign w:val="bottom"/>
          </w:tcPr>
          <w:p>
            <w:pPr>
              <w:spacing w:after="0"/>
              <w:rPr>
                <w:sz w:val="1"/>
                <w:szCs w:val="1"/>
                <w:color w:val="auto"/>
              </w:rPr>
            </w:pPr>
          </w:p>
        </w:tc>
      </w:tr>
      <w:tr>
        <w:trPr>
          <w:trHeight w:val="247"/>
        </w:trPr>
        <w:tc>
          <w:tcPr>
            <w:tcW w:w="1620" w:type="dxa"/>
            <w:vAlign w:val="bottom"/>
            <w:shd w:val="clear" w:color="auto" w:fill="E6E6E6"/>
          </w:tcPr>
          <w:p>
            <w:pPr>
              <w:ind w:left="620"/>
              <w:spacing w:after="0"/>
              <w:rPr>
                <w:sz w:val="20"/>
                <w:szCs w:val="20"/>
                <w:color w:val="auto"/>
              </w:rPr>
            </w:pPr>
            <w:r>
              <w:rPr>
                <w:rFonts w:ascii="Arial" w:cs="Arial" w:eastAsia="Arial" w:hAnsi="Arial"/>
                <w:sz w:val="19"/>
                <w:szCs w:val="19"/>
                <w:b w:val="1"/>
                <w:bCs w:val="1"/>
                <w:color w:val="auto"/>
              </w:rPr>
              <w:t>2023</w:t>
            </w:r>
          </w:p>
        </w:tc>
        <w:tc>
          <w:tcPr>
            <w:tcW w:w="19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4,205</w:t>
            </w:r>
          </w:p>
        </w:tc>
        <w:tc>
          <w:tcPr>
            <w:tcW w:w="440" w:type="dxa"/>
            <w:vAlign w:val="bottom"/>
            <w:gridSpan w:val="2"/>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1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12,651</w:t>
            </w:r>
          </w:p>
        </w:tc>
        <w:tc>
          <w:tcPr>
            <w:tcW w:w="3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3.01</w:t>
            </w:r>
          </w:p>
        </w:tc>
        <w:tc>
          <w:tcPr>
            <w:tcW w:w="22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26 %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-483235</wp:posOffset>
            </wp:positionV>
            <wp:extent cx="627253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272530" cy="25400"/>
                    </a:xfrm>
                    <a:prstGeom prst="rect">
                      <a:avLst/>
                    </a:prstGeom>
                    <a:noFill/>
                  </pic:spPr>
                </pic:pic>
              </a:graphicData>
            </a:graphic>
          </wp:anchor>
        </w:drawing>
      </w:r>
    </w:p>
    <w:p>
      <w:pPr>
        <w:spacing w:after="0" w:line="191" w:lineRule="exact"/>
        <w:rPr>
          <w:sz w:val="20"/>
          <w:szCs w:val="20"/>
          <w:color w:val="auto"/>
        </w:rPr>
      </w:pPr>
    </w:p>
    <w:p>
      <w:pPr>
        <w:ind w:right="140"/>
        <w:spacing w:after="0" w:line="321" w:lineRule="auto"/>
        <w:rPr>
          <w:sz w:val="20"/>
          <w:szCs w:val="20"/>
          <w:color w:val="auto"/>
        </w:rPr>
      </w:pPr>
      <w:r>
        <w:rPr>
          <w:rFonts w:ascii="Arial" w:cs="Arial" w:eastAsia="Arial" w:hAnsi="Arial"/>
          <w:sz w:val="17"/>
          <w:szCs w:val="17"/>
          <w:color w:val="auto"/>
        </w:rPr>
        <w:t>Our operational and financial results can be significantly impacted by changes in the price and availability of aircraft fuel. The Company routinely enters into purchase contracts based on expected fuel requirements primarily for UAL aircraft (including regional carriers operating under CPAs) that are generally indexed to various market price benchmarks for aircraft fuel. These</w:t>
      </w:r>
    </w:p>
    <w:p>
      <w:pPr>
        <w:sectPr>
          <w:pgSz w:w="11880" w:h="15480" w:orient="portrait"/>
          <w:cols w:equalWidth="0" w:num="1">
            <w:col w:w="9940"/>
          </w:cols>
          <w:pgMar w:left="960" w:top="586" w:right="980" w:bottom="68"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9940"/>
          </w:cols>
          <w:pgMar w:left="960" w:top="586" w:right="980" w:bottom="68" w:gutter="0" w:footer="0" w:header="0"/>
          <w:type w:val="continuous"/>
        </w:sectPr>
      </w:pPr>
    </w:p>
    <w:bookmarkStart w:id="7" w:name="page8"/>
    <w:bookmarkEnd w:id="7"/>
    <w:p>
      <w:pPr>
        <w:ind w:right="20"/>
        <w:spacing w:after="0" w:line="303" w:lineRule="auto"/>
        <w:rPr>
          <w:sz w:val="20"/>
          <w:szCs w:val="20"/>
          <w:color w:val="auto"/>
        </w:rPr>
      </w:pPr>
      <w:r>
        <w:rPr>
          <w:rFonts w:ascii="Arial" w:cs="Arial" w:eastAsia="Arial" w:hAnsi="Arial"/>
          <w:sz w:val="17"/>
          <w:szCs w:val="17"/>
          <w:color w:val="auto"/>
        </w:rPr>
        <w:t>contracts customarily do not provide material protection against changes in market prices or guarantee the uninterrupted availability of adequate quantities of aircraft fuel. The price of aircraft fuel used by our operations has fluctuated in the past and is expected to remain volatile due to numerous factors including the increasing adoption of mandated SAF across certain markets. The Company's current strategy is to not enter into financial transactions to hedge the market price exposure of its expected fuel consumption, although the Company regularly reviews its strategy based on market conditions and other factors.</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Industry Conditions</w:t>
      </w:r>
    </w:p>
    <w:p>
      <w:pPr>
        <w:spacing w:after="0" w:line="191"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b w:val="1"/>
          <w:bCs w:val="1"/>
          <w:i w:val="1"/>
          <w:iCs w:val="1"/>
          <w:color w:val="auto"/>
        </w:rPr>
        <w:t xml:space="preserve">Domestic Competition. </w:t>
      </w:r>
      <w:r>
        <w:rPr>
          <w:rFonts w:ascii="Arial" w:cs="Arial" w:eastAsia="Arial" w:hAnsi="Arial"/>
          <w:sz w:val="19"/>
          <w:szCs w:val="19"/>
          <w:color w:val="auto"/>
        </w:rPr>
        <w:t>The domestic airline industry is highly competitive and dynamic. The Company's competitors consist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primarily of other airlines and, to a certain extent, other forms of transportation. Currently, any U.S. carrier deemed fit by the U.S. Department of Transportation (the "DOT") is largely free to operate scheduled passenger service between any two points within the United States. Competition can be direct, in the form of another carrier flying the exact non-stop route, or indirect, where a carrier serves the same two cities non-stop from an alternative airport in that city or via an itinerary requiring a connection at another airport. Air carriers' cost structures are not uniform and are influenced by numerous factors. Carriers with lower costs may offer lower fares to passengers, which could have a potential negative impact on the Company's revenues. Domestic pricing decisions are impacted by intense competitive pressure exerted on the Company by other U.S. airlines. In order to remain competitive and maintain passenger traffic levels, we often find it necessary to match competitors' discounted fares.</w:t>
      </w:r>
    </w:p>
    <w:p>
      <w:pPr>
        <w:spacing w:after="0" w:line="136"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i w:val="1"/>
          <w:iCs w:val="1"/>
          <w:color w:val="auto"/>
        </w:rPr>
        <w:t xml:space="preserve">International Competition. </w:t>
      </w:r>
      <w:r>
        <w:rPr>
          <w:rFonts w:ascii="Arial" w:cs="Arial" w:eastAsia="Arial" w:hAnsi="Arial"/>
          <w:sz w:val="18"/>
          <w:szCs w:val="18"/>
          <w:color w:val="auto"/>
        </w:rPr>
        <w:t>Internationally, the Company competes not only with U.S. airlines, but also with foreign carriers.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competition has increased and may continue to increase in the future as a result of airline mergers and acquisitions, JBAs, alliances, restructurings, liberalization of aviation bilateral agreements and new or increased service by competitors. Competition on international routes is subject to varying degrees of governmental regulation. The Company's ability to compete successfully with non-U.S. carriers on international routes depends in part on its ability to generate traffic to and from the entire United States via its integrated domestic route network and its ability to overcome business and operational challenges across its network worldwide. Foreign carriers currently are prohibited by U.S. law from carrying local passengers between two points in the United States and the Company generally experiences comparable restrictions in foreign countries. Separately, "fifth freedom rights" allow the Company to operate between points in two different foreign countries and foreign carriers may also have fifth freedom rights between the U.S. and another foreign country. In the absence of fifth freedom rights, or some other extra-bilateral right to conduct operations between two foreign countries, U.S. carriers are constrained from carrying passengers to points beyond designated international gateway cities. To compensate partially for these structural limitations, U.S. and foreign carriers have entered into alliances, immunized JBAs and marketing arrangements that enable these carriers to exchange traffic between each other's flights and route networks. Through these arrangements, the Company strives to provide consumers with a growing number of seamless, cost-effective and convenient travel options. See "Alliances" for additional information.</w:t>
      </w:r>
    </w:p>
    <w:p>
      <w:pPr>
        <w:spacing w:after="0" w:line="133" w:lineRule="exact"/>
        <w:rPr>
          <w:sz w:val="20"/>
          <w:szCs w:val="20"/>
          <w:color w:val="auto"/>
        </w:rPr>
      </w:pPr>
    </w:p>
    <w:p>
      <w:pPr>
        <w:ind w:right="320"/>
        <w:spacing w:after="0" w:line="324" w:lineRule="auto"/>
        <w:rPr>
          <w:sz w:val="20"/>
          <w:szCs w:val="20"/>
          <w:color w:val="auto"/>
        </w:rPr>
      </w:pPr>
      <w:r>
        <w:rPr>
          <w:rFonts w:ascii="Arial" w:cs="Arial" w:eastAsia="Arial" w:hAnsi="Arial"/>
          <w:sz w:val="17"/>
          <w:szCs w:val="17"/>
          <w:b w:val="1"/>
          <w:bCs w:val="1"/>
          <w:i w:val="1"/>
          <w:iCs w:val="1"/>
          <w:color w:val="auto"/>
        </w:rPr>
        <w:t xml:space="preserve">Seasonality. </w:t>
      </w:r>
      <w:r>
        <w:rPr>
          <w:rFonts w:ascii="Arial" w:cs="Arial" w:eastAsia="Arial" w:hAnsi="Arial"/>
          <w:sz w:val="17"/>
          <w:szCs w:val="17"/>
          <w:color w:val="auto"/>
        </w:rPr>
        <w:t>The air travel business is subject to seasonal fluctuations. Although the Company's fourth quarter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exceeded each of the second quarter and third quarter in 2025, historically, demand for air travel is higher in the second and third quarters, driving higher revenues, than in the first and fourth quarters, which are periods of lower travel demand.</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Approach to Corporate Citizenship and Value Creation</w:t>
      </w:r>
    </w:p>
    <w:p>
      <w:pPr>
        <w:spacing w:after="0" w:line="19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At United "Good Leads the Way" is more than a slogan; it fuels our mission to build the world's biggest and best airline. Our employees around the world are joined together to enable connections that matter and move society—whether it is connecting people across cultures, flying a loved one to a wedding, connecting medical professionals at a breakthrough conference or getting a business traveler to an important meeting or back home in time for a child's big game.</w:t>
      </w:r>
    </w:p>
    <w:p>
      <w:pPr>
        <w:spacing w:after="0" w:line="116"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Today United is viewed not only as a leader among our peer airlines but as a leader among the world's largest corporations. Our leadership is driven by our desire to blaze new trails by being a force for good, responsive to the world in which we operate, responsible for our actions and committed to doing the right thing. United has devoted its brand, reputation, resources, time and effort to pursuing corporate citizenship goals aimed to generate the most impactful results that we can create. Simply, we aspire to use our influence and scale to lead in a way that inspires the world to action. Over the last few years, we have made historic investments to fight climate change and provided career opportunities to thousands of people.</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color w:val="auto"/>
        </w:rPr>
        <w:t>We set forth below three of our corporate citizenship focus areas.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Safety Culture</w:t>
      </w:r>
    </w:p>
    <w:p>
      <w:pPr>
        <w:spacing w:after="0" w:line="197" w:lineRule="exact"/>
        <w:rPr>
          <w:sz w:val="20"/>
          <w:szCs w:val="20"/>
          <w:color w:val="auto"/>
        </w:rPr>
      </w:pPr>
    </w:p>
    <w:p>
      <w:pPr>
        <w:ind w:right="260"/>
        <w:spacing w:after="0" w:line="321" w:lineRule="auto"/>
        <w:rPr>
          <w:sz w:val="20"/>
          <w:szCs w:val="20"/>
          <w:color w:val="auto"/>
        </w:rPr>
      </w:pPr>
      <w:r>
        <w:rPr>
          <w:rFonts w:ascii="Arial" w:cs="Arial" w:eastAsia="Arial" w:hAnsi="Arial"/>
          <w:sz w:val="17"/>
          <w:szCs w:val="17"/>
          <w:color w:val="auto"/>
        </w:rPr>
        <w:t>At United, safety is first in everything that the Company does and is its first service standard of Core4 (the Company is safe, then caring, dependable and efficient). Guided by the overarching message that there are "No Small Roles in Safety," the Company is concentrated on promoting a strong safety culture to help ensure that every employee across United holds</w:t>
      </w:r>
    </w:p>
    <w:p>
      <w:pPr>
        <w:sectPr>
          <w:pgSz w:w="11880" w:h="15480" w:orient="portrait"/>
          <w:cols w:equalWidth="0" w:num="1">
            <w:col w:w="9920"/>
          </w:cols>
          <w:pgMar w:left="960" w:top="586" w:right="1000" w:bottom="68"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9920"/>
          </w:cols>
          <w:pgMar w:left="960" w:top="586" w:right="1000" w:bottom="68" w:gutter="0" w:footer="0" w:header="0"/>
          <w:type w:val="continuous"/>
        </w:sectPr>
      </w:pPr>
    </w:p>
    <w:bookmarkStart w:id="8" w:name="page9"/>
    <w:bookmarkEnd w:id="8"/>
    <w:p>
      <w:pPr>
        <w:ind w:right="300"/>
        <w:spacing w:after="0" w:line="274" w:lineRule="auto"/>
        <w:rPr>
          <w:sz w:val="20"/>
          <w:szCs w:val="20"/>
          <w:color w:val="auto"/>
        </w:rPr>
      </w:pPr>
      <w:r>
        <w:rPr>
          <w:rFonts w:ascii="Arial" w:cs="Arial" w:eastAsia="Arial" w:hAnsi="Arial"/>
          <w:sz w:val="19"/>
          <w:szCs w:val="19"/>
          <w:color w:val="auto"/>
        </w:rPr>
        <w:t>themselves and each other to the highest safety standards. The Company's laser focus on the health, safety and security of its employees and customers is not only essential to its operational and financial success but also defines the Company as an organization—making safety accountability a non-negotiable aspect of its culture.</w:t>
      </w:r>
    </w:p>
    <w:p>
      <w:pPr>
        <w:spacing w:after="0" w:line="12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The Company's FAA-approved Safety Management System ("SMS") is a cornerstone component that helps enable the Company to uphold regulatory compliance safety standards, proactively identify hazards, mitigate risks and elevate corrective actions to help ensure the safety of its customers and employees. The Company continues to evaluate, expand and shape its SMS to incorporate new areas of the business to help reduce risk as the Company grows its aircraft fleet and expands the destinations that it serves. In addition, just as the Company has invested in infrastructure, technology and tools, the Company is also investing in the training and development of its employees—especially those who are new to United—to help ensure they gain proficiency in their roles and stay safe in the workplace.</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The Company's approach to safety entails four overarching objectives:</w:t>
      </w:r>
    </w:p>
    <w:p>
      <w:pPr>
        <w:spacing w:after="0" w:line="186" w:lineRule="exact"/>
        <w:rPr>
          <w:sz w:val="20"/>
          <w:szCs w:val="20"/>
          <w:color w:val="auto"/>
        </w:rPr>
      </w:pPr>
    </w:p>
    <w:p>
      <w:pPr>
        <w:ind w:left="700" w:right="400" w:hanging="348"/>
        <w:spacing w:after="0" w:line="297" w:lineRule="auto"/>
        <w:tabs>
          <w:tab w:leader="none" w:pos="700" w:val="left"/>
        </w:tabs>
        <w:numPr>
          <w:ilvl w:val="0"/>
          <w:numId w:val="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 just culture.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Company focuses on fostering an engaged, proactive and just safety culture that prioritizes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protects the well-being and safety of all employees.</w:t>
      </w:r>
    </w:p>
    <w:p>
      <w:pPr>
        <w:spacing w:after="0" w:line="99" w:lineRule="exact"/>
        <w:rPr>
          <w:rFonts w:ascii="Arial" w:cs="Arial" w:eastAsia="Arial" w:hAnsi="Arial"/>
          <w:sz w:val="19"/>
          <w:szCs w:val="19"/>
          <w:color w:val="auto"/>
        </w:rPr>
      </w:pPr>
    </w:p>
    <w:p>
      <w:pPr>
        <w:ind w:left="700" w:right="180" w:hanging="348"/>
        <w:spacing w:after="0" w:line="297" w:lineRule="auto"/>
        <w:tabs>
          <w:tab w:leader="none" w:pos="700" w:val="left"/>
        </w:tabs>
        <w:numPr>
          <w:ilvl w:val="0"/>
          <w:numId w:val="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Regulatory compliance.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Maintaining a culture whereby the Company's employees are required to consistently follow</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adhere to policies and regulatory requirements is one of the Company's pillars.</w:t>
      </w:r>
    </w:p>
    <w:p>
      <w:pPr>
        <w:spacing w:after="0" w:line="99" w:lineRule="exact"/>
        <w:rPr>
          <w:rFonts w:ascii="Arial" w:cs="Arial" w:eastAsia="Arial" w:hAnsi="Arial"/>
          <w:sz w:val="19"/>
          <w:szCs w:val="19"/>
          <w:b w:val="1"/>
          <w:bCs w:val="1"/>
          <w:i w:val="1"/>
          <w:iCs w:val="1"/>
          <w:color w:val="auto"/>
        </w:rPr>
      </w:pPr>
    </w:p>
    <w:p>
      <w:pPr>
        <w:ind w:left="700" w:right="280" w:hanging="348"/>
        <w:spacing w:after="0" w:line="297" w:lineRule="auto"/>
        <w:tabs>
          <w:tab w:leader="none" w:pos="700" w:val="left"/>
        </w:tabs>
        <w:numPr>
          <w:ilvl w:val="0"/>
          <w:numId w:val="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Flight safety.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Reducing flight safety and operational risks by keeping the Company's aircraft safe and airworthy is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cornerstone of the Company's safety objectives.</w:t>
      </w:r>
    </w:p>
    <w:p>
      <w:pPr>
        <w:spacing w:after="0" w:line="102" w:lineRule="exact"/>
        <w:rPr>
          <w:rFonts w:ascii="Arial" w:cs="Arial" w:eastAsia="Arial" w:hAnsi="Arial"/>
          <w:sz w:val="19"/>
          <w:szCs w:val="19"/>
          <w:b w:val="1"/>
          <w:bCs w:val="1"/>
          <w:i w:val="1"/>
          <w:iCs w:val="1"/>
          <w:color w:val="auto"/>
        </w:rPr>
      </w:pPr>
    </w:p>
    <w:p>
      <w:pPr>
        <w:ind w:left="700" w:right="220" w:hanging="348"/>
        <w:spacing w:after="0" w:line="294" w:lineRule="auto"/>
        <w:tabs>
          <w:tab w:leader="none" w:pos="700"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Standard operating procedure.</w:t>
      </w:r>
      <w:r>
        <w:rPr>
          <w:rFonts w:ascii="Arial" w:cs="Arial" w:eastAsia="Arial" w:hAnsi="Arial"/>
          <w:sz w:val="19"/>
          <w:szCs w:val="19"/>
          <w:color w:val="auto"/>
        </w:rPr>
        <w:t xml:space="preserve"> The Company drives adherence to its standard operating procedures to help ensure an accountable, consistent and safe operation.</w:t>
      </w:r>
    </w:p>
    <w:p>
      <w:pPr>
        <w:spacing w:after="0" w:line="105"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The Company's Board provides significant oversight of its safety processes and procedures, which includes a review of management's development, implementation and maintenance of the Company's safety management system, objectives, culture, training and reporting. Board meeting sessions typically start with a presentation on current and potential future safety considerations affecting the Company—both in the air and on the ground.</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Environmental Sustainability Strategy</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Company's commitment to operating an environmentally sustainable airline is woven into its long-term strategy. The Company believes that it is critical to continue to serve its purpose of connecting people and uniting the world and is focused on finding actionable solutions that reduce the environmental impact of its operations and manage operational costs in its energy supply while also achieving its financial goals and creating long-term value for its stockholders.</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At the end of 2020, the Company pledged a net zero goal to reduce its greenhouse gas ("GHG") emissions by 100% by 2050 without relying on the use of voluntary, traditional carbon offsets</w:t>
      </w:r>
      <w:r>
        <w:rPr>
          <w:rFonts w:ascii="Arial" w:cs="Arial" w:eastAsia="Arial" w:hAnsi="Arial"/>
          <w:sz w:val="12"/>
          <w:szCs w:val="12"/>
          <w:color w:val="auto"/>
        </w:rPr>
        <w:t>1</w:t>
      </w:r>
      <w:r>
        <w:rPr>
          <w:rFonts w:ascii="Arial" w:cs="Arial" w:eastAsia="Arial" w:hAnsi="Arial"/>
          <w:sz w:val="19"/>
          <w:szCs w:val="19"/>
          <w:color w:val="auto"/>
        </w:rPr>
        <w:t>. To support its net zero goal, the Company also established a mid-term target of reducing, compared to 2019, its carbon emissions intensity by 50% by 2035, which has been validated by the Science Based Targets initiative (SBTi).</w:t>
      </w:r>
    </w:p>
    <w:p>
      <w:pPr>
        <w:spacing w:after="0" w:line="130"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The Company's sustainability strategy continues to be centered around four key pillars, each of which is described in further detail below: (i) drive fuel efficiencies and innovation in flight; (ii) adopt more sustainable alternatives to conventional jet fuel;</w:t>
      </w:r>
    </w:p>
    <w:p>
      <w:pPr>
        <w:spacing w:after="0" w:line="2" w:lineRule="exact"/>
        <w:rPr>
          <w:sz w:val="20"/>
          <w:szCs w:val="20"/>
          <w:color w:val="auto"/>
        </w:rPr>
      </w:pPr>
    </w:p>
    <w:p>
      <w:pPr>
        <w:ind w:firstLine="3"/>
        <w:spacing w:after="0" w:line="268" w:lineRule="auto"/>
        <w:tabs>
          <w:tab w:leader="none" w:pos="339" w:val="left"/>
        </w:tabs>
        <w:numPr>
          <w:ilvl w:val="0"/>
          <w:numId w:val="6"/>
        </w:numPr>
        <w:rPr>
          <w:rFonts w:ascii="Arial" w:cs="Arial" w:eastAsia="Arial" w:hAnsi="Arial"/>
          <w:sz w:val="19"/>
          <w:szCs w:val="19"/>
          <w:color w:val="auto"/>
        </w:rPr>
      </w:pPr>
      <w:r>
        <w:rPr>
          <w:rFonts w:ascii="Arial" w:cs="Arial" w:eastAsia="Arial" w:hAnsi="Arial"/>
          <w:sz w:val="19"/>
          <w:szCs w:val="19"/>
          <w:color w:val="auto"/>
        </w:rPr>
        <w:t>integrate sustainability efforts at every altitude; and (iv) collaborate with partners. These pillars cover not only long-term actions within the Company's operations but also support the low-carbon transition of the transportation and aviation industry as a whole. The Company is hopeful that its sustainability strategy will help position it to succeed in an increasingly resource-constrained world.</w:t>
      </w:r>
    </w:p>
    <w:p>
      <w:pPr>
        <w:spacing w:after="0" w:line="130"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The Company's Board of Directors (the "Board"), including through its Public Responsibility Committee, provides oversight of its environmental sustainability and climate-related strategic goals and objectives to ensure integration with its core business strategy. Management periodically updates the Board on the implementation of the Company's climate strategic goals and objectives. The Board, including through its Public Responsibility Committee, also oversees management's identification, evaluation and monitoring of environmental (including climate-related) trends, issues, concerns, risks and opportunities that affect or could affect the Company's reputation, business activities, strategies and performance.</w:t>
      </w:r>
    </w:p>
    <w:p>
      <w:pPr>
        <w:spacing w:after="0" w:line="294" w:lineRule="exact"/>
        <w:rPr>
          <w:sz w:val="20"/>
          <w:szCs w:val="20"/>
          <w:color w:val="auto"/>
        </w:rPr>
      </w:pPr>
    </w:p>
    <w:p>
      <w:pPr>
        <w:ind w:right="440" w:firstLine="3"/>
        <w:spacing w:after="0" w:line="249" w:lineRule="auto"/>
        <w:tabs>
          <w:tab w:leader="none" w:pos="112" w:val="left"/>
        </w:tabs>
        <w:numPr>
          <w:ilvl w:val="0"/>
          <w:numId w:val="7"/>
        </w:numPr>
        <w:rPr>
          <w:rFonts w:ascii="Arial" w:cs="Arial" w:eastAsia="Arial" w:hAnsi="Arial"/>
          <w:sz w:val="13"/>
          <w:szCs w:val="13"/>
          <w:color w:val="auto"/>
        </w:rPr>
      </w:pPr>
      <w:r>
        <w:rPr>
          <w:rFonts w:ascii="Arial" w:cs="Arial" w:eastAsia="Arial" w:hAnsi="Arial"/>
          <w:sz w:val="19"/>
          <w:szCs w:val="19"/>
          <w:color w:val="auto"/>
        </w:rPr>
        <w:t>Traditional carbon offsets refer to carbon credits generated through the avoidance and/or reduction of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emissions that would have otherwise occurred outside a company's value chain. Traditional carbon offsets do not include certificates conveying the attributes of renewable energy or sustainable aviation fuel, or credits related to the removal of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from the atmosphere.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-631825</wp:posOffset>
                </wp:positionV>
                <wp:extent cx="246443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443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49.7499pt" to="194.15pt,-49.7499pt" o:allowincell="f" strokecolor="#000000" strokeweight="0.97pt"/>
            </w:pict>
          </mc:Fallback>
        </mc:AlternateContent>
      </w:r>
    </w:p>
    <w:p>
      <w:pPr>
        <w:sectPr>
          <w:pgSz w:w="11880" w:h="15480" w:orient="portrait"/>
          <w:cols w:equalWidth="0" w:num="1">
            <w:col w:w="9960"/>
          </w:cols>
          <w:pgMar w:left="960" w:top="586" w:right="960" w:bottom="68"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9960"/>
          </w:cols>
          <w:pgMar w:left="960" w:top="586" w:right="960" w:bottom="68" w:gutter="0" w:footer="0" w:header="0"/>
          <w:type w:val="continuous"/>
        </w:sectPr>
      </w:pPr>
    </w:p>
    <w:bookmarkStart w:id="9" w:name="page10"/>
    <w:bookmarkEnd w:id="9"/>
    <w:p>
      <w:pPr>
        <w:ind w:left="348" w:hanging="348"/>
        <w:spacing w:after="0" w:line="276" w:lineRule="auto"/>
        <w:tabs>
          <w:tab w:leader="none" w:pos="348"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Drive fuel efficiencies and innovation in flight</w:t>
      </w:r>
      <w:r>
        <w:rPr>
          <w:rFonts w:ascii="Arial" w:cs="Arial" w:eastAsia="Arial" w:hAnsi="Arial"/>
          <w:sz w:val="18"/>
          <w:szCs w:val="18"/>
          <w:color w:val="auto"/>
        </w:rPr>
        <w:t>: As part of this plan, the Company is focused on improving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efficiency in its operations. Its main focus in realizing this objective is optimizing its conventional jet fuel consumption, which is both the largest contributor to its environmental footprint and, as noted above, a sizable expense for the Company. To do so, the Company is prioritizing the introduction of newer, more fuel-efficient aircraft into its fleet as part of its United Next plan, as well as improving the fuel efficiency of its existing fleet. In conjunction with improving the fuel efficiency of its fleet, the Company has been incorporating fuel efficiency considerations within flight and ground operations, including implementing operational and procedural initiatives designed to drive fuel conservation. The Company has worked collaboratively across its organization and with Air Traffic Control ("ATC") providers to strive to improve fuel efficiency through the implementation of best practices and by training its pilots and dispatchers and supplying them with the necessary tools to execute those strategies.</w:t>
      </w:r>
    </w:p>
    <w:p>
      <w:pPr>
        <w:spacing w:after="0" w:line="122" w:lineRule="exact"/>
        <w:rPr>
          <w:rFonts w:ascii="Arial" w:cs="Arial" w:eastAsia="Arial" w:hAnsi="Arial"/>
          <w:sz w:val="18"/>
          <w:szCs w:val="18"/>
          <w:color w:val="auto"/>
        </w:rPr>
      </w:pPr>
    </w:p>
    <w:p>
      <w:pPr>
        <w:ind w:left="348" w:right="40" w:hanging="348"/>
        <w:spacing w:after="0" w:line="278" w:lineRule="auto"/>
        <w:tabs>
          <w:tab w:leader="none" w:pos="348"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Adopt more sustainable alternatives to jet fuel</w:t>
      </w:r>
      <w:r>
        <w:rPr>
          <w:rFonts w:ascii="Arial" w:cs="Arial" w:eastAsia="Arial" w:hAnsi="Arial"/>
          <w:sz w:val="18"/>
          <w:szCs w:val="18"/>
          <w:color w:val="auto"/>
        </w:rPr>
        <w:t>: The Company believes that large-scale adoption of sustainable aviation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fuel ("SAF") in its operations is critical to helping mitigate its exposure to volatile fuel prices and achieving its environmental goals. SAF is an alternative to conventional jet fuel that can emit up to 85% less GHG emissions on a lifecycle basis relative to conventional jet fuel and is considered 'drop-in' ready, which means that it can be used in current operations with existing aircraft and infrastructure with few to no additional alterations required. SAF can help diversify the Company's jet fuel supply, which is its second largest operating expense and is subject to volatile global prices. Reducing its fuel consumption while diversifying its fuel supply with SAF can enhance the Company's resiliency in the face of conventional jet fuel price spikes.</w:t>
      </w:r>
    </w:p>
    <w:p>
      <w:pPr>
        <w:spacing w:after="0" w:line="119" w:lineRule="exact"/>
        <w:rPr>
          <w:rFonts w:ascii="Arial" w:cs="Arial" w:eastAsia="Arial" w:hAnsi="Arial"/>
          <w:sz w:val="18"/>
          <w:szCs w:val="18"/>
          <w:color w:val="auto"/>
        </w:rPr>
      </w:pPr>
    </w:p>
    <w:p>
      <w:pPr>
        <w:ind w:left="348" w:right="60" w:hanging="348"/>
        <w:spacing w:after="0" w:line="261" w:lineRule="auto"/>
        <w:tabs>
          <w:tab w:leader="none" w:pos="348" w:val="left"/>
        </w:tabs>
        <w:numPr>
          <w:ilvl w:val="0"/>
          <w:numId w:val="8"/>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The Company is working with strategic partners to scale and commercialize the use of SAF</w:t>
      </w:r>
      <w:r>
        <w:rPr>
          <w:rFonts w:ascii="Arial" w:cs="Arial" w:eastAsia="Arial" w:hAnsi="Arial"/>
          <w:sz w:val="19"/>
          <w:szCs w:val="19"/>
          <w:color w:val="auto"/>
        </w:rPr>
        <w:t>: While the Company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currently is an aviation leader in investing in technologies focused on decarbonizing aviation and its associated energy supply chains, SAF supply in the jet fuel market is constrained and represents, according to industry estimates, less than 1% of global commercial aviation fuel usage. Additionally, the purchase of SAF today comes with a price premium, compared to conventional jet fuel. As a result, in 2024, the total volume of SAF used in the Company's operations remained approximately 0.3% of its total aviation fuel usage. These challenges with present-day SAF have informed the Company's strategy of investing in technology to help scale the SAF market and unlock future supply for the Company.</w:t>
      </w:r>
    </w:p>
    <w:p>
      <w:pPr>
        <w:spacing w:after="0" w:line="139" w:lineRule="exact"/>
        <w:rPr>
          <w:rFonts w:ascii="Arial" w:cs="Arial" w:eastAsia="Arial" w:hAnsi="Arial"/>
          <w:sz w:val="19"/>
          <w:szCs w:val="19"/>
          <w:b w:val="1"/>
          <w:bCs w:val="1"/>
          <w:i w:val="1"/>
          <w:iCs w:val="1"/>
          <w:color w:val="auto"/>
        </w:rPr>
      </w:pPr>
    </w:p>
    <w:p>
      <w:pPr>
        <w:ind w:left="348" w:right="80"/>
        <w:spacing w:after="0" w:line="268" w:lineRule="auto"/>
        <w:rPr>
          <w:rFonts w:ascii="Arial" w:cs="Arial" w:eastAsia="Arial" w:hAnsi="Arial"/>
          <w:sz w:val="19"/>
          <w:szCs w:val="19"/>
          <w:b w:val="1"/>
          <w:bCs w:val="1"/>
          <w:i w:val="1"/>
          <w:iCs w:val="1"/>
          <w:color w:val="auto"/>
        </w:rPr>
      </w:pPr>
      <w:r>
        <w:rPr>
          <w:rFonts w:ascii="Arial" w:cs="Arial" w:eastAsia="Arial" w:hAnsi="Arial"/>
          <w:sz w:val="19"/>
          <w:szCs w:val="19"/>
          <w:color w:val="auto"/>
        </w:rPr>
        <w:t>The Company has an established history of investment in, and use of, SAF. Beginning in 2015, the Company made its first investment in a company working to commercialize SAF production. In 2016, the Company became the first airline globally to start using SAF in its regular operations on an ongoing basis. The Company has progressed its SAF strategy with several notable milestones, including the following:</w:t>
      </w:r>
    </w:p>
    <w:p>
      <w:pPr>
        <w:spacing w:after="0" w:line="130" w:lineRule="exact"/>
        <w:rPr>
          <w:rFonts w:ascii="Arial" w:cs="Arial" w:eastAsia="Arial" w:hAnsi="Arial"/>
          <w:sz w:val="19"/>
          <w:szCs w:val="19"/>
          <w:b w:val="1"/>
          <w:bCs w:val="1"/>
          <w:i w:val="1"/>
          <w:iCs w:val="1"/>
          <w:color w:val="auto"/>
        </w:rPr>
      </w:pPr>
    </w:p>
    <w:p>
      <w:pPr>
        <w:ind w:left="1048" w:right="220" w:hanging="349"/>
        <w:spacing w:after="0" w:line="268" w:lineRule="auto"/>
        <w:tabs>
          <w:tab w:leader="none" w:pos="1048" w:val="left"/>
        </w:tabs>
        <w:numPr>
          <w:ilvl w:val="1"/>
          <w:numId w:val="8"/>
        </w:numPr>
        <w:rPr>
          <w:rFonts w:ascii="Arial" w:cs="Arial" w:eastAsia="Arial" w:hAnsi="Arial"/>
          <w:sz w:val="19"/>
          <w:szCs w:val="19"/>
          <w:color w:val="auto"/>
        </w:rPr>
      </w:pPr>
      <w:r>
        <w:rPr>
          <w:rFonts w:ascii="Arial" w:cs="Arial" w:eastAsia="Arial" w:hAnsi="Arial"/>
          <w:sz w:val="19"/>
          <w:szCs w:val="19"/>
          <w:color w:val="auto"/>
        </w:rPr>
        <w:t>In 2021 the Company launched its first-of-its-kind Eco-Skies Alliance program for corporations to help advance the SAF market by working with the Company to fund the price premium for SAF. The Company also established UAV, a corporate venture capital arm that seeks to invest in promising sustainable aviation technologies and innovation to usher in the future of air travel.</w:t>
      </w:r>
    </w:p>
    <w:p>
      <w:pPr>
        <w:spacing w:after="0" w:line="130" w:lineRule="exact"/>
        <w:rPr>
          <w:rFonts w:ascii="Arial" w:cs="Arial" w:eastAsia="Arial" w:hAnsi="Arial"/>
          <w:sz w:val="19"/>
          <w:szCs w:val="19"/>
          <w:color w:val="auto"/>
        </w:rPr>
      </w:pPr>
    </w:p>
    <w:p>
      <w:pPr>
        <w:ind w:left="1048" w:right="80" w:hanging="349"/>
        <w:spacing w:after="0" w:line="268" w:lineRule="auto"/>
        <w:tabs>
          <w:tab w:leader="none" w:pos="1048" w:val="left"/>
        </w:tabs>
        <w:numPr>
          <w:ilvl w:val="1"/>
          <w:numId w:val="8"/>
        </w:numPr>
        <w:rPr>
          <w:rFonts w:ascii="Arial" w:cs="Arial" w:eastAsia="Arial" w:hAnsi="Arial"/>
          <w:sz w:val="19"/>
          <w:szCs w:val="19"/>
          <w:color w:val="auto"/>
        </w:rPr>
      </w:pPr>
      <w:r>
        <w:rPr>
          <w:rFonts w:ascii="Arial" w:cs="Arial" w:eastAsia="Arial" w:hAnsi="Arial"/>
          <w:sz w:val="19"/>
          <w:szCs w:val="19"/>
          <w:color w:val="auto"/>
        </w:rPr>
        <w:t>In 2023 the Company launched the United Airlines Ventures Sustainable Flight Fund (the "Fund")—which is the first-of-its-kind investment vehicle of UAV—to support start-ups developing technologies focused on decarbonizing aviation and its associated energy supply chains, including through research and production, and technologies associated with SAF.</w:t>
      </w:r>
    </w:p>
    <w:p>
      <w:pPr>
        <w:spacing w:after="0" w:line="130" w:lineRule="exact"/>
        <w:rPr>
          <w:rFonts w:ascii="Arial" w:cs="Arial" w:eastAsia="Arial" w:hAnsi="Arial"/>
          <w:sz w:val="19"/>
          <w:szCs w:val="19"/>
          <w:color w:val="auto"/>
        </w:rPr>
      </w:pPr>
    </w:p>
    <w:p>
      <w:pPr>
        <w:ind w:left="1048" w:right="420" w:hanging="349"/>
        <w:spacing w:after="0" w:line="294" w:lineRule="auto"/>
        <w:tabs>
          <w:tab w:leader="none" w:pos="1048" w:val="left"/>
        </w:tabs>
        <w:numPr>
          <w:ilvl w:val="1"/>
          <w:numId w:val="8"/>
        </w:numPr>
        <w:rPr>
          <w:rFonts w:ascii="Arial" w:cs="Arial" w:eastAsia="Arial" w:hAnsi="Arial"/>
          <w:sz w:val="19"/>
          <w:szCs w:val="19"/>
          <w:color w:val="auto"/>
        </w:rPr>
      </w:pPr>
      <w:r>
        <w:rPr>
          <w:rFonts w:ascii="Arial" w:cs="Arial" w:eastAsia="Arial" w:hAnsi="Arial"/>
          <w:sz w:val="19"/>
          <w:szCs w:val="19"/>
          <w:color w:val="auto"/>
        </w:rPr>
        <w:t>Between 2024-2025, the Company added four new locations to its SAF operational footprint, purchasing blended SAF for use at ORD, IAD, IAH and EWR airports.</w:t>
      </w:r>
    </w:p>
    <w:p>
      <w:pPr>
        <w:spacing w:after="0" w:line="102" w:lineRule="exact"/>
        <w:rPr>
          <w:rFonts w:ascii="Arial" w:cs="Arial" w:eastAsia="Arial" w:hAnsi="Arial"/>
          <w:sz w:val="19"/>
          <w:szCs w:val="19"/>
          <w:color w:val="auto"/>
        </w:rPr>
      </w:pPr>
    </w:p>
    <w:p>
      <w:pPr>
        <w:ind w:left="348" w:right="80" w:hanging="348"/>
        <w:spacing w:after="0" w:line="266" w:lineRule="auto"/>
        <w:tabs>
          <w:tab w:leader="none" w:pos="348" w:val="left"/>
        </w:tabs>
        <w:numPr>
          <w:ilvl w:val="0"/>
          <w:numId w:val="8"/>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Integrate sustainability efforts at every altitude</w:t>
      </w:r>
      <w:r>
        <w:rPr>
          <w:rFonts w:ascii="Arial" w:cs="Arial" w:eastAsia="Arial" w:hAnsi="Arial"/>
          <w:sz w:val="19"/>
          <w:szCs w:val="19"/>
          <w:color w:val="auto"/>
        </w:rPr>
        <w:t>: The Company is focused on initiatives intended to drive more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sustainable operations while maintaining efficiencies across the business. For example, the Company continues to progress its strategic electrification of ground service equipment ("GSE") across its hubs and stations. As of the end of 2025, over 5,800 units of the Company's GSE around the world are electric, representing approximately 41% of its GSE fleet.</w:t>
      </w:r>
    </w:p>
    <w:p>
      <w:pPr>
        <w:spacing w:after="0" w:line="128" w:lineRule="exact"/>
        <w:rPr>
          <w:rFonts w:ascii="Arial" w:cs="Arial" w:eastAsia="Arial" w:hAnsi="Arial"/>
          <w:sz w:val="19"/>
          <w:szCs w:val="19"/>
          <w:color w:val="auto"/>
        </w:rPr>
      </w:pPr>
    </w:p>
    <w:p>
      <w:pPr>
        <w:ind w:left="348" w:right="200" w:hanging="348"/>
        <w:spacing w:after="0" w:line="323" w:lineRule="auto"/>
        <w:tabs>
          <w:tab w:leader="none" w:pos="348"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Collaborate with partners</w:t>
      </w:r>
      <w:r>
        <w:rPr>
          <w:rFonts w:ascii="Arial" w:cs="Arial" w:eastAsia="Arial" w:hAnsi="Arial"/>
          <w:sz w:val="17"/>
          <w:szCs w:val="17"/>
          <w:color w:val="auto"/>
        </w:rPr>
        <w:t>: The Company collaborates with employees, customers, airports, suppliers, cross-industry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trade associations and policymakers across its value chain to scale the supply of SAF and invest in decarbonization technology solutions. Some of the Company's highlights in this area include the following:</w:t>
      </w:r>
    </w:p>
    <w:p>
      <w:pPr>
        <w:spacing w:after="0" w:line="86" w:lineRule="exact"/>
        <w:rPr>
          <w:rFonts w:ascii="Arial" w:cs="Arial" w:eastAsia="Arial" w:hAnsi="Arial"/>
          <w:sz w:val="17"/>
          <w:szCs w:val="17"/>
          <w:color w:val="auto"/>
        </w:rPr>
      </w:pPr>
    </w:p>
    <w:p>
      <w:pPr>
        <w:ind w:left="1048" w:right="380" w:hanging="349"/>
        <w:spacing w:after="0" w:line="268" w:lineRule="auto"/>
        <w:tabs>
          <w:tab w:leader="none" w:pos="1048" w:val="left"/>
        </w:tabs>
        <w:numPr>
          <w:ilvl w:val="1"/>
          <w:numId w:val="8"/>
        </w:numPr>
        <w:rPr>
          <w:rFonts w:ascii="Arial" w:cs="Arial" w:eastAsia="Arial" w:hAnsi="Arial"/>
          <w:sz w:val="19"/>
          <w:szCs w:val="19"/>
          <w:color w:val="auto"/>
        </w:rPr>
      </w:pPr>
      <w:r>
        <w:rPr>
          <w:rFonts w:ascii="Arial" w:cs="Arial" w:eastAsia="Arial" w:hAnsi="Arial"/>
          <w:sz w:val="19"/>
          <w:szCs w:val="19"/>
          <w:color w:val="auto"/>
        </w:rPr>
        <w:t>The Company led a cross-sectoral effort to incentivize SAF in Illinois, lowering the overall cost of SAF consumption at the state level. The Sustainable Aviation Fuel Purchase Credit was enacted in Illinois in February 2023 and became effective in mid-2023. The Company was the first airline to use this credit for purchases in 2024.</w:t>
      </w:r>
    </w:p>
    <w:p>
      <w:pPr>
        <w:sectPr>
          <w:pgSz w:w="11880" w:h="15480" w:orient="portrait"/>
          <w:cols w:equalWidth="0" w:num="1">
            <w:col w:w="9608"/>
          </w:cols>
          <w:pgMar w:left="1312" w:top="583" w:right="960" w:bottom="68" w:gutter="0" w:footer="0" w:header="0"/>
        </w:sectPr>
      </w:pPr>
    </w:p>
    <w:p>
      <w:pPr>
        <w:spacing w:after="0" w:line="376" w:lineRule="exact"/>
        <w:rPr>
          <w:sz w:val="20"/>
          <w:szCs w:val="20"/>
          <w:color w:val="auto"/>
        </w:rPr>
      </w:pPr>
    </w:p>
    <w:p>
      <w:pPr>
        <w:jc w:val="center"/>
        <w:ind w:right="352"/>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9608"/>
          </w:cols>
          <w:pgMar w:left="1312" w:top="583" w:right="960" w:bottom="68" w:gutter="0" w:footer="0" w:header="0"/>
          <w:type w:val="continuous"/>
        </w:sectPr>
      </w:pPr>
    </w:p>
    <w:bookmarkStart w:id="10" w:name="page11"/>
    <w:bookmarkEnd w:id="10"/>
    <w:p>
      <w:pPr>
        <w:ind w:left="1400" w:hanging="349"/>
        <w:spacing w:after="0" w:line="268"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Company is a founding member of the nonprofit, non-partisan SAF Coalition. Formed in 2024, the SAF Coalition is an organization looking to bring together all stakeholders of the aviation fuel value chain to advocate for federal policies that support and increase domestic SAF supply, including successful advocacy to preserve and extend federal low-carbon fuel tax credits.</w:t>
      </w:r>
    </w:p>
    <w:p>
      <w:pPr>
        <w:spacing w:after="0" w:line="130" w:lineRule="exact"/>
        <w:rPr>
          <w:sz w:val="20"/>
          <w:szCs w:val="20"/>
          <w:color w:val="auto"/>
        </w:rPr>
      </w:pPr>
    </w:p>
    <w:p>
      <w:pPr>
        <w:ind w:right="80"/>
        <w:spacing w:after="0" w:line="297" w:lineRule="auto"/>
        <w:rPr>
          <w:sz w:val="20"/>
          <w:szCs w:val="20"/>
          <w:color w:val="auto"/>
        </w:rPr>
      </w:pPr>
      <w:r>
        <w:rPr>
          <w:rFonts w:ascii="Arial" w:cs="Arial" w:eastAsia="Arial" w:hAnsi="Arial"/>
          <w:sz w:val="17"/>
          <w:szCs w:val="17"/>
          <w:color w:val="auto"/>
        </w:rPr>
        <w:t>The Company has made progress with its environmental sustainability strategy. However, the Company expects that its absolute GHG emissions will continue to increase in the immediate future as the Company continues to grow. In addition, even though purchasing voluntary, traditional carbon offsets could present near-term emissions reductions, as outlined above, the Company aims to achieve its mid-term and long-term climate goals without relying on the use of voluntary, traditional carbon offsets. Such commitment is demonstrated by the end of the Company's customer offset program and elimination of emission reductions realized by carbon offsets as reflected in its GHG inventory. The Company continues to review and explore the evolving environmental landscape to further understand potential risks and opportunities to enhance its environmental strategy.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40" w:type="dxa"/>
            <w:vAlign w:val="bottom"/>
            <w:gridSpan w:val="3"/>
          </w:tcPr>
          <w:p>
            <w:pPr>
              <w:spacing w:after="0"/>
              <w:rPr>
                <w:sz w:val="20"/>
                <w:szCs w:val="20"/>
                <w:color w:val="auto"/>
              </w:rPr>
            </w:pPr>
            <w:r>
              <w:rPr>
                <w:rFonts w:ascii="Arial" w:cs="Arial" w:eastAsia="Arial" w:hAnsi="Arial"/>
                <w:sz w:val="19"/>
                <w:szCs w:val="19"/>
                <w:color w:val="auto"/>
                <w:w w:val="95"/>
              </w:rPr>
              <w:t>Additional quantitative emissions data for fiscal years 2024 and 2023 are as follows:</w:t>
            </w: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481"/>
        </w:trPr>
        <w:tc>
          <w:tcPr>
            <w:tcW w:w="6740" w:type="dxa"/>
            <w:vAlign w:val="bottom"/>
            <w:gridSpan w:val="3"/>
          </w:tcPr>
          <w:p>
            <w:pPr>
              <w:ind w:left="2260"/>
              <w:spacing w:after="0"/>
              <w:rPr>
                <w:sz w:val="20"/>
                <w:szCs w:val="20"/>
                <w:color w:val="auto"/>
              </w:rPr>
            </w:pPr>
            <w:r>
              <w:rPr>
                <w:rFonts w:ascii="Arial" w:cs="Arial" w:eastAsia="Arial" w:hAnsi="Arial"/>
                <w:sz w:val="19"/>
                <w:szCs w:val="19"/>
                <w:b w:val="1"/>
                <w:bCs w:val="1"/>
                <w:color w:val="auto"/>
              </w:rPr>
              <w:t>Carbon Emissions</w:t>
            </w:r>
          </w:p>
        </w:tc>
        <w:tc>
          <w:tcPr>
            <w:tcW w:w="1200" w:type="dxa"/>
            <w:vAlign w:val="bottom"/>
          </w:tcPr>
          <w:p>
            <w:pPr>
              <w:jc w:val="right"/>
              <w:ind w:right="543"/>
              <w:spacing w:after="0"/>
              <w:rPr>
                <w:sz w:val="20"/>
                <w:szCs w:val="20"/>
                <w:color w:val="auto"/>
              </w:rPr>
            </w:pPr>
            <w:r>
              <w:rPr>
                <w:rFonts w:ascii="Arial" w:cs="Arial" w:eastAsia="Arial" w:hAnsi="Arial"/>
                <w:sz w:val="19"/>
                <w:szCs w:val="19"/>
                <w:b w:val="1"/>
                <w:bCs w:val="1"/>
                <w:color w:val="auto"/>
              </w:rPr>
              <w:t>2024</w:t>
            </w:r>
          </w:p>
        </w:tc>
        <w:tc>
          <w:tcPr>
            <w:tcW w:w="1880" w:type="dxa"/>
            <w:vAlign w:val="bottom"/>
            <w:gridSpan w:val="2"/>
          </w:tcPr>
          <w:p>
            <w:pPr>
              <w:jc w:val="right"/>
              <w:ind w:right="660"/>
              <w:spacing w:after="0"/>
              <w:rPr>
                <w:sz w:val="20"/>
                <w:szCs w:val="20"/>
                <w:color w:val="auto"/>
              </w:rPr>
            </w:pPr>
            <w:r>
              <w:rPr>
                <w:rFonts w:ascii="Arial" w:cs="Arial" w:eastAsia="Arial" w:hAnsi="Arial"/>
                <w:sz w:val="19"/>
                <w:szCs w:val="19"/>
                <w:b w:val="1"/>
                <w:bCs w:val="1"/>
                <w:color w:val="auto"/>
              </w:rPr>
              <w:t>2023</w:t>
            </w:r>
          </w:p>
        </w:tc>
        <w:tc>
          <w:tcPr>
            <w:tcW w:w="140" w:type="dxa"/>
            <w:vAlign w:val="bottom"/>
          </w:tcPr>
          <w:p>
            <w:pPr>
              <w:spacing w:after="0"/>
              <w:rPr>
                <w:sz w:val="24"/>
                <w:szCs w:val="24"/>
                <w:color w:val="auto"/>
              </w:rPr>
            </w:pPr>
          </w:p>
        </w:tc>
      </w:tr>
      <w:tr>
        <w:trPr>
          <w:trHeight w:val="267"/>
        </w:trPr>
        <w:tc>
          <w:tcPr>
            <w:tcW w:w="6020" w:type="dxa"/>
            <w:vAlign w:val="bottom"/>
            <w:tcBorders>
              <w:top w:val="single" w:sz="8" w:color="auto"/>
            </w:tcBorders>
          </w:tcPr>
          <w:p>
            <w:pPr>
              <w:ind w:left="60"/>
              <w:spacing w:after="0" w:line="266" w:lineRule="exact"/>
              <w:rPr>
                <w:sz w:val="20"/>
                <w:szCs w:val="20"/>
                <w:color w:val="auto"/>
              </w:rPr>
            </w:pPr>
            <w:r>
              <w:rPr>
                <w:rFonts w:ascii="Arial" w:cs="Arial" w:eastAsia="Arial" w:hAnsi="Arial"/>
                <w:sz w:val="19"/>
                <w:szCs w:val="19"/>
                <w:b w:val="1"/>
                <w:bCs w:val="1"/>
                <w:color w:val="auto"/>
              </w:rPr>
              <w:t>Direct (Scope 1) GHG Emissions in Metric Tons CO</w:t>
            </w:r>
            <w:r>
              <w:rPr>
                <w:rFonts w:ascii="Arial" w:cs="Arial" w:eastAsia="Arial" w:hAnsi="Arial"/>
                <w:sz w:val="25"/>
                <w:szCs w:val="25"/>
                <w:b w:val="1"/>
                <w:bCs w:val="1"/>
                <w:color w:val="auto"/>
                <w:vertAlign w:val="subscript"/>
              </w:rPr>
              <w:t>2</w:t>
            </w:r>
            <w:r>
              <w:rPr>
                <w:rFonts w:ascii="Arial" w:cs="Arial" w:eastAsia="Arial" w:hAnsi="Arial"/>
                <w:sz w:val="19"/>
                <w:szCs w:val="19"/>
                <w:b w:val="1"/>
                <w:bCs w:val="1"/>
                <w:color w:val="auto"/>
              </w:rPr>
              <w:t>e</w:t>
            </w:r>
          </w:p>
        </w:tc>
        <w:tc>
          <w:tcPr>
            <w:tcW w:w="22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r>
        <w:trPr>
          <w:trHeight w:val="277"/>
        </w:trPr>
        <w:tc>
          <w:tcPr>
            <w:tcW w:w="6740" w:type="dxa"/>
            <w:vAlign w:val="bottom"/>
            <w:gridSpan w:val="3"/>
            <w:shd w:val="clear" w:color="auto" w:fill="E6E6E6"/>
          </w:tcPr>
          <w:p>
            <w:pPr>
              <w:ind w:left="280"/>
              <w:spacing w:after="0"/>
              <w:rPr>
                <w:sz w:val="20"/>
                <w:szCs w:val="20"/>
                <w:color w:val="auto"/>
              </w:rPr>
            </w:pPr>
            <w:r>
              <w:rPr>
                <w:rFonts w:ascii="Arial" w:cs="Arial" w:eastAsia="Arial" w:hAnsi="Arial"/>
                <w:sz w:val="19"/>
                <w:szCs w:val="19"/>
                <w:color w:val="auto"/>
              </w:rPr>
              <w:t>Gross and Net GHG emissions</w:t>
            </w:r>
          </w:p>
        </w:tc>
        <w:tc>
          <w:tcPr>
            <w:tcW w:w="12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38,520,027</w:t>
            </w:r>
          </w:p>
        </w:tc>
        <w:tc>
          <w:tcPr>
            <w:tcW w:w="18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color w:val="auto"/>
              </w:rPr>
              <w:t>36,588,996</w:t>
            </w: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76"/>
        </w:trPr>
        <w:tc>
          <w:tcPr>
            <w:tcW w:w="6740" w:type="dxa"/>
            <w:vAlign w:val="bottom"/>
            <w:gridSpan w:val="3"/>
          </w:tcPr>
          <w:p>
            <w:pPr>
              <w:ind w:left="60"/>
              <w:spacing w:after="0" w:line="276" w:lineRule="exact"/>
              <w:rPr>
                <w:sz w:val="20"/>
                <w:szCs w:val="20"/>
                <w:color w:val="auto"/>
              </w:rPr>
            </w:pPr>
            <w:r>
              <w:rPr>
                <w:rFonts w:ascii="Arial" w:cs="Arial" w:eastAsia="Arial" w:hAnsi="Arial"/>
                <w:sz w:val="19"/>
                <w:szCs w:val="19"/>
                <w:b w:val="1"/>
                <w:bCs w:val="1"/>
                <w:color w:val="auto"/>
              </w:rPr>
              <w:t>Biogenic Emissions in Metric Tons CO</w:t>
            </w:r>
            <w:r>
              <w:rPr>
                <w:rFonts w:ascii="Arial" w:cs="Arial" w:eastAsia="Arial" w:hAnsi="Arial"/>
                <w:sz w:val="25"/>
                <w:szCs w:val="25"/>
                <w:b w:val="1"/>
                <w:bCs w:val="1"/>
                <w:color w:val="auto"/>
                <w:vertAlign w:val="subscript"/>
              </w:rPr>
              <w:t>2</w:t>
            </w:r>
            <w:r>
              <w:rPr>
                <w:rFonts w:ascii="Arial" w:cs="Arial" w:eastAsia="Arial" w:hAnsi="Arial"/>
                <w:sz w:val="19"/>
                <w:szCs w:val="19"/>
                <w:b w:val="1"/>
                <w:bCs w:val="1"/>
                <w:color w:val="auto"/>
              </w:rPr>
              <w:t>e</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7"/>
        </w:trPr>
        <w:tc>
          <w:tcPr>
            <w:tcW w:w="6740" w:type="dxa"/>
            <w:vAlign w:val="bottom"/>
            <w:gridSpan w:val="3"/>
            <w:shd w:val="clear" w:color="auto" w:fill="E6E6E6"/>
          </w:tcPr>
          <w:p>
            <w:pPr>
              <w:ind w:left="60"/>
              <w:spacing w:after="0"/>
              <w:rPr>
                <w:sz w:val="20"/>
                <w:szCs w:val="20"/>
                <w:color w:val="auto"/>
              </w:rPr>
            </w:pPr>
            <w:r>
              <w:rPr>
                <w:rFonts w:ascii="Arial" w:cs="Arial" w:eastAsia="Arial" w:hAnsi="Arial"/>
                <w:sz w:val="19"/>
                <w:szCs w:val="19"/>
                <w:color w:val="auto"/>
              </w:rPr>
              <w:t>Biogenic (Outside of Scope) Emissions</w:t>
            </w:r>
          </w:p>
        </w:tc>
        <w:tc>
          <w:tcPr>
            <w:tcW w:w="12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125,374</w:t>
            </w:r>
          </w:p>
        </w:tc>
        <w:tc>
          <w:tcPr>
            <w:tcW w:w="18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color w:val="auto"/>
              </w:rPr>
              <w:t>68,871</w:t>
            </w: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77"/>
        </w:trPr>
        <w:tc>
          <w:tcPr>
            <w:tcW w:w="6740" w:type="dxa"/>
            <w:vAlign w:val="bottom"/>
            <w:gridSpan w:val="3"/>
          </w:tcPr>
          <w:p>
            <w:pPr>
              <w:ind w:left="60"/>
              <w:spacing w:after="0" w:line="276" w:lineRule="exact"/>
              <w:rPr>
                <w:sz w:val="20"/>
                <w:szCs w:val="20"/>
                <w:color w:val="auto"/>
              </w:rPr>
            </w:pPr>
            <w:r>
              <w:rPr>
                <w:rFonts w:ascii="Arial" w:cs="Arial" w:eastAsia="Arial" w:hAnsi="Arial"/>
                <w:sz w:val="19"/>
                <w:szCs w:val="19"/>
                <w:b w:val="1"/>
                <w:bCs w:val="1"/>
                <w:color w:val="auto"/>
              </w:rPr>
              <w:t>Indirect Emissions in Metric Tons CO</w:t>
            </w:r>
            <w:r>
              <w:rPr>
                <w:rFonts w:ascii="Arial" w:cs="Arial" w:eastAsia="Arial" w:hAnsi="Arial"/>
                <w:sz w:val="25"/>
                <w:szCs w:val="25"/>
                <w:b w:val="1"/>
                <w:bCs w:val="1"/>
                <w:color w:val="auto"/>
                <w:vertAlign w:val="subscript"/>
              </w:rPr>
              <w:t>2</w:t>
            </w:r>
            <w:r>
              <w:rPr>
                <w:rFonts w:ascii="Arial" w:cs="Arial" w:eastAsia="Arial" w:hAnsi="Arial"/>
                <w:sz w:val="19"/>
                <w:szCs w:val="19"/>
                <w:b w:val="1"/>
                <w:bCs w:val="1"/>
                <w:color w:val="auto"/>
              </w:rPr>
              <w:t>e</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7"/>
        </w:trPr>
        <w:tc>
          <w:tcPr>
            <w:tcW w:w="6740" w:type="dxa"/>
            <w:vAlign w:val="bottom"/>
            <w:gridSpan w:val="3"/>
            <w:shd w:val="clear" w:color="auto" w:fill="E6E6E6"/>
          </w:tcPr>
          <w:p>
            <w:pPr>
              <w:ind w:left="280"/>
              <w:spacing w:after="0"/>
              <w:rPr>
                <w:sz w:val="20"/>
                <w:szCs w:val="20"/>
                <w:color w:val="auto"/>
              </w:rPr>
            </w:pPr>
            <w:r>
              <w:rPr>
                <w:rFonts w:ascii="Arial" w:cs="Arial" w:eastAsia="Arial" w:hAnsi="Arial"/>
                <w:sz w:val="19"/>
                <w:szCs w:val="19"/>
                <w:color w:val="auto"/>
              </w:rPr>
              <w:t>Indirect (Scope 2) GHG emissions</w:t>
            </w:r>
          </w:p>
        </w:tc>
        <w:tc>
          <w:tcPr>
            <w:tcW w:w="12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134,497</w:t>
            </w:r>
          </w:p>
        </w:tc>
        <w:tc>
          <w:tcPr>
            <w:tcW w:w="18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color w:val="auto"/>
              </w:rPr>
              <w:t>144,019</w:t>
            </w:r>
          </w:p>
        </w:tc>
        <w:tc>
          <w:tcPr>
            <w:tcW w:w="140" w:type="dxa"/>
            <w:vAlign w:val="bottom"/>
          </w:tcPr>
          <w:p>
            <w:pPr>
              <w:spacing w:after="0"/>
              <w:rPr>
                <w:sz w:val="24"/>
                <w:szCs w:val="24"/>
                <w:color w:val="auto"/>
              </w:rPr>
            </w:pPr>
          </w:p>
        </w:tc>
      </w:tr>
      <w:tr>
        <w:trPr>
          <w:trHeight w:val="270"/>
        </w:trPr>
        <w:tc>
          <w:tcPr>
            <w:tcW w:w="6740" w:type="dxa"/>
            <w:vAlign w:val="bottom"/>
            <w:gridSpan w:val="3"/>
          </w:tcPr>
          <w:p>
            <w:pPr>
              <w:ind w:left="280"/>
              <w:spacing w:after="0"/>
              <w:rPr>
                <w:sz w:val="20"/>
                <w:szCs w:val="20"/>
                <w:color w:val="auto"/>
              </w:rPr>
            </w:pPr>
            <w:r>
              <w:rPr>
                <w:rFonts w:ascii="Arial" w:cs="Arial" w:eastAsia="Arial" w:hAnsi="Arial"/>
                <w:sz w:val="19"/>
                <w:szCs w:val="19"/>
                <w:color w:val="auto"/>
              </w:rPr>
              <w:t>Other indirect (Scope 3) GHG emissions (a)</w:t>
            </w:r>
          </w:p>
        </w:tc>
        <w:tc>
          <w:tcPr>
            <w:tcW w:w="1200" w:type="dxa"/>
            <w:vAlign w:val="bottom"/>
          </w:tcPr>
          <w:p>
            <w:pPr>
              <w:jc w:val="right"/>
              <w:spacing w:after="0"/>
              <w:rPr>
                <w:sz w:val="20"/>
                <w:szCs w:val="20"/>
                <w:color w:val="auto"/>
              </w:rPr>
            </w:pPr>
            <w:r>
              <w:rPr>
                <w:rFonts w:ascii="Arial" w:cs="Arial" w:eastAsia="Arial" w:hAnsi="Arial"/>
                <w:sz w:val="19"/>
                <w:szCs w:val="19"/>
                <w:color w:val="auto"/>
              </w:rPr>
              <w:t>13,585,207</w:t>
            </w:r>
          </w:p>
        </w:tc>
        <w:tc>
          <w:tcPr>
            <w:tcW w:w="1880" w:type="dxa"/>
            <w:vAlign w:val="bottom"/>
            <w:gridSpan w:val="2"/>
          </w:tcPr>
          <w:p>
            <w:pPr>
              <w:jc w:val="right"/>
              <w:ind w:right="60"/>
              <w:spacing w:after="0"/>
              <w:rPr>
                <w:sz w:val="20"/>
                <w:szCs w:val="20"/>
                <w:color w:val="auto"/>
              </w:rPr>
            </w:pPr>
            <w:r>
              <w:rPr>
                <w:rFonts w:ascii="Arial" w:cs="Arial" w:eastAsia="Arial" w:hAnsi="Arial"/>
                <w:sz w:val="19"/>
                <w:szCs w:val="19"/>
                <w:color w:val="auto"/>
              </w:rPr>
              <w:t>12,671,510</w:t>
            </w:r>
          </w:p>
        </w:tc>
        <w:tc>
          <w:tcPr>
            <w:tcW w:w="140" w:type="dxa"/>
            <w:vAlign w:val="bottom"/>
          </w:tcPr>
          <w:p>
            <w:pPr>
              <w:spacing w:after="0"/>
              <w:rPr>
                <w:sz w:val="23"/>
                <w:szCs w:val="23"/>
                <w:color w:val="auto"/>
              </w:rPr>
            </w:pPr>
          </w:p>
        </w:tc>
      </w:tr>
      <w:tr>
        <w:trPr>
          <w:trHeight w:val="283"/>
        </w:trPr>
        <w:tc>
          <w:tcPr>
            <w:tcW w:w="6740" w:type="dxa"/>
            <w:vAlign w:val="bottom"/>
            <w:gridSpan w:val="3"/>
            <w:shd w:val="clear" w:color="auto" w:fill="E6E6E6"/>
          </w:tcPr>
          <w:p>
            <w:pPr>
              <w:ind w:left="60"/>
              <w:spacing w:after="0" w:line="283" w:lineRule="exact"/>
              <w:rPr>
                <w:sz w:val="20"/>
                <w:szCs w:val="20"/>
                <w:color w:val="auto"/>
              </w:rPr>
            </w:pPr>
            <w:r>
              <w:rPr>
                <w:rFonts w:ascii="Arial" w:cs="Arial" w:eastAsia="Arial" w:hAnsi="Arial"/>
                <w:sz w:val="19"/>
                <w:szCs w:val="19"/>
                <w:b w:val="1"/>
                <w:bCs w:val="1"/>
                <w:color w:val="auto"/>
              </w:rPr>
              <w:t>Total Net GHG Emissions in Metric Tons CO</w:t>
            </w:r>
            <w:r>
              <w:rPr>
                <w:rFonts w:ascii="Arial" w:cs="Arial" w:eastAsia="Arial" w:hAnsi="Arial"/>
                <w:sz w:val="25"/>
                <w:szCs w:val="25"/>
                <w:b w:val="1"/>
                <w:bCs w:val="1"/>
                <w:color w:val="auto"/>
                <w:vertAlign w:val="subscript"/>
              </w:rPr>
              <w:t>2</w:t>
            </w:r>
            <w:r>
              <w:rPr>
                <w:rFonts w:ascii="Arial" w:cs="Arial" w:eastAsia="Arial" w:hAnsi="Arial"/>
                <w:sz w:val="19"/>
                <w:szCs w:val="19"/>
                <w:b w:val="1"/>
                <w:bCs w:val="1"/>
                <w:color w:val="auto"/>
              </w:rPr>
              <w:t>e (b)</w:t>
            </w:r>
          </w:p>
        </w:tc>
        <w:tc>
          <w:tcPr>
            <w:tcW w:w="12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52,239,731</w:t>
            </w:r>
          </w:p>
        </w:tc>
        <w:tc>
          <w:tcPr>
            <w:tcW w:w="18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color w:val="auto"/>
              </w:rPr>
              <w:t>49,404,525</w:t>
            </w: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r>
    </w:tbl>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20" w:type="dxa"/>
            <w:vAlign w:val="bottom"/>
          </w:tcPr>
          <w:p>
            <w:pPr>
              <w:ind w:left="1480"/>
              <w:spacing w:after="0"/>
              <w:rPr>
                <w:sz w:val="20"/>
                <w:szCs w:val="20"/>
                <w:color w:val="auto"/>
              </w:rPr>
            </w:pPr>
            <w:r>
              <w:rPr>
                <w:rFonts w:ascii="Arial" w:cs="Arial" w:eastAsia="Arial" w:hAnsi="Arial"/>
                <w:sz w:val="19"/>
                <w:szCs w:val="19"/>
                <w:b w:val="1"/>
                <w:bCs w:val="1"/>
                <w:color w:val="auto"/>
              </w:rPr>
              <w:t>Carbon Emissions Intensity Rates (c)</w:t>
            </w:r>
          </w:p>
        </w:tc>
        <w:tc>
          <w:tcPr>
            <w:tcW w:w="1920" w:type="dxa"/>
            <w:vAlign w:val="bottom"/>
            <w:gridSpan w:val="2"/>
          </w:tcPr>
          <w:p>
            <w:pPr>
              <w:jc w:val="right"/>
              <w:ind w:right="640"/>
              <w:spacing w:after="0"/>
              <w:rPr>
                <w:sz w:val="20"/>
                <w:szCs w:val="20"/>
                <w:color w:val="auto"/>
              </w:rPr>
            </w:pPr>
            <w:r>
              <w:rPr>
                <w:rFonts w:ascii="Arial" w:cs="Arial" w:eastAsia="Arial" w:hAnsi="Arial"/>
                <w:sz w:val="19"/>
                <w:szCs w:val="19"/>
                <w:b w:val="1"/>
                <w:bCs w:val="1"/>
                <w:color w:val="auto"/>
              </w:rPr>
              <w:t>2024</w:t>
            </w:r>
          </w:p>
        </w:tc>
        <w:tc>
          <w:tcPr>
            <w:tcW w:w="1880" w:type="dxa"/>
            <w:vAlign w:val="bottom"/>
            <w:gridSpan w:val="2"/>
          </w:tcPr>
          <w:p>
            <w:pPr>
              <w:jc w:val="right"/>
              <w:ind w:right="660"/>
              <w:spacing w:after="0"/>
              <w:rPr>
                <w:sz w:val="20"/>
                <w:szCs w:val="20"/>
                <w:color w:val="auto"/>
              </w:rPr>
            </w:pPr>
            <w:r>
              <w:rPr>
                <w:rFonts w:ascii="Arial" w:cs="Arial" w:eastAsia="Arial" w:hAnsi="Arial"/>
                <w:sz w:val="19"/>
                <w:szCs w:val="19"/>
                <w:b w:val="1"/>
                <w:bCs w:val="1"/>
                <w:color w:val="auto"/>
              </w:rPr>
              <w:t>2023</w:t>
            </w:r>
          </w:p>
        </w:tc>
      </w:tr>
      <w:tr>
        <w:trPr>
          <w:trHeight w:val="262"/>
        </w:trPr>
        <w:tc>
          <w:tcPr>
            <w:tcW w:w="6020" w:type="dxa"/>
            <w:vAlign w:val="bottom"/>
            <w:tcBorders>
              <w:top w:val="single" w:sz="8" w:color="auto"/>
            </w:tcBorders>
          </w:tcPr>
          <w:p>
            <w:pPr>
              <w:ind w:left="60"/>
              <w:spacing w:after="0"/>
              <w:rPr>
                <w:sz w:val="20"/>
                <w:szCs w:val="20"/>
                <w:color w:val="auto"/>
              </w:rPr>
            </w:pPr>
            <w:r>
              <w:rPr>
                <w:rFonts w:ascii="Arial" w:cs="Arial" w:eastAsia="Arial" w:hAnsi="Arial"/>
                <w:sz w:val="19"/>
                <w:szCs w:val="19"/>
                <w:b w:val="1"/>
                <w:bCs w:val="1"/>
                <w:color w:val="auto"/>
              </w:rPr>
              <w:t>Emissions Intensity per Revenue ton-kilometer ("RTK")</w:t>
            </w:r>
          </w:p>
        </w:tc>
        <w:tc>
          <w:tcPr>
            <w:tcW w:w="22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r>
      <w:tr>
        <w:trPr>
          <w:trHeight w:val="281"/>
        </w:trPr>
        <w:tc>
          <w:tcPr>
            <w:tcW w:w="6020" w:type="dxa"/>
            <w:vAlign w:val="bottom"/>
            <w:shd w:val="clear" w:color="auto" w:fill="E6E6E6"/>
          </w:tcPr>
          <w:p>
            <w:pPr>
              <w:ind w:left="280"/>
              <w:spacing w:after="0"/>
              <w:rPr>
                <w:sz w:val="20"/>
                <w:szCs w:val="20"/>
                <w:color w:val="auto"/>
              </w:rPr>
            </w:pPr>
            <w:r>
              <w:rPr>
                <w:rFonts w:ascii="Arial" w:cs="Arial" w:eastAsia="Arial" w:hAnsi="Arial"/>
                <w:sz w:val="19"/>
                <w:szCs w:val="19"/>
                <w:color w:val="auto"/>
              </w:rPr>
              <w:t>Mainline RTKs (millions) (d)</w:t>
            </w:r>
          </w:p>
        </w:tc>
        <w:tc>
          <w:tcPr>
            <w:tcW w:w="1920" w:type="dxa"/>
            <w:vAlign w:val="bottom"/>
            <w:gridSpan w:val="2"/>
            <w:shd w:val="clear" w:color="auto" w:fill="E6E6E6"/>
          </w:tcPr>
          <w:p>
            <w:pPr>
              <w:jc w:val="right"/>
              <w:ind w:right="40"/>
              <w:spacing w:after="0"/>
              <w:rPr>
                <w:sz w:val="20"/>
                <w:szCs w:val="20"/>
                <w:color w:val="auto"/>
              </w:rPr>
            </w:pPr>
            <w:r>
              <w:rPr>
                <w:rFonts w:ascii="Arial" w:cs="Arial" w:eastAsia="Arial" w:hAnsi="Arial"/>
                <w:sz w:val="19"/>
                <w:szCs w:val="19"/>
                <w:color w:val="auto"/>
              </w:rPr>
              <w:t>49,711</w:t>
            </w:r>
          </w:p>
        </w:tc>
        <w:tc>
          <w:tcPr>
            <w:tcW w:w="18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color w:val="auto"/>
              </w:rPr>
              <w:t>46,361</w:t>
            </w:r>
          </w:p>
        </w:tc>
      </w:tr>
      <w:tr>
        <w:trPr>
          <w:trHeight w:val="276"/>
        </w:trPr>
        <w:tc>
          <w:tcPr>
            <w:tcW w:w="6020" w:type="dxa"/>
            <w:vAlign w:val="bottom"/>
          </w:tcPr>
          <w:p>
            <w:pPr>
              <w:ind w:left="280"/>
              <w:spacing w:after="0" w:line="276" w:lineRule="exact"/>
              <w:rPr>
                <w:sz w:val="20"/>
                <w:szCs w:val="20"/>
                <w:color w:val="auto"/>
              </w:rPr>
            </w:pPr>
            <w:r>
              <w:rPr>
                <w:rFonts w:ascii="Arial" w:cs="Arial" w:eastAsia="Arial" w:hAnsi="Arial"/>
                <w:sz w:val="19"/>
                <w:szCs w:val="19"/>
                <w:color w:val="auto"/>
              </w:rPr>
              <w:t>Metric tons CO</w:t>
            </w:r>
            <w:r>
              <w:rPr>
                <w:rFonts w:ascii="Arial" w:cs="Arial" w:eastAsia="Arial" w:hAnsi="Arial"/>
                <w:sz w:val="25"/>
                <w:szCs w:val="25"/>
                <w:color w:val="auto"/>
                <w:vertAlign w:val="subscript"/>
              </w:rPr>
              <w:t>2</w:t>
            </w:r>
            <w:r>
              <w:rPr>
                <w:rFonts w:ascii="Arial" w:cs="Arial" w:eastAsia="Arial" w:hAnsi="Arial"/>
                <w:sz w:val="19"/>
                <w:szCs w:val="19"/>
                <w:color w:val="auto"/>
              </w:rPr>
              <w:t>e/1,000 mainline and regional RTKs (e)</w:t>
            </w:r>
          </w:p>
        </w:tc>
        <w:tc>
          <w:tcPr>
            <w:tcW w:w="1920" w:type="dxa"/>
            <w:vAlign w:val="bottom"/>
            <w:gridSpan w:val="2"/>
          </w:tcPr>
          <w:p>
            <w:pPr>
              <w:jc w:val="right"/>
              <w:ind w:right="40"/>
              <w:spacing w:after="0"/>
              <w:rPr>
                <w:sz w:val="20"/>
                <w:szCs w:val="20"/>
                <w:color w:val="auto"/>
              </w:rPr>
            </w:pPr>
            <w:r>
              <w:rPr>
                <w:rFonts w:ascii="Arial" w:cs="Arial" w:eastAsia="Arial" w:hAnsi="Arial"/>
                <w:sz w:val="19"/>
                <w:szCs w:val="19"/>
                <w:color w:val="auto"/>
              </w:rPr>
              <w:t>1,042</w:t>
            </w:r>
          </w:p>
        </w:tc>
        <w:tc>
          <w:tcPr>
            <w:tcW w:w="1880" w:type="dxa"/>
            <w:vAlign w:val="bottom"/>
            <w:gridSpan w:val="2"/>
          </w:tcPr>
          <w:p>
            <w:pPr>
              <w:jc w:val="right"/>
              <w:ind w:right="60"/>
              <w:spacing w:after="0"/>
              <w:rPr>
                <w:sz w:val="20"/>
                <w:szCs w:val="20"/>
                <w:color w:val="auto"/>
              </w:rPr>
            </w:pPr>
            <w:r>
              <w:rPr>
                <w:rFonts w:ascii="Arial" w:cs="Arial" w:eastAsia="Arial" w:hAnsi="Arial"/>
                <w:sz w:val="19"/>
                <w:szCs w:val="19"/>
                <w:color w:val="auto"/>
              </w:rPr>
              <w:t>1,057</w:t>
            </w:r>
          </w:p>
        </w:tc>
      </w:tr>
      <w:tr>
        <w:trPr>
          <w:trHeight w:val="277"/>
        </w:trPr>
        <w:tc>
          <w:tcPr>
            <w:tcW w:w="6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Emissions Intensity per Available Seat Mile ("ASM")</w:t>
            </w:r>
          </w:p>
        </w:tc>
        <w:tc>
          <w:tcPr>
            <w:tcW w:w="220" w:type="dxa"/>
            <w:vAlign w:val="bottom"/>
            <w:shd w:val="clear" w:color="auto" w:fill="E6E6E6"/>
          </w:tcPr>
          <w:p>
            <w:pPr>
              <w:spacing w:after="0"/>
              <w:rPr>
                <w:sz w:val="24"/>
                <w:szCs w:val="24"/>
                <w:color w:val="auto"/>
              </w:rPr>
            </w:pPr>
          </w:p>
        </w:tc>
        <w:tc>
          <w:tcPr>
            <w:tcW w:w="170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720" w:type="dxa"/>
            <w:vAlign w:val="bottom"/>
            <w:shd w:val="clear" w:color="auto" w:fill="E6E6E6"/>
          </w:tcPr>
          <w:p>
            <w:pPr>
              <w:spacing w:after="0"/>
              <w:rPr>
                <w:sz w:val="24"/>
                <w:szCs w:val="24"/>
                <w:color w:val="auto"/>
              </w:rPr>
            </w:pPr>
          </w:p>
        </w:tc>
      </w:tr>
      <w:tr>
        <w:trPr>
          <w:trHeight w:val="270"/>
        </w:trPr>
        <w:tc>
          <w:tcPr>
            <w:tcW w:w="6020" w:type="dxa"/>
            <w:vAlign w:val="bottom"/>
          </w:tcPr>
          <w:p>
            <w:pPr>
              <w:ind w:left="280"/>
              <w:spacing w:after="0"/>
              <w:rPr>
                <w:sz w:val="20"/>
                <w:szCs w:val="20"/>
                <w:color w:val="auto"/>
              </w:rPr>
            </w:pPr>
            <w:r>
              <w:rPr>
                <w:rFonts w:ascii="Arial" w:cs="Arial" w:eastAsia="Arial" w:hAnsi="Arial"/>
                <w:sz w:val="19"/>
                <w:szCs w:val="19"/>
                <w:color w:val="auto"/>
              </w:rPr>
              <w:t>ASMs (millions) (f)</w:t>
            </w:r>
          </w:p>
        </w:tc>
        <w:tc>
          <w:tcPr>
            <w:tcW w:w="1920" w:type="dxa"/>
            <w:vAlign w:val="bottom"/>
            <w:gridSpan w:val="2"/>
          </w:tcPr>
          <w:p>
            <w:pPr>
              <w:jc w:val="right"/>
              <w:ind w:right="40"/>
              <w:spacing w:after="0"/>
              <w:rPr>
                <w:sz w:val="20"/>
                <w:szCs w:val="20"/>
                <w:color w:val="auto"/>
              </w:rPr>
            </w:pPr>
            <w:r>
              <w:rPr>
                <w:rFonts w:ascii="Arial" w:cs="Arial" w:eastAsia="Arial" w:hAnsi="Arial"/>
                <w:sz w:val="19"/>
                <w:szCs w:val="19"/>
                <w:color w:val="auto"/>
              </w:rPr>
              <w:t>311,185</w:t>
            </w:r>
          </w:p>
        </w:tc>
        <w:tc>
          <w:tcPr>
            <w:tcW w:w="1880" w:type="dxa"/>
            <w:vAlign w:val="bottom"/>
            <w:gridSpan w:val="2"/>
          </w:tcPr>
          <w:p>
            <w:pPr>
              <w:jc w:val="right"/>
              <w:ind w:right="60"/>
              <w:spacing w:after="0"/>
              <w:rPr>
                <w:sz w:val="20"/>
                <w:szCs w:val="20"/>
                <w:color w:val="auto"/>
              </w:rPr>
            </w:pPr>
            <w:r>
              <w:rPr>
                <w:rFonts w:ascii="Arial" w:cs="Arial" w:eastAsia="Arial" w:hAnsi="Arial"/>
                <w:sz w:val="19"/>
                <w:szCs w:val="19"/>
                <w:color w:val="auto"/>
              </w:rPr>
              <w:t>291,333</w:t>
            </w:r>
          </w:p>
        </w:tc>
      </w:tr>
      <w:tr>
        <w:trPr>
          <w:trHeight w:val="273"/>
        </w:trPr>
        <w:tc>
          <w:tcPr>
            <w:tcW w:w="6020" w:type="dxa"/>
            <w:vAlign w:val="bottom"/>
            <w:tcBorders>
              <w:bottom w:val="single" w:sz="8" w:color="auto"/>
            </w:tcBorders>
            <w:shd w:val="clear" w:color="auto" w:fill="E6E6E6"/>
          </w:tcPr>
          <w:p>
            <w:pPr>
              <w:ind w:left="280"/>
              <w:spacing w:after="0" w:line="274" w:lineRule="exact"/>
              <w:rPr>
                <w:sz w:val="20"/>
                <w:szCs w:val="20"/>
                <w:color w:val="auto"/>
              </w:rPr>
            </w:pPr>
            <w:r>
              <w:rPr>
                <w:rFonts w:ascii="Arial" w:cs="Arial" w:eastAsia="Arial" w:hAnsi="Arial"/>
                <w:sz w:val="19"/>
                <w:szCs w:val="19"/>
                <w:color w:val="auto"/>
              </w:rPr>
              <w:t>Metric tons CO</w:t>
            </w:r>
            <w:r>
              <w:rPr>
                <w:rFonts w:ascii="Arial" w:cs="Arial" w:eastAsia="Arial" w:hAnsi="Arial"/>
                <w:sz w:val="25"/>
                <w:szCs w:val="25"/>
                <w:color w:val="auto"/>
                <w:vertAlign w:val="subscript"/>
              </w:rPr>
              <w:t>2</w:t>
            </w:r>
            <w:r>
              <w:rPr>
                <w:rFonts w:ascii="Arial" w:cs="Arial" w:eastAsia="Arial" w:hAnsi="Arial"/>
                <w:sz w:val="19"/>
                <w:szCs w:val="19"/>
                <w:color w:val="auto"/>
              </w:rPr>
              <w:t>e/1,000 mainline and regional ASMs (g)</w:t>
            </w:r>
          </w:p>
        </w:tc>
        <w:tc>
          <w:tcPr>
            <w:tcW w:w="1920" w:type="dxa"/>
            <w:vAlign w:val="bottom"/>
            <w:tcBorders>
              <w:bottom w:val="single" w:sz="8" w:color="E6E6E6"/>
            </w:tcBorders>
            <w:gridSpan w:val="2"/>
            <w:shd w:val="clear" w:color="auto" w:fill="E6E6E6"/>
          </w:tcPr>
          <w:p>
            <w:pPr>
              <w:jc w:val="right"/>
              <w:ind w:right="40"/>
              <w:spacing w:after="0"/>
              <w:rPr>
                <w:sz w:val="20"/>
                <w:szCs w:val="20"/>
                <w:color w:val="auto"/>
              </w:rPr>
            </w:pPr>
            <w:r>
              <w:rPr>
                <w:rFonts w:ascii="Arial" w:cs="Arial" w:eastAsia="Arial" w:hAnsi="Arial"/>
                <w:sz w:val="19"/>
                <w:szCs w:val="19"/>
                <w:color w:val="auto"/>
              </w:rPr>
              <w:t>167</w:t>
            </w:r>
          </w:p>
        </w:tc>
        <w:tc>
          <w:tcPr>
            <w:tcW w:w="1880" w:type="dxa"/>
            <w:vAlign w:val="bottom"/>
            <w:tcBorders>
              <w:bottom w:val="single" w:sz="8" w:color="E6E6E6"/>
            </w:tcBorders>
            <w:gridSpan w:val="2"/>
            <w:shd w:val="clear" w:color="auto" w:fill="E6E6E6"/>
          </w:tcPr>
          <w:p>
            <w:pPr>
              <w:jc w:val="right"/>
              <w:ind w:right="60"/>
              <w:spacing w:after="0"/>
              <w:rPr>
                <w:sz w:val="20"/>
                <w:szCs w:val="20"/>
                <w:color w:val="auto"/>
              </w:rPr>
            </w:pPr>
            <w:r>
              <w:rPr>
                <w:rFonts w:ascii="Arial" w:cs="Arial" w:eastAsia="Arial" w:hAnsi="Arial"/>
                <w:sz w:val="19"/>
                <w:szCs w:val="19"/>
                <w:color w:val="auto"/>
              </w:rPr>
              <w:t>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385127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extLst>
                    </a:blip>
                    <a:srcRect/>
                    <a:stretch>
                      <a:fillRect/>
                    </a:stretch>
                  </pic:blipFill>
                  <pic:spPr bwMode="auto">
                    <a:xfrm>
                      <a:off x="0" y="0"/>
                      <a:ext cx="3851275" cy="25400"/>
                    </a:xfrm>
                    <a:prstGeom prst="rect">
                      <a:avLst/>
                    </a:prstGeom>
                    <a:noFill/>
                  </pic:spPr>
                </pic:pic>
              </a:graphicData>
            </a:graphic>
          </wp:anchor>
        </w:drawing>
      </w:r>
    </w:p>
    <w:p>
      <w:pPr>
        <w:spacing w:after="0" w:line="184" w:lineRule="exact"/>
        <w:rPr>
          <w:sz w:val="20"/>
          <w:szCs w:val="20"/>
          <w:color w:val="auto"/>
        </w:rPr>
      </w:pPr>
    </w:p>
    <w:p>
      <w:pPr>
        <w:ind w:left="320" w:hanging="266"/>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Scope 3 categories 3, 4, 7, 14 and 15.</w:t>
      </w:r>
    </w:p>
    <w:p>
      <w:pPr>
        <w:ind w:left="320" w:hanging="266"/>
        <w:spacing w:after="0" w:line="190" w:lineRule="auto"/>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Excludes biogenic CO</w:t>
      </w:r>
      <w:r>
        <w:rPr>
          <w:rFonts w:ascii="Arial" w:cs="Arial" w:eastAsia="Arial" w:hAnsi="Arial"/>
          <w:sz w:val="17"/>
          <w:szCs w:val="17"/>
          <w:color w:val="auto"/>
          <w:vertAlign w:val="subscript"/>
        </w:rPr>
        <w:t>2</w:t>
      </w:r>
      <w:r>
        <w:rPr>
          <w:rFonts w:ascii="Arial" w:cs="Arial" w:eastAsia="Arial" w:hAnsi="Arial"/>
          <w:sz w:val="13"/>
          <w:szCs w:val="13"/>
          <w:color w:val="auto"/>
        </w:rPr>
        <w:t xml:space="preserve"> emissions in accordance with the Greenhouse Gas Protocol.</w:t>
      </w:r>
    </w:p>
    <w:p>
      <w:pPr>
        <w:ind w:left="320" w:hanging="266"/>
        <w:spacing w:after="0" w:line="202"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Intensity rates and operational figures are calculated based on third-party verified data for 2024 and 2023.</w:t>
      </w:r>
    </w:p>
    <w:p>
      <w:pPr>
        <w:ind w:left="320" w:hanging="266"/>
        <w:spacing w:after="0" w:line="202"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of mainline revenue (passenger and cargo) tons transported multiplied by the number of kilometers flown on each segment.</w:t>
      </w:r>
    </w:p>
    <w:p>
      <w:pPr>
        <w:ind w:left="320" w:right="300" w:hanging="266"/>
        <w:spacing w:after="0" w:line="202"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Scope 1+2 and Scope 3 (categories 3 and 4) emissions/mainline+regional RTKs; metric used for tracking progress against the Company's 2035 carbon emissions intensity and 2050 carbon emission goals.</w:t>
      </w:r>
    </w:p>
    <w:p>
      <w:pPr>
        <w:ind w:left="320" w:hanging="266"/>
        <w:spacing w:after="0" w:line="202"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of seats available for passengers multiplied by the number of scheduled miles those seats are flown.</w:t>
      </w:r>
    </w:p>
    <w:p>
      <w:pPr>
        <w:ind w:left="320" w:hanging="266"/>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Scope 1+2 and Scope 3 (categories 3, 4, 7 and 14) emissions/mainline+regional ASMs.</w:t>
      </w:r>
    </w:p>
    <w:p>
      <w:pPr>
        <w:spacing w:after="0" w:line="126" w:lineRule="exact"/>
        <w:rPr>
          <w:sz w:val="20"/>
          <w:szCs w:val="20"/>
          <w:color w:val="auto"/>
        </w:rPr>
      </w:pPr>
    </w:p>
    <w:p>
      <w:pPr>
        <w:jc w:val="both"/>
        <w:ind w:left="60" w:right="300" w:hanging="6"/>
        <w:spacing w:after="0" w:line="222" w:lineRule="auto"/>
        <w:tabs>
          <w:tab w:leader="none" w:pos="1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calculation has been revised since the publication of the Company's Annual Report on Form 10-K for the fiscal year ended December 31, 2024 filed with the SEC on February 27, 2025 (the "2024 Annual Report") to incorporate additional SAF volumes for which supporting documentation was received after the initial filing.</w:t>
      </w:r>
    </w:p>
    <w:p>
      <w:pPr>
        <w:spacing w:after="0" w:line="229"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color w:val="auto"/>
        </w:rPr>
        <w:t>The Company aligns its environmental sustainability disclosures through third-party reporting organizations, frameworks and standards—including the recommendations from the Task Force on Climate-related Financial Disclosures—as well as applicable mandatory disclosure requirements. Additional information on United's commitment to environmental sustainability is available at united.com/sustainability. The information contained on or connected to the Company's website is not incorporated by reference into this Form 10-K and should not be considered part of this or any other report filed with the SEC.</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Human Capital Management and Resources</w:t>
      </w:r>
    </w:p>
    <w:p>
      <w:pPr>
        <w:spacing w:after="0" w:line="194" w:lineRule="exact"/>
        <w:rPr>
          <w:sz w:val="20"/>
          <w:szCs w:val="20"/>
          <w:color w:val="auto"/>
        </w:rPr>
      </w:pPr>
    </w:p>
    <w:p>
      <w:pPr>
        <w:ind w:right="140"/>
        <w:spacing w:after="0" w:line="298" w:lineRule="auto"/>
        <w:rPr>
          <w:sz w:val="20"/>
          <w:szCs w:val="20"/>
          <w:color w:val="auto"/>
        </w:rPr>
      </w:pPr>
      <w:r>
        <w:rPr>
          <w:rFonts w:ascii="Arial" w:cs="Arial" w:eastAsia="Arial" w:hAnsi="Arial"/>
          <w:sz w:val="18"/>
          <w:szCs w:val="18"/>
          <w:b w:val="1"/>
          <w:bCs w:val="1"/>
          <w:i w:val="1"/>
          <w:iCs w:val="1"/>
          <w:u w:val="single" w:color="auto"/>
          <w:color w:val="auto"/>
        </w:rPr>
        <w:t>Demographics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31, 2025, UAL, including its subsidiaries, had approximately 113,200 employees, of whom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83% were represented by various U.S. labor organizations. See the section "The maintenance of the Company's relationships with its labor unions" below for information on the Company's represented employee groups.</w:t>
      </w:r>
    </w:p>
    <w:p>
      <w:pPr>
        <w:spacing w:after="0" w:line="102" w:lineRule="exact"/>
        <w:rPr>
          <w:sz w:val="20"/>
          <w:szCs w:val="20"/>
          <w:color w:val="auto"/>
        </w:rPr>
      </w:pPr>
    </w:p>
    <w:p>
      <w:pPr>
        <w:ind w:right="280"/>
        <w:spacing w:after="0" w:line="360" w:lineRule="auto"/>
        <w:rPr>
          <w:sz w:val="20"/>
          <w:szCs w:val="20"/>
          <w:color w:val="auto"/>
        </w:rPr>
      </w:pPr>
      <w:r>
        <w:rPr>
          <w:rFonts w:ascii="Arial" w:cs="Arial" w:eastAsia="Arial" w:hAnsi="Arial"/>
          <w:sz w:val="17"/>
          <w:szCs w:val="17"/>
          <w:b w:val="1"/>
          <w:bCs w:val="1"/>
          <w:i w:val="1"/>
          <w:iCs w:val="1"/>
          <w:u w:val="single" w:color="auto"/>
          <w:color w:val="auto"/>
        </w:rPr>
        <w:t>People &amp; Culture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believes that its employees represent the brightest and highest-performing people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aviation industry and embody the Company's mission to build the world's biggest and best airline. The Company's continued</w:t>
      </w:r>
    </w:p>
    <w:p>
      <w:pPr>
        <w:sectPr>
          <w:pgSz w:w="11880" w:h="15480" w:orient="portrait"/>
          <w:cols w:equalWidth="0" w:num="1">
            <w:col w:w="9960"/>
          </w:cols>
          <w:pgMar w:left="960" w:top="586" w:right="960" w:bottom="68"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9960"/>
          </w:cols>
          <w:pgMar w:left="960" w:top="586" w:right="960" w:bottom="68" w:gutter="0" w:footer="0" w:header="0"/>
          <w:type w:val="continuous"/>
        </w:sectPr>
      </w:pPr>
    </w:p>
    <w:bookmarkStart w:id="11" w:name="page12"/>
    <w:bookmarkEnd w:id="11"/>
    <w:p>
      <w:pPr>
        <w:ind w:right="80"/>
        <w:spacing w:after="0" w:line="261" w:lineRule="auto"/>
        <w:rPr>
          <w:sz w:val="20"/>
          <w:szCs w:val="20"/>
          <w:color w:val="auto"/>
        </w:rPr>
      </w:pPr>
      <w:r>
        <w:rPr>
          <w:rFonts w:ascii="Arial" w:cs="Arial" w:eastAsia="Arial" w:hAnsi="Arial"/>
          <w:sz w:val="19"/>
          <w:szCs w:val="19"/>
          <w:color w:val="auto"/>
        </w:rPr>
        <w:t>ability to recruit, hire, develop, motivate and retain skilled personnel with industry experience and knowledge at all levels of its organization by being an employer of choice is foundational to its success in the highly competitive aviation industry, especially in light of its ambitious growth agenda under the United Next plan. The Company's human capital management strategy is designed to help it attract and develop a deep talent base with the skills, experiences, knowledge and backgrounds to drive the United Next objectives as well as thrive in the face of change; provide them with the tools to prepare them for critical roles and leadership positions in the future; and reward and retain them with competitive compensation and benefits. The Company is proud of its unique culture and plans to continue to execute its human capital management strategy through the following:</w:t>
      </w:r>
    </w:p>
    <w:p>
      <w:pPr>
        <w:spacing w:after="0" w:line="137" w:lineRule="exact"/>
        <w:rPr>
          <w:sz w:val="20"/>
          <w:szCs w:val="20"/>
          <w:color w:val="auto"/>
        </w:rPr>
      </w:pPr>
    </w:p>
    <w:p>
      <w:pPr>
        <w:ind w:left="700" w:hanging="348"/>
        <w:spacing w:after="0"/>
        <w:tabs>
          <w:tab w:leader="none" w:pos="700"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Talent acquisition and internal talent mobility process and succession planning.</w:t>
      </w:r>
    </w:p>
    <w:p>
      <w:pPr>
        <w:spacing w:after="0" w:line="188" w:lineRule="exact"/>
        <w:rPr>
          <w:rFonts w:ascii="Arial" w:cs="Arial" w:eastAsia="Arial" w:hAnsi="Arial"/>
          <w:sz w:val="19"/>
          <w:szCs w:val="19"/>
          <w:color w:val="auto"/>
        </w:rPr>
      </w:pPr>
    </w:p>
    <w:p>
      <w:pPr>
        <w:ind w:left="700" w:right="20"/>
        <w:spacing w:after="0" w:line="297" w:lineRule="auto"/>
        <w:rPr>
          <w:rFonts w:ascii="Arial" w:cs="Arial" w:eastAsia="Arial" w:hAnsi="Arial"/>
          <w:sz w:val="19"/>
          <w:szCs w:val="19"/>
          <w:color w:val="auto"/>
        </w:rPr>
      </w:pPr>
      <w:r>
        <w:rPr>
          <w:rFonts w:ascii="Arial" w:cs="Arial" w:eastAsia="Arial" w:hAnsi="Arial"/>
          <w:sz w:val="17"/>
          <w:szCs w:val="17"/>
          <w:color w:val="auto"/>
        </w:rPr>
        <w:t>The Company developed talent acquisition tools and programs to help it continue to (i) attract and identify the best-qualified candidates who can deliver the highest levels of service to its customers, which generates the profitability to help fund the Company's future and reward its employees; (ii) ensure that the Company's recruiting, retention and leadership development goals are systematically executed throughout United; and (iii) broaden and strengthen its talent channels and pipelines so that the Company can cultivate the next generation of talent that will lead it into the future. In 2025, the Company hired approximately 13,100 employees across the globe through its external career site, professional association partnerships, employee referrals, universities, the U.S. Military and other external sources.</w:t>
      </w:r>
    </w:p>
    <w:p>
      <w:pPr>
        <w:spacing w:after="0" w:line="111" w:lineRule="exact"/>
        <w:rPr>
          <w:rFonts w:ascii="Arial" w:cs="Arial" w:eastAsia="Arial" w:hAnsi="Arial"/>
          <w:sz w:val="19"/>
          <w:szCs w:val="19"/>
          <w:color w:val="auto"/>
        </w:rPr>
      </w:pPr>
    </w:p>
    <w:p>
      <w:pPr>
        <w:ind w:left="700"/>
        <w:spacing w:after="0" w:line="265" w:lineRule="auto"/>
        <w:rPr>
          <w:rFonts w:ascii="Arial" w:cs="Arial" w:eastAsia="Arial" w:hAnsi="Arial"/>
          <w:sz w:val="19"/>
          <w:szCs w:val="19"/>
          <w:color w:val="auto"/>
        </w:rPr>
      </w:pPr>
      <w:r>
        <w:rPr>
          <w:rFonts w:ascii="Arial" w:cs="Arial" w:eastAsia="Arial" w:hAnsi="Arial"/>
          <w:sz w:val="19"/>
          <w:szCs w:val="19"/>
          <w:color w:val="auto"/>
        </w:rPr>
        <w:t>In addition to the development of its external talent pipeline, the Company's human resources programs are designed to facilitate internal talent mobility. The Company encourages its employees to identify the paths that can build the skills, experience, knowledge and competencies needed for career advancement. In 2025, about 72% of the Company's senior leader positions filled were internal placements and 587 frontline employees were promoted into management roles, the latter of which was consistent with last year.</w:t>
      </w:r>
    </w:p>
    <w:p>
      <w:pPr>
        <w:spacing w:after="0" w:line="132" w:lineRule="exact"/>
        <w:rPr>
          <w:rFonts w:ascii="Arial" w:cs="Arial" w:eastAsia="Arial" w:hAnsi="Arial"/>
          <w:sz w:val="19"/>
          <w:szCs w:val="19"/>
          <w:color w:val="auto"/>
        </w:rPr>
      </w:pPr>
    </w:p>
    <w:p>
      <w:pPr>
        <w:ind w:left="700" w:right="100"/>
        <w:spacing w:after="0" w:line="265" w:lineRule="auto"/>
        <w:rPr>
          <w:rFonts w:ascii="Arial" w:cs="Arial" w:eastAsia="Arial" w:hAnsi="Arial"/>
          <w:sz w:val="19"/>
          <w:szCs w:val="19"/>
          <w:color w:val="auto"/>
        </w:rPr>
      </w:pPr>
      <w:r>
        <w:rPr>
          <w:rFonts w:ascii="Arial" w:cs="Arial" w:eastAsia="Arial" w:hAnsi="Arial"/>
          <w:sz w:val="19"/>
          <w:szCs w:val="19"/>
          <w:color w:val="auto"/>
        </w:rPr>
        <w:t>As stated above, a cornerstone of the Company's talent acquisition and internal talent mobility strategy is cultivating a culture that fosters a workplace in which all employees are safe, have an opportunity to succeed, feel a sense of belonging and are empowered to innovate and collaborate. The Company is committed to providing opportunities for advancement to help its employees reach their full potential and its policies strictly prohibit any form of employment discrimination.</w:t>
      </w:r>
    </w:p>
    <w:p>
      <w:pPr>
        <w:spacing w:after="0" w:line="132" w:lineRule="exact"/>
        <w:rPr>
          <w:rFonts w:ascii="Arial" w:cs="Arial" w:eastAsia="Arial" w:hAnsi="Arial"/>
          <w:sz w:val="19"/>
          <w:szCs w:val="19"/>
          <w:color w:val="auto"/>
        </w:rPr>
      </w:pPr>
    </w:p>
    <w:p>
      <w:pPr>
        <w:ind w:left="700" w:right="240"/>
        <w:spacing w:after="0" w:line="303" w:lineRule="auto"/>
        <w:rPr>
          <w:rFonts w:ascii="Arial" w:cs="Arial" w:eastAsia="Arial" w:hAnsi="Arial"/>
          <w:sz w:val="19"/>
          <w:szCs w:val="19"/>
          <w:color w:val="auto"/>
        </w:rPr>
      </w:pPr>
      <w:r>
        <w:rPr>
          <w:rFonts w:ascii="Arial" w:cs="Arial" w:eastAsia="Arial" w:hAnsi="Arial"/>
          <w:sz w:val="17"/>
          <w:szCs w:val="17"/>
          <w:color w:val="auto"/>
        </w:rPr>
        <w:t>Succession planning provides the Company with the opportunity to evaluate its key successors. The Company's executives and senior leaders are engaged in succession planning by regularly evaluating, developing and mentoring its talent. The Board also engages in annual succession planning and talent development discussions with the Company's Chief Executive Officer, President and Executive Vice President of Human Resources, focusing on the Company's ability to attract, identify, prepare and retain talented employees for future leadership positions.</w:t>
      </w:r>
    </w:p>
    <w:p>
      <w:pPr>
        <w:spacing w:after="0" w:line="104" w:lineRule="exact"/>
        <w:rPr>
          <w:rFonts w:ascii="Arial" w:cs="Arial" w:eastAsia="Arial" w:hAnsi="Arial"/>
          <w:sz w:val="19"/>
          <w:szCs w:val="19"/>
          <w:color w:val="auto"/>
        </w:rPr>
      </w:pPr>
    </w:p>
    <w:p>
      <w:pPr>
        <w:ind w:left="700" w:right="640" w:hanging="348"/>
        <w:spacing w:after="0" w:line="294" w:lineRule="auto"/>
        <w:tabs>
          <w:tab w:leader="none" w:pos="700"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The development of a Company culture that is centered on safety and promotes the importance of listening and responding to colleague feedback.</w:t>
      </w:r>
    </w:p>
    <w:p>
      <w:pPr>
        <w:spacing w:after="0" w:line="105" w:lineRule="exact"/>
        <w:rPr>
          <w:rFonts w:ascii="Arial" w:cs="Arial" w:eastAsia="Arial" w:hAnsi="Arial"/>
          <w:sz w:val="19"/>
          <w:szCs w:val="19"/>
          <w:color w:val="auto"/>
        </w:rPr>
      </w:pPr>
    </w:p>
    <w:p>
      <w:pPr>
        <w:ind w:left="700" w:right="400"/>
        <w:spacing w:after="0" w:line="268" w:lineRule="auto"/>
        <w:rPr>
          <w:rFonts w:ascii="Arial" w:cs="Arial" w:eastAsia="Arial" w:hAnsi="Arial"/>
          <w:sz w:val="19"/>
          <w:szCs w:val="19"/>
          <w:color w:val="auto"/>
        </w:rPr>
      </w:pPr>
      <w:r>
        <w:rPr>
          <w:rFonts w:ascii="Arial" w:cs="Arial" w:eastAsia="Arial" w:hAnsi="Arial"/>
          <w:sz w:val="19"/>
          <w:szCs w:val="19"/>
          <w:color w:val="auto"/>
        </w:rPr>
        <w:t>As stated above, safety is first in everything that the Company does and is its first Core4 service standard. The Company is focused on promoting its safety culture to help ensure that every employee across the Company holds each other to the highest safety standards and strives to protect themselves, their colleagues and the Company's customers.</w:t>
      </w:r>
    </w:p>
    <w:p>
      <w:pPr>
        <w:spacing w:after="0" w:line="130" w:lineRule="exact"/>
        <w:rPr>
          <w:rFonts w:ascii="Arial" w:cs="Arial" w:eastAsia="Arial" w:hAnsi="Arial"/>
          <w:sz w:val="19"/>
          <w:szCs w:val="19"/>
          <w:color w:val="auto"/>
        </w:rPr>
      </w:pPr>
    </w:p>
    <w:p>
      <w:pPr>
        <w:ind w:left="700" w:right="40"/>
        <w:spacing w:after="0" w:line="261" w:lineRule="auto"/>
        <w:rPr>
          <w:rFonts w:ascii="Arial" w:cs="Arial" w:eastAsia="Arial" w:hAnsi="Arial"/>
          <w:sz w:val="19"/>
          <w:szCs w:val="19"/>
          <w:color w:val="auto"/>
        </w:rPr>
      </w:pPr>
      <w:r>
        <w:rPr>
          <w:rFonts w:ascii="Arial" w:cs="Arial" w:eastAsia="Arial" w:hAnsi="Arial"/>
          <w:sz w:val="19"/>
          <w:szCs w:val="19"/>
          <w:color w:val="auto"/>
        </w:rPr>
        <w:t>As the Company strives to continue to be an employer of choice, the Company believes that it is critical that its workforce is encouraged to provide feedback and is informed as well as engaged. The Company utilizes multiple channels for all employees to ask for guidance, report concerns without fear of retaliation (including those related to safety) and provide constructive feedback and recommendations. The Company's executive team also provides several avenues of engagement to clearly inform its employees of company needs and goals. The Company routinely conducts employee engagement surveys of its global workforce, which provide feedback on employee satisfaction and cover a variety of topics such as company culture, safety and values, execution of its strategy and individual development, among others.</w:t>
      </w:r>
    </w:p>
    <w:p>
      <w:pPr>
        <w:spacing w:after="0" w:line="136" w:lineRule="exact"/>
        <w:rPr>
          <w:rFonts w:ascii="Arial" w:cs="Arial" w:eastAsia="Arial" w:hAnsi="Arial"/>
          <w:sz w:val="19"/>
          <w:szCs w:val="19"/>
          <w:color w:val="auto"/>
        </w:rPr>
      </w:pPr>
    </w:p>
    <w:p>
      <w:pPr>
        <w:ind w:left="700" w:right="100"/>
        <w:spacing w:after="0" w:line="265" w:lineRule="auto"/>
        <w:rPr>
          <w:rFonts w:ascii="Arial" w:cs="Arial" w:eastAsia="Arial" w:hAnsi="Arial"/>
          <w:sz w:val="19"/>
          <w:szCs w:val="19"/>
          <w:color w:val="auto"/>
        </w:rPr>
      </w:pPr>
      <w:r>
        <w:rPr>
          <w:rFonts w:ascii="Arial" w:cs="Arial" w:eastAsia="Arial" w:hAnsi="Arial"/>
          <w:sz w:val="19"/>
          <w:szCs w:val="19"/>
          <w:color w:val="auto"/>
        </w:rPr>
        <w:t>The Company's managers discuss employee performance and leadership assessments regularly. In 2023, the Company reintroduced performance ratings and calibration to support career development and employee performance and leadership. The Company invests in rewarding employee performance and leadership and has established a multi-level recognition program to acknowledge the achievements of excellent individual or team performance and leadership.</w:t>
      </w:r>
    </w:p>
    <w:p>
      <w:pPr>
        <w:sectPr>
          <w:pgSz w:w="11880" w:h="15480" w:orient="portrait"/>
          <w:cols w:equalWidth="0" w:num="1">
            <w:col w:w="9960"/>
          </w:cols>
          <w:pgMar w:left="960" w:top="586"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9960"/>
          </w:cols>
          <w:pgMar w:left="960" w:top="586" w:right="960" w:bottom="33" w:gutter="0" w:footer="0" w:header="0"/>
          <w:type w:val="continuous"/>
        </w:sectPr>
      </w:pPr>
    </w:p>
    <w:bookmarkStart w:id="12" w:name="page13"/>
    <w:bookmarkEnd w:id="12"/>
    <w:p>
      <w:pPr>
        <w:ind w:left="348" w:hanging="348"/>
        <w:spacing w:after="0"/>
        <w:tabs>
          <w:tab w:leader="none" w:pos="348"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Robust professional and leadership development training programs for all career stages.</w:t>
      </w:r>
    </w:p>
    <w:p>
      <w:pPr>
        <w:spacing w:after="0" w:line="188" w:lineRule="exact"/>
        <w:rPr>
          <w:rFonts w:ascii="Arial" w:cs="Arial" w:eastAsia="Arial" w:hAnsi="Arial"/>
          <w:sz w:val="19"/>
          <w:szCs w:val="19"/>
          <w:color w:val="auto"/>
        </w:rPr>
      </w:pPr>
    </w:p>
    <w:p>
      <w:pPr>
        <w:ind w:left="348" w:right="40"/>
        <w:spacing w:after="0" w:line="265" w:lineRule="auto"/>
        <w:rPr>
          <w:rFonts w:ascii="Arial" w:cs="Arial" w:eastAsia="Arial" w:hAnsi="Arial"/>
          <w:sz w:val="19"/>
          <w:szCs w:val="19"/>
          <w:color w:val="auto"/>
        </w:rPr>
      </w:pPr>
      <w:r>
        <w:rPr>
          <w:rFonts w:ascii="Arial" w:cs="Arial" w:eastAsia="Arial" w:hAnsi="Arial"/>
          <w:sz w:val="19"/>
          <w:szCs w:val="19"/>
          <w:color w:val="auto"/>
        </w:rPr>
        <w:t>The Company's industry and team are experiencing transformation and the Company has responded by becoming a learning organization, helping to guide its employees in their journey to reach their full potential. The Company continues to invest heavily in its leadership development-programs, which it believes will better position the Company to meet its current and future business needs while also creating a competitive advantage in accelerating talent, improving performance and mitigating risk.</w:t>
      </w:r>
    </w:p>
    <w:p>
      <w:pPr>
        <w:spacing w:after="0" w:line="132" w:lineRule="exact"/>
        <w:rPr>
          <w:rFonts w:ascii="Arial" w:cs="Arial" w:eastAsia="Arial" w:hAnsi="Arial"/>
          <w:sz w:val="19"/>
          <w:szCs w:val="19"/>
          <w:color w:val="auto"/>
        </w:rPr>
      </w:pPr>
    </w:p>
    <w:p>
      <w:pPr>
        <w:ind w:left="348"/>
        <w:spacing w:after="0" w:line="296" w:lineRule="auto"/>
        <w:rPr>
          <w:rFonts w:ascii="Arial" w:cs="Arial" w:eastAsia="Arial" w:hAnsi="Arial"/>
          <w:sz w:val="19"/>
          <w:szCs w:val="19"/>
          <w:color w:val="auto"/>
        </w:rPr>
      </w:pPr>
      <w:r>
        <w:rPr>
          <w:rFonts w:ascii="Arial" w:cs="Arial" w:eastAsia="Arial" w:hAnsi="Arial"/>
          <w:sz w:val="17"/>
          <w:szCs w:val="17"/>
          <w:color w:val="auto"/>
        </w:rPr>
        <w:t>The Company offers a broad range of best-in-class leadership and professional training programs that provides its employees with opportunities for learning and skill-building. This starts with an introduction to the Company's culture when its employees start and progresses through new people leadership trainings as well as high potential development programs at the manager, senior manager, director and managing director levels. The Company provides all management-level employees with the opportunity to develop their skills through the Company's Leadership, Airport Operations and Digital Training Institutes. With respect to its technical positions, the Company has developed state-of-the-art technical training programs that include immersive training, virtual reality, simulations, on the job training and assessments of proficiency to ensure that it operates at the highest level of aviation safety and customer service.</w:t>
      </w:r>
    </w:p>
    <w:p>
      <w:pPr>
        <w:spacing w:after="0" w:line="108" w:lineRule="exact"/>
        <w:rPr>
          <w:rFonts w:ascii="Arial" w:cs="Arial" w:eastAsia="Arial" w:hAnsi="Arial"/>
          <w:sz w:val="19"/>
          <w:szCs w:val="19"/>
          <w:color w:val="auto"/>
        </w:rPr>
      </w:pPr>
    </w:p>
    <w:p>
      <w:pPr>
        <w:ind w:left="348" w:right="180" w:hanging="348"/>
        <w:spacing w:after="0" w:line="294" w:lineRule="auto"/>
        <w:tabs>
          <w:tab w:leader="none" w:pos="348"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The ability for the Company's employees to qualify for retirement, health and wellness benefits as well as, of course, travel privileges.</w:t>
      </w:r>
    </w:p>
    <w:p>
      <w:pPr>
        <w:spacing w:after="0" w:line="105" w:lineRule="exact"/>
        <w:rPr>
          <w:rFonts w:ascii="Arial" w:cs="Arial" w:eastAsia="Arial" w:hAnsi="Arial"/>
          <w:sz w:val="19"/>
          <w:szCs w:val="19"/>
          <w:color w:val="auto"/>
        </w:rPr>
      </w:pPr>
    </w:p>
    <w:p>
      <w:pPr>
        <w:ind w:left="348" w:right="20"/>
        <w:spacing w:after="0" w:line="261" w:lineRule="auto"/>
        <w:rPr>
          <w:rFonts w:ascii="Arial" w:cs="Arial" w:eastAsia="Arial" w:hAnsi="Arial"/>
          <w:sz w:val="19"/>
          <w:szCs w:val="19"/>
          <w:color w:val="auto"/>
        </w:rPr>
      </w:pPr>
      <w:r>
        <w:rPr>
          <w:rFonts w:ascii="Arial" w:cs="Arial" w:eastAsia="Arial" w:hAnsi="Arial"/>
          <w:sz w:val="19"/>
          <w:szCs w:val="19"/>
          <w:color w:val="auto"/>
        </w:rPr>
        <w:t>While the Company's rewards package for most of its employees is determined by collective bargaining agreements, it includes competitive base pay, travel privileges and other comprehensive benefits—including health, wellness and retirement programs—for all the Company's full- and part-time employees. The Company periodically implements enhancements and investments to its compensation and employee benefit programs to help ensure that they support the Company's and its employees' strategic imperatives. The Company also reviews both industry and local market data at least annually to identify trends and market gaps in order to maintain the competitiveness of its compensation and employee benefit programs and incorporate best practices. For instance, the Company conducts pay equity analyses annually.</w:t>
      </w:r>
    </w:p>
    <w:p>
      <w:pPr>
        <w:spacing w:after="0" w:line="136" w:lineRule="exact"/>
        <w:rPr>
          <w:rFonts w:ascii="Arial" w:cs="Arial" w:eastAsia="Arial" w:hAnsi="Arial"/>
          <w:sz w:val="19"/>
          <w:szCs w:val="19"/>
          <w:color w:val="auto"/>
        </w:rPr>
      </w:pPr>
    </w:p>
    <w:p>
      <w:pPr>
        <w:ind w:left="348" w:right="140"/>
        <w:spacing w:after="0" w:line="263" w:lineRule="auto"/>
        <w:rPr>
          <w:rFonts w:ascii="Arial" w:cs="Arial" w:eastAsia="Arial" w:hAnsi="Arial"/>
          <w:sz w:val="19"/>
          <w:szCs w:val="19"/>
          <w:color w:val="auto"/>
        </w:rPr>
      </w:pPr>
      <w:r>
        <w:rPr>
          <w:rFonts w:ascii="Arial" w:cs="Arial" w:eastAsia="Arial" w:hAnsi="Arial"/>
          <w:sz w:val="19"/>
          <w:szCs w:val="19"/>
          <w:color w:val="auto"/>
        </w:rPr>
        <w:t>With respect to executives, a substantial portion of their total rewards package is variable, at-risk pay that is based on Company performance and delivered in the form of equity, supporting alignment over the long term between the Company's executives and stockholders. The Company aligns its executives' long-term equity compensation with its stockholders' interests by linking realizable pay with stock performance. In addition, the Company has performance-based compensation programs for other management employee leaders, including managers, supervisors and team leads.</w:t>
      </w:r>
    </w:p>
    <w:p>
      <w:pPr>
        <w:spacing w:after="0" w:line="135" w:lineRule="exact"/>
        <w:rPr>
          <w:rFonts w:ascii="Arial" w:cs="Arial" w:eastAsia="Arial" w:hAnsi="Arial"/>
          <w:sz w:val="19"/>
          <w:szCs w:val="19"/>
          <w:color w:val="auto"/>
        </w:rPr>
      </w:pPr>
    </w:p>
    <w:p>
      <w:pPr>
        <w:ind w:left="348" w:hanging="348"/>
        <w:spacing w:after="0"/>
        <w:tabs>
          <w:tab w:leader="none" w:pos="348"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The maintenance of the Company's relationships with its labor unions.</w:t>
      </w:r>
    </w:p>
    <w:p>
      <w:pPr>
        <w:spacing w:after="0" w:line="188" w:lineRule="exact"/>
        <w:rPr>
          <w:rFonts w:ascii="Arial" w:cs="Arial" w:eastAsia="Arial" w:hAnsi="Arial"/>
          <w:sz w:val="19"/>
          <w:szCs w:val="19"/>
          <w:color w:val="auto"/>
        </w:rPr>
      </w:pPr>
    </w:p>
    <w:p>
      <w:pPr>
        <w:ind w:left="348" w:right="200"/>
        <w:spacing w:after="0" w:line="274" w:lineRule="auto"/>
        <w:rPr>
          <w:rFonts w:ascii="Arial" w:cs="Arial" w:eastAsia="Arial" w:hAnsi="Arial"/>
          <w:sz w:val="19"/>
          <w:szCs w:val="19"/>
          <w:color w:val="auto"/>
        </w:rPr>
      </w:pPr>
      <w:r>
        <w:rPr>
          <w:rFonts w:ascii="Arial" w:cs="Arial" w:eastAsia="Arial" w:hAnsi="Arial"/>
          <w:sz w:val="19"/>
          <w:szCs w:val="19"/>
          <w:color w:val="auto"/>
        </w:rPr>
        <w:t>The Company bargains in good faith with the unions that represent its employees and frequently engages with union leaders at the national level and at local chapters throughout—and engages with applicable local unions, works councils and associations outside—the United States.</w:t>
      </w:r>
    </w:p>
    <w:p>
      <w:pPr>
        <w:spacing w:after="0" w:line="124" w:lineRule="exact"/>
        <w:rPr>
          <w:rFonts w:ascii="Arial" w:cs="Arial" w:eastAsia="Arial" w:hAnsi="Arial"/>
          <w:sz w:val="19"/>
          <w:szCs w:val="19"/>
          <w:color w:val="auto"/>
        </w:rPr>
      </w:pPr>
    </w:p>
    <w:p>
      <w:pPr>
        <w:ind w:left="348" w:right="60"/>
        <w:spacing w:after="0" w:line="274" w:lineRule="auto"/>
        <w:rPr>
          <w:rFonts w:ascii="Arial" w:cs="Arial" w:eastAsia="Arial" w:hAnsi="Arial"/>
          <w:sz w:val="19"/>
          <w:szCs w:val="19"/>
          <w:color w:val="auto"/>
        </w:rPr>
      </w:pPr>
      <w:r>
        <w:rPr>
          <w:rFonts w:ascii="Arial" w:cs="Arial" w:eastAsia="Arial" w:hAnsi="Arial"/>
          <w:sz w:val="19"/>
          <w:szCs w:val="19"/>
          <w:color w:val="auto"/>
        </w:rPr>
        <w:t>Collective bargaining agreements between the Company and its represented employee groups are negotiated under the Railway Labor Act ("RLA"). Such agreements typically do not contain an expiration date and instead specify an amendable date, upon which the agreement is considered "open for amendment."</w:t>
      </w:r>
    </w:p>
    <w:p>
      <w:pPr>
        <w:spacing w:after="0" w:line="124" w:lineRule="exact"/>
        <w:rPr>
          <w:rFonts w:ascii="Arial" w:cs="Arial" w:eastAsia="Arial" w:hAnsi="Arial"/>
          <w:sz w:val="19"/>
          <w:szCs w:val="19"/>
          <w:color w:val="auto"/>
        </w:rPr>
      </w:pPr>
    </w:p>
    <w:p>
      <w:pPr>
        <w:ind w:left="348" w:right="100"/>
        <w:spacing w:after="0" w:line="280" w:lineRule="auto"/>
        <w:rPr>
          <w:rFonts w:ascii="Arial" w:cs="Arial" w:eastAsia="Arial" w:hAnsi="Arial"/>
          <w:sz w:val="19"/>
          <w:szCs w:val="19"/>
          <w:color w:val="auto"/>
        </w:rPr>
      </w:pPr>
      <w:r>
        <w:rPr>
          <w:rFonts w:ascii="Arial" w:cs="Arial" w:eastAsia="Arial" w:hAnsi="Arial"/>
          <w:sz w:val="18"/>
          <w:szCs w:val="18"/>
          <w:color w:val="auto"/>
        </w:rPr>
        <w:t>In May 2025, the Company reached a Tentative Agreement ("TA") with its employees represented by the AFA regarding an agreement that became amendable in August 2021. The TA included improvements with respect to scheduling, reserve requirements and other quality of life improvements, as well as pay rate increases during its five-year term. The TA also included a provision for a one-time payment to employees represented by the AFA upon ratification. On July 29, 2025, the Company's employees represented by the AFA voted against ratification of the TA. As of the date of this report, the Company and the AFA continue their negotiations for a revised TA.</w:t>
      </w:r>
    </w:p>
    <w:p>
      <w:pPr>
        <w:spacing w:after="0" w:line="122" w:lineRule="exact"/>
        <w:rPr>
          <w:rFonts w:ascii="Arial" w:cs="Arial" w:eastAsia="Arial" w:hAnsi="Arial"/>
          <w:sz w:val="19"/>
          <w:szCs w:val="19"/>
          <w:color w:val="auto"/>
        </w:rPr>
      </w:pPr>
    </w:p>
    <w:p>
      <w:pPr>
        <w:ind w:left="348"/>
        <w:spacing w:after="0" w:line="268" w:lineRule="auto"/>
        <w:rPr>
          <w:rFonts w:ascii="Arial" w:cs="Arial" w:eastAsia="Arial" w:hAnsi="Arial"/>
          <w:sz w:val="19"/>
          <w:szCs w:val="19"/>
          <w:color w:val="auto"/>
        </w:rPr>
      </w:pPr>
      <w:r>
        <w:rPr>
          <w:rFonts w:ascii="Arial" w:cs="Arial" w:eastAsia="Arial" w:hAnsi="Arial"/>
          <w:sz w:val="19"/>
          <w:szCs w:val="19"/>
          <w:color w:val="auto"/>
        </w:rPr>
        <w:t>The below table reflects the Company's represented employee groups, the number of employees per represented group, union representation for each employee group, and the amendable date for each employee group's collective bargaining agreement as of December 31, 2025. The Company is also in active negotiations with all of its union represented employees with amendable contracts.</w:t>
      </w:r>
    </w:p>
    <w:p>
      <w:pPr>
        <w:sectPr>
          <w:pgSz w:w="11880" w:h="15480" w:orient="portrait"/>
          <w:cols w:equalWidth="0" w:num="1">
            <w:col w:w="9588"/>
          </w:cols>
          <w:pgMar w:left="1312" w:top="586"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32"/>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9588"/>
          </w:cols>
          <w:pgMar w:left="1312" w:top="586" w:right="980" w:bottom="33"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8"/>
        </w:trPr>
        <w:tc>
          <w:tcPr>
            <w:tcW w:w="2580" w:type="dxa"/>
            <w:vAlign w:val="bottom"/>
            <w:gridSpan w:val="2"/>
            <w:vMerge w:val="restart"/>
          </w:tcPr>
          <w:p>
            <w:pPr>
              <w:ind w:left="880"/>
              <w:spacing w:after="0"/>
              <w:rPr>
                <w:sz w:val="20"/>
                <w:szCs w:val="20"/>
                <w:color w:val="auto"/>
              </w:rPr>
            </w:pPr>
            <w:r>
              <w:rPr>
                <w:rFonts w:ascii="Arial" w:cs="Arial" w:eastAsia="Arial" w:hAnsi="Arial"/>
                <w:sz w:val="19"/>
                <w:szCs w:val="19"/>
                <w:b w:val="1"/>
                <w:bCs w:val="1"/>
                <w:color w:val="auto"/>
              </w:rPr>
              <w:t>Employee</w:t>
            </w:r>
          </w:p>
        </w:tc>
        <w:tc>
          <w:tcPr>
            <w:tcW w:w="100" w:type="dxa"/>
            <w:vAlign w:val="bottom"/>
          </w:tcPr>
          <w:p>
            <w:pPr>
              <w:spacing w:after="0"/>
              <w:rPr>
                <w:sz w:val="18"/>
                <w:szCs w:val="18"/>
                <w:color w:val="auto"/>
              </w:rPr>
            </w:pPr>
          </w:p>
        </w:tc>
        <w:tc>
          <w:tcPr>
            <w:tcW w:w="1100" w:type="dxa"/>
            <w:vAlign w:val="bottom"/>
            <w:vMerge w:val="restart"/>
          </w:tcPr>
          <w:p>
            <w:pPr>
              <w:jc w:val="right"/>
              <w:ind w:right="3"/>
              <w:spacing w:after="0"/>
              <w:rPr>
                <w:sz w:val="20"/>
                <w:szCs w:val="20"/>
                <w:color w:val="auto"/>
              </w:rPr>
            </w:pPr>
            <w:r>
              <w:rPr>
                <w:rFonts w:ascii="Arial" w:cs="Arial" w:eastAsia="Arial" w:hAnsi="Arial"/>
                <w:sz w:val="19"/>
                <w:szCs w:val="19"/>
                <w:b w:val="1"/>
                <w:bCs w:val="1"/>
                <w:color w:val="auto"/>
              </w:rPr>
              <w:t>Number of</w:t>
            </w:r>
          </w:p>
        </w:tc>
        <w:tc>
          <w:tcPr>
            <w:tcW w:w="1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9"/>
                <w:szCs w:val="19"/>
                <w:b w:val="1"/>
                <w:bCs w:val="1"/>
                <w:color w:val="auto"/>
                <w:w w:val="90"/>
              </w:rPr>
              <w:t>Agreement</w:t>
            </w:r>
          </w:p>
        </w:tc>
        <w:tc>
          <w:tcPr>
            <w:tcW w:w="0" w:type="dxa"/>
            <w:vAlign w:val="bottom"/>
          </w:tcPr>
          <w:p>
            <w:pPr>
              <w:spacing w:after="0"/>
              <w:rPr>
                <w:sz w:val="1"/>
                <w:szCs w:val="1"/>
                <w:color w:val="auto"/>
              </w:rPr>
            </w:pPr>
          </w:p>
        </w:tc>
      </w:tr>
      <w:tr>
        <w:trPr>
          <w:trHeight w:val="194"/>
        </w:trPr>
        <w:tc>
          <w:tcPr>
            <w:tcW w:w="2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vMerge w:val="restart"/>
          </w:tcPr>
          <w:p>
            <w:pPr>
              <w:ind w:left="1980"/>
              <w:spacing w:after="0"/>
              <w:rPr>
                <w:sz w:val="20"/>
                <w:szCs w:val="20"/>
                <w:color w:val="auto"/>
              </w:rPr>
            </w:pPr>
            <w:r>
              <w:rPr>
                <w:rFonts w:ascii="Arial" w:cs="Arial" w:eastAsia="Arial" w:hAnsi="Arial"/>
                <w:sz w:val="19"/>
                <w:szCs w:val="19"/>
                <w:b w:val="1"/>
                <w:bCs w:val="1"/>
                <w:color w:val="auto"/>
              </w:rPr>
              <w:t>Union</w:t>
            </w:r>
          </w:p>
        </w:tc>
        <w:tc>
          <w:tcPr>
            <w:tcW w:w="80" w:type="dxa"/>
            <w:vAlign w:val="bottom"/>
          </w:tcPr>
          <w:p>
            <w:pPr>
              <w:spacing w:after="0"/>
              <w:rPr>
                <w:sz w:val="16"/>
                <w:szCs w:val="16"/>
                <w:color w:val="auto"/>
              </w:rPr>
            </w:pPr>
          </w:p>
        </w:tc>
        <w:tc>
          <w:tcPr>
            <w:tcW w:w="1500" w:type="dxa"/>
            <w:vAlign w:val="bottom"/>
          </w:tcPr>
          <w:p>
            <w:pPr>
              <w:jc w:val="center"/>
              <w:spacing w:after="0" w:line="194" w:lineRule="exact"/>
              <w:rPr>
                <w:sz w:val="20"/>
                <w:szCs w:val="20"/>
                <w:color w:val="auto"/>
              </w:rPr>
            </w:pPr>
            <w:r>
              <w:rPr>
                <w:rFonts w:ascii="Arial" w:cs="Arial" w:eastAsia="Arial" w:hAnsi="Arial"/>
                <w:sz w:val="19"/>
                <w:szCs w:val="19"/>
                <w:b w:val="1"/>
                <w:bCs w:val="1"/>
                <w:color w:val="auto"/>
                <w:w w:val="93"/>
              </w:rPr>
              <w:t>Open for</w:t>
            </w:r>
          </w:p>
        </w:tc>
        <w:tc>
          <w:tcPr>
            <w:tcW w:w="0" w:type="dxa"/>
            <w:vAlign w:val="bottom"/>
          </w:tcPr>
          <w:p>
            <w:pPr>
              <w:spacing w:after="0"/>
              <w:rPr>
                <w:sz w:val="1"/>
                <w:szCs w:val="1"/>
                <w:color w:val="auto"/>
              </w:rPr>
            </w:pPr>
          </w:p>
        </w:tc>
      </w:tr>
      <w:tr>
        <w:trPr>
          <w:trHeight w:val="255"/>
        </w:trPr>
        <w:tc>
          <w:tcPr>
            <w:tcW w:w="2580" w:type="dxa"/>
            <w:vAlign w:val="bottom"/>
            <w:tcBorders>
              <w:bottom w:val="single" w:sz="8" w:color="auto"/>
            </w:tcBorders>
            <w:gridSpan w:val="2"/>
          </w:tcPr>
          <w:p>
            <w:pPr>
              <w:ind w:left="1000"/>
              <w:spacing w:after="0"/>
              <w:rPr>
                <w:sz w:val="20"/>
                <w:szCs w:val="20"/>
                <w:color w:val="auto"/>
              </w:rPr>
            </w:pPr>
            <w:r>
              <w:rPr>
                <w:rFonts w:ascii="Arial" w:cs="Arial" w:eastAsia="Arial" w:hAnsi="Arial"/>
                <w:sz w:val="19"/>
                <w:szCs w:val="19"/>
                <w:b w:val="1"/>
                <w:bCs w:val="1"/>
                <w:color w:val="auto"/>
              </w:rPr>
              <w:t>Group</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b w:val="1"/>
                <w:bCs w:val="1"/>
                <w:color w:val="auto"/>
                <w:w w:val="97"/>
              </w:rPr>
              <w:t>Employees</w:t>
            </w:r>
          </w:p>
        </w:tc>
        <w:tc>
          <w:tcPr>
            <w:tcW w:w="160" w:type="dxa"/>
            <w:vAlign w:val="bottom"/>
          </w:tcPr>
          <w:p>
            <w:pPr>
              <w:spacing w:after="0"/>
              <w:rPr>
                <w:sz w:val="22"/>
                <w:szCs w:val="22"/>
                <w:color w:val="auto"/>
              </w:rPr>
            </w:pPr>
          </w:p>
        </w:tc>
        <w:tc>
          <w:tcPr>
            <w:tcW w:w="44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Amendment</w:t>
            </w:r>
          </w:p>
        </w:tc>
        <w:tc>
          <w:tcPr>
            <w:tcW w:w="0" w:type="dxa"/>
            <w:vAlign w:val="bottom"/>
          </w:tcPr>
          <w:p>
            <w:pPr>
              <w:spacing w:after="0"/>
              <w:rPr>
                <w:sz w:val="1"/>
                <w:szCs w:val="1"/>
                <w:color w:val="auto"/>
              </w:rPr>
            </w:pPr>
          </w:p>
        </w:tc>
      </w:tr>
      <w:tr>
        <w:trPr>
          <w:trHeight w:val="562"/>
        </w:trPr>
        <w:tc>
          <w:tcPr>
            <w:tcW w:w="2580" w:type="dxa"/>
            <w:vAlign w:val="bottom"/>
            <w:gridSpan w:val="2"/>
          </w:tcPr>
          <w:p>
            <w:pPr>
              <w:ind w:left="60"/>
              <w:spacing w:after="0"/>
              <w:rPr>
                <w:sz w:val="20"/>
                <w:szCs w:val="20"/>
                <w:color w:val="auto"/>
              </w:rPr>
            </w:pPr>
            <w:r>
              <w:rPr>
                <w:rFonts w:ascii="Arial" w:cs="Arial" w:eastAsia="Arial" w:hAnsi="Arial"/>
                <w:sz w:val="19"/>
                <w:szCs w:val="19"/>
                <w:b w:val="1"/>
                <w:bCs w:val="1"/>
                <w:color w:val="auto"/>
              </w:rPr>
              <w:t>United Airlines, Inc.:</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560" w:type="dxa"/>
            <w:vAlign w:val="bottom"/>
            <w:tcBorders>
              <w:top w:val="single" w:sz="8" w:color="auto"/>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Flight Attendants</w:t>
            </w:r>
          </w:p>
        </w:tc>
        <w:tc>
          <w:tcPr>
            <w:tcW w:w="20" w:type="dxa"/>
            <w:vAlign w:val="bottom"/>
            <w:tcBorders>
              <w:top w:val="single" w:sz="8" w:color="E6E6E6"/>
            </w:tcBorders>
            <w:shd w:val="clear" w:color="auto" w:fill="E6E6E6"/>
          </w:tcPr>
          <w:p>
            <w:pPr>
              <w:spacing w:after="0"/>
              <w:rPr>
                <w:sz w:val="23"/>
                <w:szCs w:val="23"/>
                <w:color w:val="auto"/>
              </w:rPr>
            </w:pPr>
          </w:p>
        </w:tc>
        <w:tc>
          <w:tcPr>
            <w:tcW w:w="1200" w:type="dxa"/>
            <w:vAlign w:val="bottom"/>
            <w:tcBorders>
              <w:top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color w:val="auto"/>
              </w:rPr>
              <w:t>28,220</w:t>
            </w:r>
          </w:p>
        </w:tc>
        <w:tc>
          <w:tcPr>
            <w:tcW w:w="160" w:type="dxa"/>
            <w:vAlign w:val="bottom"/>
            <w:tcBorders>
              <w:top w:val="single" w:sz="8" w:color="E6E6E6"/>
            </w:tcBorders>
            <w:shd w:val="clear" w:color="auto" w:fill="E6E6E6"/>
          </w:tcPr>
          <w:p>
            <w:pPr>
              <w:spacing w:after="0"/>
              <w:rPr>
                <w:sz w:val="23"/>
                <w:szCs w:val="23"/>
                <w:color w:val="auto"/>
              </w:rPr>
            </w:pPr>
          </w:p>
        </w:tc>
        <w:tc>
          <w:tcPr>
            <w:tcW w:w="44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Association of Flight Attendants ("AFA")</w:t>
            </w:r>
          </w:p>
        </w:tc>
        <w:tc>
          <w:tcPr>
            <w:tcW w:w="80" w:type="dxa"/>
            <w:vAlign w:val="bottom"/>
            <w:tcBorders>
              <w:top w:val="single" w:sz="8" w:color="E6E6E6"/>
            </w:tcBorders>
            <w:shd w:val="clear" w:color="auto" w:fill="E6E6E6"/>
          </w:tcPr>
          <w:p>
            <w:pPr>
              <w:spacing w:after="0"/>
              <w:rPr>
                <w:sz w:val="23"/>
                <w:szCs w:val="23"/>
                <w:color w:val="auto"/>
              </w:rPr>
            </w:pPr>
          </w:p>
        </w:tc>
        <w:tc>
          <w:tcPr>
            <w:tcW w:w="150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19"/>
                <w:szCs w:val="19"/>
                <w:color w:val="auto"/>
              </w:rPr>
              <w:t>August 2021</w:t>
            </w:r>
          </w:p>
        </w:tc>
        <w:tc>
          <w:tcPr>
            <w:tcW w:w="0" w:type="dxa"/>
            <w:vAlign w:val="bottom"/>
          </w:tcPr>
          <w:p>
            <w:pPr>
              <w:spacing w:after="0"/>
              <w:rPr>
                <w:sz w:val="1"/>
                <w:szCs w:val="1"/>
                <w:color w:val="auto"/>
              </w:rPr>
            </w:pPr>
          </w:p>
        </w:tc>
      </w:tr>
      <w:tr>
        <w:trPr>
          <w:trHeight w:val="186"/>
        </w:trPr>
        <w:tc>
          <w:tcPr>
            <w:tcW w:w="2580" w:type="dxa"/>
            <w:vAlign w:val="bottom"/>
            <w:gridSpan w:val="2"/>
            <w:vMerge w:val="restart"/>
          </w:tcPr>
          <w:p>
            <w:pPr>
              <w:ind w:left="60"/>
              <w:spacing w:after="0"/>
              <w:rPr>
                <w:sz w:val="20"/>
                <w:szCs w:val="20"/>
                <w:color w:val="auto"/>
              </w:rPr>
            </w:pPr>
            <w:r>
              <w:rPr>
                <w:rFonts w:ascii="Arial" w:cs="Arial" w:eastAsia="Arial" w:hAnsi="Arial"/>
                <w:sz w:val="19"/>
                <w:szCs w:val="19"/>
                <w:b w:val="1"/>
                <w:bCs w:val="1"/>
                <w:color w:val="auto"/>
              </w:rPr>
              <w:t>Fleet Service</w:t>
            </w:r>
          </w:p>
        </w:tc>
        <w:tc>
          <w:tcPr>
            <w:tcW w:w="1200" w:type="dxa"/>
            <w:vAlign w:val="bottom"/>
            <w:gridSpan w:val="2"/>
            <w:vMerge w:val="restart"/>
          </w:tcPr>
          <w:p>
            <w:pPr>
              <w:jc w:val="right"/>
              <w:spacing w:after="0"/>
              <w:rPr>
                <w:sz w:val="20"/>
                <w:szCs w:val="20"/>
                <w:color w:val="auto"/>
              </w:rPr>
            </w:pPr>
            <w:r>
              <w:rPr>
                <w:rFonts w:ascii="Arial" w:cs="Arial" w:eastAsia="Arial" w:hAnsi="Arial"/>
                <w:sz w:val="19"/>
                <w:szCs w:val="19"/>
                <w:color w:val="auto"/>
              </w:rPr>
              <w:t>16,789</w:t>
            </w:r>
          </w:p>
        </w:tc>
        <w:tc>
          <w:tcPr>
            <w:tcW w:w="160" w:type="dxa"/>
            <w:vAlign w:val="bottom"/>
          </w:tcPr>
          <w:p>
            <w:pPr>
              <w:spacing w:after="0"/>
              <w:rPr>
                <w:sz w:val="16"/>
                <w:szCs w:val="16"/>
                <w:color w:val="auto"/>
              </w:rPr>
            </w:pPr>
          </w:p>
        </w:tc>
        <w:tc>
          <w:tcPr>
            <w:tcW w:w="4440" w:type="dxa"/>
            <w:vAlign w:val="bottom"/>
          </w:tcPr>
          <w:p>
            <w:pPr>
              <w:ind w:left="60"/>
              <w:spacing w:after="0" w:line="186" w:lineRule="exact"/>
              <w:rPr>
                <w:sz w:val="20"/>
                <w:szCs w:val="20"/>
                <w:color w:val="auto"/>
              </w:rPr>
            </w:pPr>
            <w:r>
              <w:rPr>
                <w:rFonts w:ascii="Arial" w:cs="Arial" w:eastAsia="Arial" w:hAnsi="Arial"/>
                <w:sz w:val="19"/>
                <w:szCs w:val="19"/>
                <w:color w:val="auto"/>
                <w:w w:val="95"/>
              </w:rPr>
              <w:t>International Association of Machinists and Aerospace</w:t>
            </w:r>
          </w:p>
        </w:tc>
        <w:tc>
          <w:tcPr>
            <w:tcW w:w="80" w:type="dxa"/>
            <w:vAlign w:val="bottom"/>
          </w:tcPr>
          <w:p>
            <w:pPr>
              <w:spacing w:after="0"/>
              <w:rPr>
                <w:sz w:val="16"/>
                <w:szCs w:val="16"/>
                <w:color w:val="auto"/>
              </w:rPr>
            </w:pPr>
          </w:p>
        </w:tc>
        <w:tc>
          <w:tcPr>
            <w:tcW w:w="1500" w:type="dxa"/>
            <w:vAlign w:val="bottom"/>
            <w:vMerge w:val="restart"/>
          </w:tcPr>
          <w:p>
            <w:pPr>
              <w:ind w:left="40"/>
              <w:spacing w:after="0"/>
              <w:rPr>
                <w:sz w:val="20"/>
                <w:szCs w:val="20"/>
                <w:color w:val="auto"/>
              </w:rPr>
            </w:pPr>
            <w:r>
              <w:rPr>
                <w:rFonts w:ascii="Arial" w:cs="Arial" w:eastAsia="Arial" w:hAnsi="Arial"/>
                <w:sz w:val="19"/>
                <w:szCs w:val="19"/>
                <w:color w:val="auto"/>
              </w:rPr>
              <w:t>May 2025</w:t>
            </w:r>
          </w:p>
        </w:tc>
        <w:tc>
          <w:tcPr>
            <w:tcW w:w="0" w:type="dxa"/>
            <w:vAlign w:val="bottom"/>
          </w:tcPr>
          <w:p>
            <w:pPr>
              <w:spacing w:after="0"/>
              <w:rPr>
                <w:sz w:val="1"/>
                <w:szCs w:val="1"/>
                <w:color w:val="auto"/>
              </w:rPr>
            </w:pPr>
          </w:p>
        </w:tc>
      </w:tr>
      <w:tr>
        <w:trPr>
          <w:trHeight w:val="259"/>
        </w:trPr>
        <w:tc>
          <w:tcPr>
            <w:tcW w:w="2580" w:type="dxa"/>
            <w:vAlign w:val="bottom"/>
            <w:gridSpan w:val="2"/>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4440" w:type="dxa"/>
            <w:vAlign w:val="bottom"/>
          </w:tcPr>
          <w:p>
            <w:pPr>
              <w:ind w:left="60"/>
              <w:spacing w:after="0"/>
              <w:rPr>
                <w:sz w:val="20"/>
                <w:szCs w:val="20"/>
                <w:color w:val="auto"/>
              </w:rPr>
            </w:pPr>
            <w:r>
              <w:rPr>
                <w:rFonts w:ascii="Arial" w:cs="Arial" w:eastAsia="Arial" w:hAnsi="Arial"/>
                <w:sz w:val="19"/>
                <w:szCs w:val="19"/>
                <w:color w:val="auto"/>
              </w:rPr>
              <w:t>Workers (the "IAM")</w:t>
            </w:r>
          </w:p>
        </w:tc>
        <w:tc>
          <w:tcPr>
            <w:tcW w:w="80" w:type="dxa"/>
            <w:vAlign w:val="bottom"/>
          </w:tcPr>
          <w:p>
            <w:pPr>
              <w:spacing w:after="0"/>
              <w:rPr>
                <w:sz w:val="22"/>
                <w:szCs w:val="22"/>
                <w:color w:val="auto"/>
              </w:rPr>
            </w:pPr>
          </w:p>
        </w:tc>
        <w:tc>
          <w:tcPr>
            <w:tcW w:w="1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58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Pilots</w:t>
            </w:r>
          </w:p>
        </w:tc>
        <w:tc>
          <w:tcPr>
            <w:tcW w:w="12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17,126</w:t>
            </w:r>
          </w:p>
        </w:tc>
        <w:tc>
          <w:tcPr>
            <w:tcW w:w="160" w:type="dxa"/>
            <w:vAlign w:val="bottom"/>
            <w:shd w:val="clear" w:color="auto" w:fill="E6E6E6"/>
          </w:tcPr>
          <w:p>
            <w:pPr>
              <w:spacing w:after="0"/>
              <w:rPr>
                <w:sz w:val="24"/>
                <w:szCs w:val="24"/>
                <w:color w:val="auto"/>
              </w:rPr>
            </w:pPr>
          </w:p>
        </w:tc>
        <w:tc>
          <w:tcPr>
            <w:tcW w:w="4440" w:type="dxa"/>
            <w:vAlign w:val="bottom"/>
            <w:shd w:val="clear" w:color="auto" w:fill="E6E6E6"/>
          </w:tcPr>
          <w:p>
            <w:pPr>
              <w:ind w:left="60"/>
              <w:spacing w:after="0"/>
              <w:rPr>
                <w:sz w:val="20"/>
                <w:szCs w:val="20"/>
                <w:color w:val="auto"/>
              </w:rPr>
            </w:pPr>
            <w:r>
              <w:rPr>
                <w:rFonts w:ascii="Arial" w:cs="Arial" w:eastAsia="Arial" w:hAnsi="Arial"/>
                <w:sz w:val="19"/>
                <w:szCs w:val="19"/>
                <w:color w:val="auto"/>
              </w:rPr>
              <w:t>Air Line Pilots Association ("ALPA")</w:t>
            </w:r>
          </w:p>
        </w:tc>
        <w:tc>
          <w:tcPr>
            <w:tcW w:w="80" w:type="dxa"/>
            <w:vAlign w:val="bottom"/>
            <w:shd w:val="clear" w:color="auto" w:fill="E6E6E6"/>
          </w:tcPr>
          <w:p>
            <w:pPr>
              <w:spacing w:after="0"/>
              <w:rPr>
                <w:sz w:val="24"/>
                <w:szCs w:val="24"/>
                <w:color w:val="auto"/>
              </w:rPr>
            </w:pPr>
          </w:p>
        </w:tc>
        <w:tc>
          <w:tcPr>
            <w:tcW w:w="1500" w:type="dxa"/>
            <w:vAlign w:val="bottom"/>
            <w:shd w:val="clear" w:color="auto" w:fill="E6E6E6"/>
          </w:tcPr>
          <w:p>
            <w:pPr>
              <w:ind w:left="40"/>
              <w:spacing w:after="0"/>
              <w:rPr>
                <w:sz w:val="20"/>
                <w:szCs w:val="20"/>
                <w:color w:val="auto"/>
              </w:rPr>
            </w:pPr>
            <w:r>
              <w:rPr>
                <w:rFonts w:ascii="Arial" w:cs="Arial" w:eastAsia="Arial" w:hAnsi="Arial"/>
                <w:sz w:val="19"/>
                <w:szCs w:val="19"/>
                <w:color w:val="auto"/>
              </w:rPr>
              <w:t>October 2027</w:t>
            </w:r>
          </w:p>
        </w:tc>
        <w:tc>
          <w:tcPr>
            <w:tcW w:w="0" w:type="dxa"/>
            <w:vAlign w:val="bottom"/>
          </w:tcPr>
          <w:p>
            <w:pPr>
              <w:spacing w:after="0"/>
              <w:rPr>
                <w:sz w:val="1"/>
                <w:szCs w:val="1"/>
                <w:color w:val="auto"/>
              </w:rPr>
            </w:pPr>
          </w:p>
        </w:tc>
      </w:tr>
      <w:tr>
        <w:trPr>
          <w:trHeight w:val="270"/>
        </w:trPr>
        <w:tc>
          <w:tcPr>
            <w:tcW w:w="2580" w:type="dxa"/>
            <w:vAlign w:val="bottom"/>
            <w:gridSpan w:val="2"/>
          </w:tcPr>
          <w:p>
            <w:pPr>
              <w:ind w:left="60"/>
              <w:spacing w:after="0"/>
              <w:rPr>
                <w:sz w:val="20"/>
                <w:szCs w:val="20"/>
                <w:color w:val="auto"/>
              </w:rPr>
            </w:pPr>
            <w:r>
              <w:rPr>
                <w:rFonts w:ascii="Arial" w:cs="Arial" w:eastAsia="Arial" w:hAnsi="Arial"/>
                <w:sz w:val="19"/>
                <w:szCs w:val="19"/>
                <w:b w:val="1"/>
                <w:bCs w:val="1"/>
                <w:color w:val="auto"/>
              </w:rPr>
              <w:t>Passenger Service</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11,493</w:t>
            </w:r>
          </w:p>
        </w:tc>
        <w:tc>
          <w:tcPr>
            <w:tcW w:w="160" w:type="dxa"/>
            <w:vAlign w:val="bottom"/>
          </w:tcPr>
          <w:p>
            <w:pPr>
              <w:spacing w:after="0"/>
              <w:rPr>
                <w:sz w:val="23"/>
                <w:szCs w:val="23"/>
                <w:color w:val="auto"/>
              </w:rPr>
            </w:pPr>
          </w:p>
        </w:tc>
        <w:tc>
          <w:tcPr>
            <w:tcW w:w="4440" w:type="dxa"/>
            <w:vAlign w:val="bottom"/>
          </w:tcPr>
          <w:p>
            <w:pPr>
              <w:ind w:left="60"/>
              <w:spacing w:after="0"/>
              <w:rPr>
                <w:sz w:val="20"/>
                <w:szCs w:val="20"/>
                <w:color w:val="auto"/>
              </w:rPr>
            </w:pPr>
            <w:r>
              <w:rPr>
                <w:rFonts w:ascii="Arial" w:cs="Arial" w:eastAsia="Arial" w:hAnsi="Arial"/>
                <w:sz w:val="19"/>
                <w:szCs w:val="19"/>
                <w:color w:val="auto"/>
              </w:rPr>
              <w:t>IAM</w:t>
            </w:r>
          </w:p>
        </w:tc>
        <w:tc>
          <w:tcPr>
            <w:tcW w:w="80" w:type="dxa"/>
            <w:vAlign w:val="bottom"/>
          </w:tcPr>
          <w:p>
            <w:pPr>
              <w:spacing w:after="0"/>
              <w:rPr>
                <w:sz w:val="23"/>
                <w:szCs w:val="23"/>
                <w:color w:val="auto"/>
              </w:rPr>
            </w:pPr>
          </w:p>
        </w:tc>
        <w:tc>
          <w:tcPr>
            <w:tcW w:w="1500" w:type="dxa"/>
            <w:vAlign w:val="bottom"/>
          </w:tcPr>
          <w:p>
            <w:pPr>
              <w:ind w:left="40"/>
              <w:spacing w:after="0"/>
              <w:rPr>
                <w:sz w:val="20"/>
                <w:szCs w:val="20"/>
                <w:color w:val="auto"/>
              </w:rPr>
            </w:pPr>
            <w:r>
              <w:rPr>
                <w:rFonts w:ascii="Arial" w:cs="Arial" w:eastAsia="Arial" w:hAnsi="Arial"/>
                <w:sz w:val="19"/>
                <w:szCs w:val="19"/>
                <w:color w:val="auto"/>
              </w:rPr>
              <w:t>May 2025</w:t>
            </w:r>
          </w:p>
        </w:tc>
        <w:tc>
          <w:tcPr>
            <w:tcW w:w="0" w:type="dxa"/>
            <w:vAlign w:val="bottom"/>
          </w:tcPr>
          <w:p>
            <w:pPr>
              <w:spacing w:after="0"/>
              <w:rPr>
                <w:sz w:val="1"/>
                <w:szCs w:val="1"/>
                <w:color w:val="auto"/>
              </w:rPr>
            </w:pPr>
          </w:p>
        </w:tc>
      </w:tr>
      <w:tr>
        <w:trPr>
          <w:trHeight w:val="283"/>
        </w:trPr>
        <w:tc>
          <w:tcPr>
            <w:tcW w:w="258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Technicians</w:t>
            </w:r>
          </w:p>
        </w:tc>
        <w:tc>
          <w:tcPr>
            <w:tcW w:w="12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10,599</w:t>
            </w:r>
          </w:p>
        </w:tc>
        <w:tc>
          <w:tcPr>
            <w:tcW w:w="160" w:type="dxa"/>
            <w:vAlign w:val="bottom"/>
            <w:shd w:val="clear" w:color="auto" w:fill="E6E6E6"/>
          </w:tcPr>
          <w:p>
            <w:pPr>
              <w:spacing w:after="0"/>
              <w:rPr>
                <w:sz w:val="24"/>
                <w:szCs w:val="24"/>
                <w:color w:val="auto"/>
              </w:rPr>
            </w:pPr>
          </w:p>
        </w:tc>
        <w:tc>
          <w:tcPr>
            <w:tcW w:w="4440" w:type="dxa"/>
            <w:vAlign w:val="bottom"/>
            <w:shd w:val="clear" w:color="auto" w:fill="E6E6E6"/>
          </w:tcPr>
          <w:p>
            <w:pPr>
              <w:ind w:left="60"/>
              <w:spacing w:after="0"/>
              <w:rPr>
                <w:sz w:val="20"/>
                <w:szCs w:val="20"/>
                <w:color w:val="auto"/>
              </w:rPr>
            </w:pPr>
            <w:r>
              <w:rPr>
                <w:rFonts w:ascii="Arial" w:cs="Arial" w:eastAsia="Arial" w:hAnsi="Arial"/>
                <w:sz w:val="19"/>
                <w:szCs w:val="19"/>
                <w:color w:val="auto"/>
              </w:rPr>
              <w:t>International Brotherhood of Teamsters (the "IBT")</w:t>
            </w:r>
          </w:p>
        </w:tc>
        <w:tc>
          <w:tcPr>
            <w:tcW w:w="80" w:type="dxa"/>
            <w:vAlign w:val="bottom"/>
            <w:shd w:val="clear" w:color="auto" w:fill="E6E6E6"/>
          </w:tcPr>
          <w:p>
            <w:pPr>
              <w:spacing w:after="0"/>
              <w:rPr>
                <w:sz w:val="24"/>
                <w:szCs w:val="24"/>
                <w:color w:val="auto"/>
              </w:rPr>
            </w:pPr>
          </w:p>
        </w:tc>
        <w:tc>
          <w:tcPr>
            <w:tcW w:w="1500" w:type="dxa"/>
            <w:vAlign w:val="bottom"/>
            <w:shd w:val="clear" w:color="auto" w:fill="E6E6E6"/>
          </w:tcPr>
          <w:p>
            <w:pPr>
              <w:ind w:left="40"/>
              <w:spacing w:after="0"/>
              <w:rPr>
                <w:sz w:val="20"/>
                <w:szCs w:val="20"/>
                <w:color w:val="auto"/>
              </w:rPr>
            </w:pPr>
            <w:r>
              <w:rPr>
                <w:rFonts w:ascii="Arial" w:cs="Arial" w:eastAsia="Arial" w:hAnsi="Arial"/>
                <w:sz w:val="19"/>
                <w:szCs w:val="19"/>
                <w:color w:val="auto"/>
              </w:rPr>
              <w:t>December 2024</w:t>
            </w:r>
          </w:p>
        </w:tc>
        <w:tc>
          <w:tcPr>
            <w:tcW w:w="0" w:type="dxa"/>
            <w:vAlign w:val="bottom"/>
          </w:tcPr>
          <w:p>
            <w:pPr>
              <w:spacing w:after="0"/>
              <w:rPr>
                <w:sz w:val="1"/>
                <w:szCs w:val="1"/>
                <w:color w:val="auto"/>
              </w:rPr>
            </w:pPr>
          </w:p>
        </w:tc>
      </w:tr>
      <w:tr>
        <w:trPr>
          <w:trHeight w:val="270"/>
        </w:trPr>
        <w:tc>
          <w:tcPr>
            <w:tcW w:w="2580" w:type="dxa"/>
            <w:vAlign w:val="bottom"/>
            <w:gridSpan w:val="2"/>
          </w:tcPr>
          <w:p>
            <w:pPr>
              <w:ind w:left="60"/>
              <w:spacing w:after="0"/>
              <w:rPr>
                <w:sz w:val="20"/>
                <w:szCs w:val="20"/>
                <w:color w:val="auto"/>
              </w:rPr>
            </w:pPr>
            <w:r>
              <w:rPr>
                <w:rFonts w:ascii="Arial" w:cs="Arial" w:eastAsia="Arial" w:hAnsi="Arial"/>
                <w:sz w:val="19"/>
                <w:szCs w:val="19"/>
                <w:b w:val="1"/>
                <w:bCs w:val="1"/>
                <w:color w:val="auto"/>
              </w:rPr>
              <w:t>Storekeepers</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1,448</w:t>
            </w:r>
          </w:p>
        </w:tc>
        <w:tc>
          <w:tcPr>
            <w:tcW w:w="160" w:type="dxa"/>
            <w:vAlign w:val="bottom"/>
          </w:tcPr>
          <w:p>
            <w:pPr>
              <w:spacing w:after="0"/>
              <w:rPr>
                <w:sz w:val="23"/>
                <w:szCs w:val="23"/>
                <w:color w:val="auto"/>
              </w:rPr>
            </w:pPr>
          </w:p>
        </w:tc>
        <w:tc>
          <w:tcPr>
            <w:tcW w:w="4440" w:type="dxa"/>
            <w:vAlign w:val="bottom"/>
          </w:tcPr>
          <w:p>
            <w:pPr>
              <w:ind w:left="60"/>
              <w:spacing w:after="0"/>
              <w:rPr>
                <w:sz w:val="20"/>
                <w:szCs w:val="20"/>
                <w:color w:val="auto"/>
              </w:rPr>
            </w:pPr>
            <w:r>
              <w:rPr>
                <w:rFonts w:ascii="Arial" w:cs="Arial" w:eastAsia="Arial" w:hAnsi="Arial"/>
                <w:sz w:val="19"/>
                <w:szCs w:val="19"/>
                <w:color w:val="auto"/>
              </w:rPr>
              <w:t>IAM</w:t>
            </w:r>
          </w:p>
        </w:tc>
        <w:tc>
          <w:tcPr>
            <w:tcW w:w="80" w:type="dxa"/>
            <w:vAlign w:val="bottom"/>
          </w:tcPr>
          <w:p>
            <w:pPr>
              <w:spacing w:after="0"/>
              <w:rPr>
                <w:sz w:val="23"/>
                <w:szCs w:val="23"/>
                <w:color w:val="auto"/>
              </w:rPr>
            </w:pPr>
          </w:p>
        </w:tc>
        <w:tc>
          <w:tcPr>
            <w:tcW w:w="1500" w:type="dxa"/>
            <w:vAlign w:val="bottom"/>
          </w:tcPr>
          <w:p>
            <w:pPr>
              <w:ind w:left="40"/>
              <w:spacing w:after="0"/>
              <w:rPr>
                <w:sz w:val="20"/>
                <w:szCs w:val="20"/>
                <w:color w:val="auto"/>
              </w:rPr>
            </w:pPr>
            <w:r>
              <w:rPr>
                <w:rFonts w:ascii="Arial" w:cs="Arial" w:eastAsia="Arial" w:hAnsi="Arial"/>
                <w:sz w:val="19"/>
                <w:szCs w:val="19"/>
                <w:color w:val="auto"/>
              </w:rPr>
              <w:t>May 2025</w:t>
            </w:r>
          </w:p>
        </w:tc>
        <w:tc>
          <w:tcPr>
            <w:tcW w:w="0" w:type="dxa"/>
            <w:vAlign w:val="bottom"/>
          </w:tcPr>
          <w:p>
            <w:pPr>
              <w:spacing w:after="0"/>
              <w:rPr>
                <w:sz w:val="1"/>
                <w:szCs w:val="1"/>
                <w:color w:val="auto"/>
              </w:rPr>
            </w:pPr>
          </w:p>
        </w:tc>
      </w:tr>
      <w:tr>
        <w:trPr>
          <w:trHeight w:val="283"/>
        </w:trPr>
        <w:tc>
          <w:tcPr>
            <w:tcW w:w="258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Dispatchers</w:t>
            </w:r>
          </w:p>
        </w:tc>
        <w:tc>
          <w:tcPr>
            <w:tcW w:w="12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554</w:t>
            </w:r>
          </w:p>
        </w:tc>
        <w:tc>
          <w:tcPr>
            <w:tcW w:w="160" w:type="dxa"/>
            <w:vAlign w:val="bottom"/>
            <w:shd w:val="clear" w:color="auto" w:fill="E6E6E6"/>
          </w:tcPr>
          <w:p>
            <w:pPr>
              <w:spacing w:after="0"/>
              <w:rPr>
                <w:sz w:val="24"/>
                <w:szCs w:val="24"/>
                <w:color w:val="auto"/>
              </w:rPr>
            </w:pPr>
          </w:p>
        </w:tc>
        <w:tc>
          <w:tcPr>
            <w:tcW w:w="4440" w:type="dxa"/>
            <w:vAlign w:val="bottom"/>
            <w:shd w:val="clear" w:color="auto" w:fill="E6E6E6"/>
          </w:tcPr>
          <w:p>
            <w:pPr>
              <w:ind w:left="60"/>
              <w:spacing w:after="0"/>
              <w:rPr>
                <w:sz w:val="20"/>
                <w:szCs w:val="20"/>
                <w:color w:val="auto"/>
              </w:rPr>
            </w:pPr>
            <w:r>
              <w:rPr>
                <w:rFonts w:ascii="Arial" w:cs="Arial" w:eastAsia="Arial" w:hAnsi="Arial"/>
                <w:sz w:val="19"/>
                <w:szCs w:val="19"/>
                <w:color w:val="auto"/>
              </w:rPr>
              <w:t>Professional Airline Flight Control Association</w:t>
            </w:r>
          </w:p>
        </w:tc>
        <w:tc>
          <w:tcPr>
            <w:tcW w:w="80" w:type="dxa"/>
            <w:vAlign w:val="bottom"/>
            <w:shd w:val="clear" w:color="auto" w:fill="E6E6E6"/>
          </w:tcPr>
          <w:p>
            <w:pPr>
              <w:spacing w:after="0"/>
              <w:rPr>
                <w:sz w:val="24"/>
                <w:szCs w:val="24"/>
                <w:color w:val="auto"/>
              </w:rPr>
            </w:pPr>
          </w:p>
        </w:tc>
        <w:tc>
          <w:tcPr>
            <w:tcW w:w="1500" w:type="dxa"/>
            <w:vAlign w:val="bottom"/>
            <w:shd w:val="clear" w:color="auto" w:fill="E6E6E6"/>
          </w:tcPr>
          <w:p>
            <w:pPr>
              <w:ind w:left="40"/>
              <w:spacing w:after="0"/>
              <w:rPr>
                <w:sz w:val="20"/>
                <w:szCs w:val="20"/>
                <w:color w:val="auto"/>
              </w:rPr>
            </w:pPr>
            <w:r>
              <w:rPr>
                <w:rFonts w:ascii="Arial" w:cs="Arial" w:eastAsia="Arial" w:hAnsi="Arial"/>
                <w:sz w:val="19"/>
                <w:szCs w:val="19"/>
                <w:color w:val="auto"/>
              </w:rPr>
              <w:t>December 2024</w:t>
            </w:r>
          </w:p>
        </w:tc>
        <w:tc>
          <w:tcPr>
            <w:tcW w:w="0" w:type="dxa"/>
            <w:vAlign w:val="bottom"/>
          </w:tcPr>
          <w:p>
            <w:pPr>
              <w:spacing w:after="0"/>
              <w:rPr>
                <w:sz w:val="1"/>
                <w:szCs w:val="1"/>
                <w:color w:val="auto"/>
              </w:rPr>
            </w:pPr>
          </w:p>
        </w:tc>
      </w:tr>
      <w:tr>
        <w:trPr>
          <w:trHeight w:val="270"/>
        </w:trPr>
        <w:tc>
          <w:tcPr>
            <w:tcW w:w="2580" w:type="dxa"/>
            <w:vAlign w:val="bottom"/>
            <w:gridSpan w:val="2"/>
          </w:tcPr>
          <w:p>
            <w:pPr>
              <w:ind w:left="60"/>
              <w:spacing w:after="0"/>
              <w:rPr>
                <w:sz w:val="20"/>
                <w:szCs w:val="20"/>
                <w:color w:val="auto"/>
              </w:rPr>
            </w:pPr>
            <w:r>
              <w:rPr>
                <w:rFonts w:ascii="Arial" w:cs="Arial" w:eastAsia="Arial" w:hAnsi="Arial"/>
                <w:sz w:val="19"/>
                <w:szCs w:val="19"/>
                <w:b w:val="1"/>
                <w:bCs w:val="1"/>
                <w:color w:val="auto"/>
              </w:rPr>
              <w:t>Fleet Tech Instructors</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162</w:t>
            </w:r>
          </w:p>
        </w:tc>
        <w:tc>
          <w:tcPr>
            <w:tcW w:w="160" w:type="dxa"/>
            <w:vAlign w:val="bottom"/>
          </w:tcPr>
          <w:p>
            <w:pPr>
              <w:spacing w:after="0"/>
              <w:rPr>
                <w:sz w:val="23"/>
                <w:szCs w:val="23"/>
                <w:color w:val="auto"/>
              </w:rPr>
            </w:pPr>
          </w:p>
        </w:tc>
        <w:tc>
          <w:tcPr>
            <w:tcW w:w="4440" w:type="dxa"/>
            <w:vAlign w:val="bottom"/>
          </w:tcPr>
          <w:p>
            <w:pPr>
              <w:ind w:left="60"/>
              <w:spacing w:after="0"/>
              <w:rPr>
                <w:sz w:val="20"/>
                <w:szCs w:val="20"/>
                <w:color w:val="auto"/>
              </w:rPr>
            </w:pPr>
            <w:r>
              <w:rPr>
                <w:rFonts w:ascii="Arial" w:cs="Arial" w:eastAsia="Arial" w:hAnsi="Arial"/>
                <w:sz w:val="19"/>
                <w:szCs w:val="19"/>
                <w:color w:val="auto"/>
              </w:rPr>
              <w:t>IAM</w:t>
            </w:r>
          </w:p>
        </w:tc>
        <w:tc>
          <w:tcPr>
            <w:tcW w:w="80" w:type="dxa"/>
            <w:vAlign w:val="bottom"/>
          </w:tcPr>
          <w:p>
            <w:pPr>
              <w:spacing w:after="0"/>
              <w:rPr>
                <w:sz w:val="23"/>
                <w:szCs w:val="23"/>
                <w:color w:val="auto"/>
              </w:rPr>
            </w:pPr>
          </w:p>
        </w:tc>
        <w:tc>
          <w:tcPr>
            <w:tcW w:w="1500" w:type="dxa"/>
            <w:vAlign w:val="bottom"/>
          </w:tcPr>
          <w:p>
            <w:pPr>
              <w:ind w:left="40"/>
              <w:spacing w:after="0"/>
              <w:rPr>
                <w:sz w:val="20"/>
                <w:szCs w:val="20"/>
                <w:color w:val="auto"/>
              </w:rPr>
            </w:pPr>
            <w:r>
              <w:rPr>
                <w:rFonts w:ascii="Arial" w:cs="Arial" w:eastAsia="Arial" w:hAnsi="Arial"/>
                <w:sz w:val="19"/>
                <w:szCs w:val="19"/>
                <w:color w:val="auto"/>
              </w:rPr>
              <w:t>May 2025</w:t>
            </w:r>
          </w:p>
        </w:tc>
        <w:tc>
          <w:tcPr>
            <w:tcW w:w="0" w:type="dxa"/>
            <w:vAlign w:val="bottom"/>
          </w:tcPr>
          <w:p>
            <w:pPr>
              <w:spacing w:after="0"/>
              <w:rPr>
                <w:sz w:val="1"/>
                <w:szCs w:val="1"/>
                <w:color w:val="auto"/>
              </w:rPr>
            </w:pPr>
          </w:p>
        </w:tc>
      </w:tr>
      <w:tr>
        <w:trPr>
          <w:trHeight w:val="193"/>
        </w:trPr>
        <w:tc>
          <w:tcPr>
            <w:tcW w:w="2580" w:type="dxa"/>
            <w:vAlign w:val="bottom"/>
            <w:gridSpan w:val="2"/>
            <w:shd w:val="clear" w:color="auto" w:fill="E6E6E6"/>
          </w:tcPr>
          <w:p>
            <w:pPr>
              <w:ind w:left="60"/>
              <w:spacing w:after="0" w:line="193" w:lineRule="exact"/>
              <w:rPr>
                <w:sz w:val="20"/>
                <w:szCs w:val="20"/>
                <w:color w:val="auto"/>
              </w:rPr>
            </w:pPr>
            <w:r>
              <w:rPr>
                <w:rFonts w:ascii="Arial" w:cs="Arial" w:eastAsia="Arial" w:hAnsi="Arial"/>
                <w:sz w:val="19"/>
                <w:szCs w:val="19"/>
                <w:b w:val="1"/>
                <w:bCs w:val="1"/>
                <w:color w:val="auto"/>
              </w:rPr>
              <w:t>Technical Operations</w:t>
            </w:r>
          </w:p>
        </w:tc>
        <w:tc>
          <w:tcPr>
            <w:tcW w:w="1200" w:type="dxa"/>
            <w:vAlign w:val="bottom"/>
            <w:gridSpan w:val="2"/>
            <w:vMerge w:val="restart"/>
            <w:shd w:val="clear" w:color="auto" w:fill="E6E6E6"/>
          </w:tcPr>
          <w:p>
            <w:pPr>
              <w:jc w:val="right"/>
              <w:spacing w:after="0"/>
              <w:rPr>
                <w:sz w:val="20"/>
                <w:szCs w:val="20"/>
                <w:color w:val="auto"/>
              </w:rPr>
            </w:pPr>
            <w:r>
              <w:rPr>
                <w:rFonts w:ascii="Arial" w:cs="Arial" w:eastAsia="Arial" w:hAnsi="Arial"/>
                <w:sz w:val="19"/>
                <w:szCs w:val="19"/>
                <w:color w:val="auto"/>
              </w:rPr>
              <w:t>147</w:t>
            </w:r>
          </w:p>
        </w:tc>
        <w:tc>
          <w:tcPr>
            <w:tcW w:w="160" w:type="dxa"/>
            <w:vAlign w:val="bottom"/>
            <w:shd w:val="clear" w:color="auto" w:fill="E6E6E6"/>
          </w:tcPr>
          <w:p>
            <w:pPr>
              <w:spacing w:after="0"/>
              <w:rPr>
                <w:sz w:val="16"/>
                <w:szCs w:val="16"/>
                <w:color w:val="auto"/>
              </w:rPr>
            </w:pPr>
          </w:p>
        </w:tc>
        <w:tc>
          <w:tcPr>
            <w:tcW w:w="4440" w:type="dxa"/>
            <w:vAlign w:val="bottom"/>
            <w:vMerge w:val="restart"/>
            <w:shd w:val="clear" w:color="auto" w:fill="E6E6E6"/>
          </w:tcPr>
          <w:p>
            <w:pPr>
              <w:ind w:left="60"/>
              <w:spacing w:after="0"/>
              <w:rPr>
                <w:sz w:val="20"/>
                <w:szCs w:val="20"/>
                <w:color w:val="auto"/>
              </w:rPr>
            </w:pPr>
            <w:r>
              <w:rPr>
                <w:rFonts w:ascii="Arial" w:cs="Arial" w:eastAsia="Arial" w:hAnsi="Arial"/>
                <w:sz w:val="19"/>
                <w:szCs w:val="19"/>
                <w:color w:val="auto"/>
              </w:rPr>
              <w:t>IBT</w:t>
            </w:r>
          </w:p>
        </w:tc>
        <w:tc>
          <w:tcPr>
            <w:tcW w:w="80" w:type="dxa"/>
            <w:vAlign w:val="bottom"/>
            <w:shd w:val="clear" w:color="auto" w:fill="E6E6E6"/>
          </w:tcPr>
          <w:p>
            <w:pPr>
              <w:spacing w:after="0"/>
              <w:rPr>
                <w:sz w:val="16"/>
                <w:szCs w:val="16"/>
                <w:color w:val="auto"/>
              </w:rPr>
            </w:pPr>
          </w:p>
        </w:tc>
        <w:tc>
          <w:tcPr>
            <w:tcW w:w="1500" w:type="dxa"/>
            <w:vAlign w:val="bottom"/>
            <w:vMerge w:val="restart"/>
            <w:shd w:val="clear" w:color="auto" w:fill="E6E6E6"/>
          </w:tcPr>
          <w:p>
            <w:pPr>
              <w:ind w:left="40"/>
              <w:spacing w:after="0"/>
              <w:rPr>
                <w:sz w:val="20"/>
                <w:szCs w:val="20"/>
                <w:color w:val="auto"/>
              </w:rPr>
            </w:pPr>
            <w:r>
              <w:rPr>
                <w:rFonts w:ascii="Arial" w:cs="Arial" w:eastAsia="Arial" w:hAnsi="Arial"/>
                <w:sz w:val="19"/>
                <w:szCs w:val="19"/>
                <w:color w:val="auto"/>
              </w:rPr>
              <w:t>May 2028</w:t>
            </w:r>
          </w:p>
        </w:tc>
        <w:tc>
          <w:tcPr>
            <w:tcW w:w="0" w:type="dxa"/>
            <w:vAlign w:val="bottom"/>
          </w:tcPr>
          <w:p>
            <w:pPr>
              <w:spacing w:after="0"/>
              <w:rPr>
                <w:sz w:val="1"/>
                <w:szCs w:val="1"/>
                <w:color w:val="auto"/>
              </w:rPr>
            </w:pPr>
          </w:p>
        </w:tc>
      </w:tr>
      <w:tr>
        <w:trPr>
          <w:trHeight w:val="265"/>
        </w:trPr>
        <w:tc>
          <w:tcPr>
            <w:tcW w:w="258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Maintenance Planners</w:t>
            </w:r>
          </w:p>
        </w:tc>
        <w:tc>
          <w:tcPr>
            <w:tcW w:w="1200" w:type="dxa"/>
            <w:vAlign w:val="bottom"/>
            <w:gridSpan w:val="2"/>
            <w:vMerge w:val="continue"/>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444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50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580" w:type="dxa"/>
            <w:vAlign w:val="bottom"/>
            <w:gridSpan w:val="2"/>
          </w:tcPr>
          <w:p>
            <w:pPr>
              <w:ind w:left="60"/>
              <w:spacing w:after="0" w:line="186" w:lineRule="exact"/>
              <w:rPr>
                <w:sz w:val="20"/>
                <w:szCs w:val="20"/>
                <w:color w:val="auto"/>
              </w:rPr>
            </w:pPr>
            <w:r>
              <w:rPr>
                <w:rFonts w:ascii="Arial" w:cs="Arial" w:eastAsia="Arial" w:hAnsi="Arial"/>
                <w:sz w:val="19"/>
                <w:szCs w:val="19"/>
                <w:b w:val="1"/>
                <w:bCs w:val="1"/>
                <w:color w:val="auto"/>
              </w:rPr>
              <w:t>Technical Operations</w:t>
            </w:r>
          </w:p>
        </w:tc>
        <w:tc>
          <w:tcPr>
            <w:tcW w:w="1200" w:type="dxa"/>
            <w:vAlign w:val="bottom"/>
            <w:gridSpan w:val="2"/>
            <w:vMerge w:val="restart"/>
          </w:tcPr>
          <w:p>
            <w:pPr>
              <w:jc w:val="right"/>
              <w:spacing w:after="0"/>
              <w:rPr>
                <w:sz w:val="20"/>
                <w:szCs w:val="20"/>
                <w:color w:val="auto"/>
              </w:rPr>
            </w:pPr>
            <w:r>
              <w:rPr>
                <w:rFonts w:ascii="Arial" w:cs="Arial" w:eastAsia="Arial" w:hAnsi="Arial"/>
                <w:sz w:val="19"/>
                <w:szCs w:val="19"/>
                <w:color w:val="auto"/>
              </w:rPr>
              <w:t>97</w:t>
            </w:r>
          </w:p>
        </w:tc>
        <w:tc>
          <w:tcPr>
            <w:tcW w:w="160" w:type="dxa"/>
            <w:vAlign w:val="bottom"/>
          </w:tcPr>
          <w:p>
            <w:pPr>
              <w:spacing w:after="0"/>
              <w:rPr>
                <w:sz w:val="16"/>
                <w:szCs w:val="16"/>
                <w:color w:val="auto"/>
              </w:rPr>
            </w:pPr>
          </w:p>
        </w:tc>
        <w:tc>
          <w:tcPr>
            <w:tcW w:w="4440" w:type="dxa"/>
            <w:vAlign w:val="bottom"/>
            <w:vMerge w:val="restart"/>
          </w:tcPr>
          <w:p>
            <w:pPr>
              <w:ind w:left="60"/>
              <w:spacing w:after="0"/>
              <w:rPr>
                <w:sz w:val="20"/>
                <w:szCs w:val="20"/>
                <w:color w:val="auto"/>
              </w:rPr>
            </w:pPr>
            <w:r>
              <w:rPr>
                <w:rFonts w:ascii="Arial" w:cs="Arial" w:eastAsia="Arial" w:hAnsi="Arial"/>
                <w:sz w:val="19"/>
                <w:szCs w:val="19"/>
                <w:color w:val="auto"/>
              </w:rPr>
              <w:t>IBT</w:t>
            </w:r>
          </w:p>
        </w:tc>
        <w:tc>
          <w:tcPr>
            <w:tcW w:w="80" w:type="dxa"/>
            <w:vAlign w:val="bottom"/>
          </w:tcPr>
          <w:p>
            <w:pPr>
              <w:spacing w:after="0"/>
              <w:rPr>
                <w:sz w:val="16"/>
                <w:szCs w:val="16"/>
                <w:color w:val="auto"/>
              </w:rPr>
            </w:pPr>
          </w:p>
        </w:tc>
        <w:tc>
          <w:tcPr>
            <w:tcW w:w="1500" w:type="dxa"/>
            <w:vAlign w:val="bottom"/>
            <w:vMerge w:val="restart"/>
          </w:tcPr>
          <w:p>
            <w:pPr>
              <w:ind w:left="40"/>
              <w:spacing w:after="0"/>
              <w:rPr>
                <w:sz w:val="20"/>
                <w:szCs w:val="20"/>
                <w:color w:val="auto"/>
              </w:rPr>
            </w:pPr>
            <w:r>
              <w:rPr>
                <w:rFonts w:ascii="Arial" w:cs="Arial" w:eastAsia="Arial" w:hAnsi="Arial"/>
                <w:sz w:val="19"/>
                <w:szCs w:val="19"/>
                <w:color w:val="auto"/>
              </w:rPr>
              <w:t>November 2026</w:t>
            </w:r>
          </w:p>
        </w:tc>
        <w:tc>
          <w:tcPr>
            <w:tcW w:w="0" w:type="dxa"/>
            <w:vAlign w:val="bottom"/>
          </w:tcPr>
          <w:p>
            <w:pPr>
              <w:spacing w:after="0"/>
              <w:rPr>
                <w:sz w:val="1"/>
                <w:szCs w:val="1"/>
                <w:color w:val="auto"/>
              </w:rPr>
            </w:pPr>
          </w:p>
        </w:tc>
      </w:tr>
      <w:tr>
        <w:trPr>
          <w:trHeight w:val="261"/>
        </w:trPr>
        <w:tc>
          <w:tcPr>
            <w:tcW w:w="2580" w:type="dxa"/>
            <w:vAlign w:val="bottom"/>
            <w:gridSpan w:val="2"/>
          </w:tcPr>
          <w:p>
            <w:pPr>
              <w:ind w:left="60"/>
              <w:spacing w:after="0"/>
              <w:rPr>
                <w:sz w:val="20"/>
                <w:szCs w:val="20"/>
                <w:color w:val="auto"/>
              </w:rPr>
            </w:pPr>
            <w:r>
              <w:rPr>
                <w:rFonts w:ascii="Arial" w:cs="Arial" w:eastAsia="Arial" w:hAnsi="Arial"/>
                <w:sz w:val="19"/>
                <w:szCs w:val="19"/>
                <w:b w:val="1"/>
                <w:bCs w:val="1"/>
                <w:color w:val="auto"/>
              </w:rPr>
              <w:t>Maintenance Controllers</w:t>
            </w:r>
          </w:p>
        </w:tc>
        <w:tc>
          <w:tcPr>
            <w:tcW w:w="12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44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58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Load Planners</w:t>
            </w:r>
          </w:p>
        </w:tc>
        <w:tc>
          <w:tcPr>
            <w:tcW w:w="12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88</w:t>
            </w:r>
          </w:p>
        </w:tc>
        <w:tc>
          <w:tcPr>
            <w:tcW w:w="160" w:type="dxa"/>
            <w:vAlign w:val="bottom"/>
            <w:shd w:val="clear" w:color="auto" w:fill="E6E6E6"/>
          </w:tcPr>
          <w:p>
            <w:pPr>
              <w:spacing w:after="0"/>
              <w:rPr>
                <w:sz w:val="24"/>
                <w:szCs w:val="24"/>
                <w:color w:val="auto"/>
              </w:rPr>
            </w:pPr>
          </w:p>
        </w:tc>
        <w:tc>
          <w:tcPr>
            <w:tcW w:w="4440" w:type="dxa"/>
            <w:vAlign w:val="bottom"/>
            <w:shd w:val="clear" w:color="auto" w:fill="E6E6E6"/>
          </w:tcPr>
          <w:p>
            <w:pPr>
              <w:ind w:left="60"/>
              <w:spacing w:after="0"/>
              <w:rPr>
                <w:sz w:val="20"/>
                <w:szCs w:val="20"/>
                <w:color w:val="auto"/>
              </w:rPr>
            </w:pPr>
            <w:r>
              <w:rPr>
                <w:rFonts w:ascii="Arial" w:cs="Arial" w:eastAsia="Arial" w:hAnsi="Arial"/>
                <w:sz w:val="19"/>
                <w:szCs w:val="19"/>
                <w:color w:val="auto"/>
              </w:rPr>
              <w:t>IAM</w:t>
            </w:r>
          </w:p>
        </w:tc>
        <w:tc>
          <w:tcPr>
            <w:tcW w:w="80" w:type="dxa"/>
            <w:vAlign w:val="bottom"/>
            <w:shd w:val="clear" w:color="auto" w:fill="E6E6E6"/>
          </w:tcPr>
          <w:p>
            <w:pPr>
              <w:spacing w:after="0"/>
              <w:rPr>
                <w:sz w:val="24"/>
                <w:szCs w:val="24"/>
                <w:color w:val="auto"/>
              </w:rPr>
            </w:pPr>
          </w:p>
        </w:tc>
        <w:tc>
          <w:tcPr>
            <w:tcW w:w="1500" w:type="dxa"/>
            <w:vAlign w:val="bottom"/>
            <w:shd w:val="clear" w:color="auto" w:fill="E6E6E6"/>
          </w:tcPr>
          <w:p>
            <w:pPr>
              <w:ind w:left="40"/>
              <w:spacing w:after="0"/>
              <w:rPr>
                <w:sz w:val="20"/>
                <w:szCs w:val="20"/>
                <w:color w:val="auto"/>
              </w:rPr>
            </w:pPr>
            <w:r>
              <w:rPr>
                <w:rFonts w:ascii="Arial" w:cs="Arial" w:eastAsia="Arial" w:hAnsi="Arial"/>
                <w:sz w:val="19"/>
                <w:szCs w:val="19"/>
                <w:color w:val="auto"/>
              </w:rPr>
              <w:t>May 2025</w:t>
            </w:r>
          </w:p>
        </w:tc>
        <w:tc>
          <w:tcPr>
            <w:tcW w:w="0" w:type="dxa"/>
            <w:vAlign w:val="bottom"/>
          </w:tcPr>
          <w:p>
            <w:pPr>
              <w:spacing w:after="0"/>
              <w:rPr>
                <w:sz w:val="1"/>
                <w:szCs w:val="1"/>
                <w:color w:val="auto"/>
              </w:rPr>
            </w:pPr>
          </w:p>
        </w:tc>
      </w:tr>
      <w:tr>
        <w:trPr>
          <w:trHeight w:val="270"/>
        </w:trPr>
        <w:tc>
          <w:tcPr>
            <w:tcW w:w="2580" w:type="dxa"/>
            <w:vAlign w:val="bottom"/>
            <w:gridSpan w:val="2"/>
          </w:tcPr>
          <w:p>
            <w:pPr>
              <w:ind w:left="60"/>
              <w:spacing w:after="0"/>
              <w:rPr>
                <w:sz w:val="20"/>
                <w:szCs w:val="20"/>
                <w:color w:val="auto"/>
              </w:rPr>
            </w:pPr>
            <w:r>
              <w:rPr>
                <w:rFonts w:ascii="Arial" w:cs="Arial" w:eastAsia="Arial" w:hAnsi="Arial"/>
                <w:sz w:val="19"/>
                <w:szCs w:val="19"/>
                <w:b w:val="1"/>
                <w:bCs w:val="1"/>
                <w:color w:val="auto"/>
              </w:rPr>
              <w:t>Maintenance Instructors</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53</w:t>
            </w:r>
          </w:p>
        </w:tc>
        <w:tc>
          <w:tcPr>
            <w:tcW w:w="160" w:type="dxa"/>
            <w:vAlign w:val="bottom"/>
          </w:tcPr>
          <w:p>
            <w:pPr>
              <w:spacing w:after="0"/>
              <w:rPr>
                <w:sz w:val="23"/>
                <w:szCs w:val="23"/>
                <w:color w:val="auto"/>
              </w:rPr>
            </w:pPr>
          </w:p>
        </w:tc>
        <w:tc>
          <w:tcPr>
            <w:tcW w:w="4440" w:type="dxa"/>
            <w:vAlign w:val="bottom"/>
          </w:tcPr>
          <w:p>
            <w:pPr>
              <w:ind w:left="60"/>
              <w:spacing w:after="0"/>
              <w:rPr>
                <w:sz w:val="20"/>
                <w:szCs w:val="20"/>
                <w:color w:val="auto"/>
              </w:rPr>
            </w:pPr>
            <w:r>
              <w:rPr>
                <w:rFonts w:ascii="Arial" w:cs="Arial" w:eastAsia="Arial" w:hAnsi="Arial"/>
                <w:sz w:val="19"/>
                <w:szCs w:val="19"/>
                <w:color w:val="auto"/>
              </w:rPr>
              <w:t>IAM</w:t>
            </w:r>
          </w:p>
        </w:tc>
        <w:tc>
          <w:tcPr>
            <w:tcW w:w="80" w:type="dxa"/>
            <w:vAlign w:val="bottom"/>
          </w:tcPr>
          <w:p>
            <w:pPr>
              <w:spacing w:after="0"/>
              <w:rPr>
                <w:sz w:val="23"/>
                <w:szCs w:val="23"/>
                <w:color w:val="auto"/>
              </w:rPr>
            </w:pPr>
          </w:p>
        </w:tc>
        <w:tc>
          <w:tcPr>
            <w:tcW w:w="1500" w:type="dxa"/>
            <w:vAlign w:val="bottom"/>
          </w:tcPr>
          <w:p>
            <w:pPr>
              <w:ind w:left="40"/>
              <w:spacing w:after="0"/>
              <w:rPr>
                <w:sz w:val="20"/>
                <w:szCs w:val="20"/>
                <w:color w:val="auto"/>
              </w:rPr>
            </w:pPr>
            <w:r>
              <w:rPr>
                <w:rFonts w:ascii="Arial" w:cs="Arial" w:eastAsia="Arial" w:hAnsi="Arial"/>
                <w:sz w:val="19"/>
                <w:szCs w:val="19"/>
                <w:color w:val="auto"/>
              </w:rPr>
              <w:t>May 2025</w:t>
            </w:r>
          </w:p>
        </w:tc>
        <w:tc>
          <w:tcPr>
            <w:tcW w:w="0" w:type="dxa"/>
            <w:vAlign w:val="bottom"/>
          </w:tcPr>
          <w:p>
            <w:pPr>
              <w:spacing w:after="0"/>
              <w:rPr>
                <w:sz w:val="1"/>
                <w:szCs w:val="1"/>
                <w:color w:val="auto"/>
              </w:rPr>
            </w:pPr>
          </w:p>
        </w:tc>
      </w:tr>
      <w:tr>
        <w:trPr>
          <w:trHeight w:val="283"/>
        </w:trPr>
        <w:tc>
          <w:tcPr>
            <w:tcW w:w="258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Security Officers</w:t>
            </w:r>
          </w:p>
        </w:tc>
        <w:tc>
          <w:tcPr>
            <w:tcW w:w="12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50</w:t>
            </w:r>
          </w:p>
        </w:tc>
        <w:tc>
          <w:tcPr>
            <w:tcW w:w="160" w:type="dxa"/>
            <w:vAlign w:val="bottom"/>
            <w:shd w:val="clear" w:color="auto" w:fill="E6E6E6"/>
          </w:tcPr>
          <w:p>
            <w:pPr>
              <w:spacing w:after="0"/>
              <w:rPr>
                <w:sz w:val="24"/>
                <w:szCs w:val="24"/>
                <w:color w:val="auto"/>
              </w:rPr>
            </w:pPr>
          </w:p>
        </w:tc>
        <w:tc>
          <w:tcPr>
            <w:tcW w:w="4440" w:type="dxa"/>
            <w:vAlign w:val="bottom"/>
            <w:shd w:val="clear" w:color="auto" w:fill="E6E6E6"/>
          </w:tcPr>
          <w:p>
            <w:pPr>
              <w:ind w:left="60"/>
              <w:spacing w:after="0"/>
              <w:rPr>
                <w:sz w:val="20"/>
                <w:szCs w:val="20"/>
                <w:color w:val="auto"/>
              </w:rPr>
            </w:pPr>
            <w:r>
              <w:rPr>
                <w:rFonts w:ascii="Arial" w:cs="Arial" w:eastAsia="Arial" w:hAnsi="Arial"/>
                <w:sz w:val="19"/>
                <w:szCs w:val="19"/>
                <w:color w:val="auto"/>
              </w:rPr>
              <w:t>IAM</w:t>
            </w:r>
          </w:p>
        </w:tc>
        <w:tc>
          <w:tcPr>
            <w:tcW w:w="80" w:type="dxa"/>
            <w:vAlign w:val="bottom"/>
            <w:shd w:val="clear" w:color="auto" w:fill="E6E6E6"/>
          </w:tcPr>
          <w:p>
            <w:pPr>
              <w:spacing w:after="0"/>
              <w:rPr>
                <w:sz w:val="24"/>
                <w:szCs w:val="24"/>
                <w:color w:val="auto"/>
              </w:rPr>
            </w:pPr>
          </w:p>
        </w:tc>
        <w:tc>
          <w:tcPr>
            <w:tcW w:w="1500" w:type="dxa"/>
            <w:vAlign w:val="bottom"/>
            <w:shd w:val="clear" w:color="auto" w:fill="E6E6E6"/>
          </w:tcPr>
          <w:p>
            <w:pPr>
              <w:ind w:left="40"/>
              <w:spacing w:after="0"/>
              <w:rPr>
                <w:sz w:val="20"/>
                <w:szCs w:val="20"/>
                <w:color w:val="auto"/>
              </w:rPr>
            </w:pPr>
            <w:r>
              <w:rPr>
                <w:rFonts w:ascii="Arial" w:cs="Arial" w:eastAsia="Arial" w:hAnsi="Arial"/>
                <w:sz w:val="19"/>
                <w:szCs w:val="19"/>
                <w:color w:val="auto"/>
              </w:rPr>
              <w:t>May 2025</w:t>
            </w:r>
          </w:p>
        </w:tc>
        <w:tc>
          <w:tcPr>
            <w:tcW w:w="0" w:type="dxa"/>
            <w:vAlign w:val="bottom"/>
          </w:tcPr>
          <w:p>
            <w:pPr>
              <w:spacing w:after="0"/>
              <w:rPr>
                <w:sz w:val="1"/>
                <w:szCs w:val="1"/>
                <w:color w:val="auto"/>
              </w:rPr>
            </w:pPr>
          </w:p>
        </w:tc>
      </w:tr>
      <w:tr>
        <w:trPr>
          <w:trHeight w:val="572"/>
        </w:trPr>
        <w:tc>
          <w:tcPr>
            <w:tcW w:w="2580" w:type="dxa"/>
            <w:vAlign w:val="bottom"/>
            <w:gridSpan w:val="2"/>
          </w:tcPr>
          <w:p>
            <w:pPr>
              <w:ind w:left="60"/>
              <w:spacing w:after="0"/>
              <w:rPr>
                <w:sz w:val="20"/>
                <w:szCs w:val="20"/>
                <w:color w:val="auto"/>
              </w:rPr>
            </w:pPr>
            <w:r>
              <w:rPr>
                <w:rFonts w:ascii="Arial" w:cs="Arial" w:eastAsia="Arial" w:hAnsi="Arial"/>
                <w:sz w:val="19"/>
                <w:szCs w:val="19"/>
                <w:b w:val="1"/>
                <w:bCs w:val="1"/>
                <w:color w:val="auto"/>
                <w:w w:val="95"/>
              </w:rPr>
              <w:t>United Ground Express, Inc.:</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560" w:type="dxa"/>
            <w:vAlign w:val="bottom"/>
            <w:tcBorders>
              <w:top w:val="single" w:sz="8" w:color="auto"/>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Passenger Service</w:t>
            </w:r>
          </w:p>
        </w:tc>
        <w:tc>
          <w:tcPr>
            <w:tcW w:w="20" w:type="dxa"/>
            <w:vAlign w:val="bottom"/>
            <w:tcBorders>
              <w:top w:val="single" w:sz="8" w:color="E6E6E6"/>
            </w:tcBorders>
            <w:shd w:val="clear" w:color="auto" w:fill="E6E6E6"/>
          </w:tcPr>
          <w:p>
            <w:pPr>
              <w:spacing w:after="0"/>
              <w:rPr>
                <w:sz w:val="23"/>
                <w:szCs w:val="23"/>
                <w:color w:val="auto"/>
              </w:rPr>
            </w:pPr>
          </w:p>
        </w:tc>
        <w:tc>
          <w:tcPr>
            <w:tcW w:w="1200" w:type="dxa"/>
            <w:vAlign w:val="bottom"/>
            <w:tcBorders>
              <w:top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color w:val="auto"/>
              </w:rPr>
              <w:t>6,727</w:t>
            </w:r>
          </w:p>
        </w:tc>
        <w:tc>
          <w:tcPr>
            <w:tcW w:w="160" w:type="dxa"/>
            <w:vAlign w:val="bottom"/>
            <w:tcBorders>
              <w:top w:val="single" w:sz="8" w:color="E6E6E6"/>
            </w:tcBorders>
            <w:shd w:val="clear" w:color="auto" w:fill="E6E6E6"/>
          </w:tcPr>
          <w:p>
            <w:pPr>
              <w:spacing w:after="0"/>
              <w:rPr>
                <w:sz w:val="23"/>
                <w:szCs w:val="23"/>
                <w:color w:val="auto"/>
              </w:rPr>
            </w:pPr>
          </w:p>
        </w:tc>
        <w:tc>
          <w:tcPr>
            <w:tcW w:w="44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IAM</w:t>
            </w:r>
          </w:p>
        </w:tc>
        <w:tc>
          <w:tcPr>
            <w:tcW w:w="80" w:type="dxa"/>
            <w:vAlign w:val="bottom"/>
            <w:tcBorders>
              <w:top w:val="single" w:sz="8" w:color="E6E6E6"/>
            </w:tcBorders>
            <w:shd w:val="clear" w:color="auto" w:fill="E6E6E6"/>
          </w:tcPr>
          <w:p>
            <w:pPr>
              <w:spacing w:after="0"/>
              <w:rPr>
                <w:sz w:val="23"/>
                <w:szCs w:val="23"/>
                <w:color w:val="auto"/>
              </w:rPr>
            </w:pPr>
          </w:p>
        </w:tc>
        <w:tc>
          <w:tcPr>
            <w:tcW w:w="150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19"/>
                <w:szCs w:val="19"/>
                <w:color w:val="auto"/>
              </w:rPr>
              <w:t>March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-3172460</wp:posOffset>
            </wp:positionV>
            <wp:extent cx="165163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extLst>
                    </a:blip>
                    <a:srcRect/>
                    <a:stretch>
                      <a:fillRect/>
                    </a:stretch>
                  </pic:blipFill>
                  <pic:spPr bwMode="auto">
                    <a:xfrm>
                      <a:off x="0" y="0"/>
                      <a:ext cx="1651635" cy="2540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-187960</wp:posOffset>
            </wp:positionV>
            <wp:extent cx="165163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1651635" cy="25400"/>
                    </a:xfrm>
                    <a:prstGeom prst="rect">
                      <a:avLst/>
                    </a:prstGeom>
                    <a:noFill/>
                  </pic:spPr>
                </pic:pic>
              </a:graphicData>
            </a:graphic>
          </wp:anchor>
        </w:drawing>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u w:val="single" w:color="auto"/>
          <w:color w:val="auto"/>
        </w:rPr>
        <w:t>Board Oversight</w:t>
      </w:r>
      <w:r>
        <w:rPr>
          <w:rFonts w:ascii="Arial" w:cs="Arial" w:eastAsia="Arial" w:hAnsi="Arial"/>
          <w:sz w:val="18"/>
          <w:szCs w:val="18"/>
          <w:color w:val="auto"/>
        </w:rPr>
        <w:t>: The Company's Board, assisted by several of its committees, plays a key role in the strategic oversight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regarding the development, implementation and effectiveness of the Company's policies and strategies relating to human capital management. The Board's Executive Committee oversees and reviews significant human capital strategies, including culture and talent management matters, and the Board's Public Responsibility Committee reviews and monitors the development and implementation of the Company's people impact strategic goals and objectives. Many of the Company's Board members have experience overseeing workforce issues as CEOs and presidents of other companies or organizations. The Compensation Committee also engages an independent compensation and benefits consulting firm to help evaluate the Company's executive compensation and benefit programs and to provide benchmarking against a group of peer companies, including peers within the airline industry.</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Industry Regulation</w:t>
      </w:r>
    </w:p>
    <w:p>
      <w:pPr>
        <w:spacing w:after="0" w:line="196"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auto"/>
        </w:rPr>
        <w:t>Airlines are subject to extensive domestic and international regulatory oversight. The following discussion summarizes the principal elements of the regulatory framework applicable to our business. Regulatory requirements, including but not limited to those discussed below, affect our operations and increase our operating costs, and future regulatory developments may continue to do the same. In addition, should any of our governmental authorizations or certificates be modified, suspended or revoked, our business and competitive position could be materially adversely affected. See Part I, Item 1A. Risk Factors—</w:t>
      </w:r>
      <w:r>
        <w:rPr>
          <w:rFonts w:ascii="Arial" w:cs="Arial" w:eastAsia="Arial" w:hAnsi="Arial"/>
          <w:sz w:val="19"/>
          <w:szCs w:val="19"/>
          <w:b w:val="1"/>
          <w:bCs w:val="1"/>
          <w:i w:val="1"/>
          <w:iCs w:val="1"/>
          <w:color w:val="auto"/>
        </w:rPr>
        <w:t>"The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airline industry is subject to extensive government regulation, which imposes significant costs and may adversely impact our business, operating results and financial condition</w:t>
      </w:r>
      <w:r>
        <w:rPr>
          <w:rFonts w:ascii="Arial" w:cs="Arial" w:eastAsia="Arial" w:hAnsi="Arial"/>
          <w:sz w:val="19"/>
          <w:szCs w:val="19"/>
          <w:color w:val="auto"/>
        </w:rPr>
        <w:t>" for additional information on the material effects of compliance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government regulations.</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b w:val="1"/>
          <w:bCs w:val="1"/>
          <w:i w:val="1"/>
          <w:iCs w:val="1"/>
          <w:color w:val="auto"/>
        </w:rPr>
        <w:t xml:space="preserve">Domestic Regulation. </w:t>
      </w:r>
      <w:r>
        <w:rPr>
          <w:rFonts w:ascii="Arial" w:cs="Arial" w:eastAsia="Arial" w:hAnsi="Arial"/>
          <w:sz w:val="17"/>
          <w:szCs w:val="17"/>
          <w:color w:val="auto"/>
        </w:rPr>
        <w:t>All carriers engaged in air transportation in the United States are subject to regulation by the DOT.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Absent an exemption, no air carrier may provide air transportation of passengers or property without first being issued a DOT certificate of public convenience and necessity. The DOT also grants international route authority, approves international codeshare arrangements and regulates methods of competition. The DOT regulates consumer protection and maintains jurisdiction over advertising, denied boarding compensation, tarmac delays, baggage liability and other areas and may add additional expensive regulatory burdens in the future. The DOT has launched investigations or claimed rulemaking authority to regulate commercial agreements among carriers or between carriers and third parties in a wide variety of contexts.</w:t>
      </w:r>
    </w:p>
    <w:p>
      <w:pPr>
        <w:spacing w:after="0" w:line="110" w:lineRule="exact"/>
        <w:rPr>
          <w:sz w:val="20"/>
          <w:szCs w:val="20"/>
          <w:color w:val="auto"/>
        </w:rPr>
      </w:pPr>
    </w:p>
    <w:p>
      <w:pPr>
        <w:ind w:right="100"/>
        <w:spacing w:after="0" w:line="321" w:lineRule="auto"/>
        <w:rPr>
          <w:sz w:val="20"/>
          <w:szCs w:val="20"/>
          <w:color w:val="auto"/>
        </w:rPr>
      </w:pPr>
      <w:r>
        <w:rPr>
          <w:rFonts w:ascii="Arial" w:cs="Arial" w:eastAsia="Arial" w:hAnsi="Arial"/>
          <w:sz w:val="17"/>
          <w:szCs w:val="17"/>
          <w:color w:val="auto"/>
        </w:rPr>
        <w:t>Airlines are also regulated by the Federal Aviation Administration (the "FAA"), an agency within the DOT, primarily in the areas of flight safety, air carrier operations and aircraft maintenance and airworthiness. The FAA issues air carrier operating certificates and aircraft airworthiness certificates, prescribes maintenance procedures, oversees airport operations and regulates</w:t>
      </w:r>
    </w:p>
    <w:p>
      <w:pPr>
        <w:sectPr>
          <w:pgSz w:w="11880" w:h="15480" w:orient="portrait"/>
          <w:cols w:equalWidth="0" w:num="1">
            <w:col w:w="9960"/>
          </w:cols>
          <w:pgMar w:left="960" w:top="625" w:right="960" w:bottom="33"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9960"/>
          </w:cols>
          <w:pgMar w:left="960" w:top="625" w:right="960" w:bottom="33" w:gutter="0" w:footer="0" w:header="0"/>
          <w:type w:val="continuous"/>
        </w:sectPr>
      </w:pPr>
    </w:p>
    <w:bookmarkStart w:id="14" w:name="page15"/>
    <w:bookmarkEnd w:id="14"/>
    <w:p>
      <w:pPr>
        <w:ind w:right="100"/>
        <w:spacing w:after="0" w:line="276" w:lineRule="auto"/>
        <w:rPr>
          <w:sz w:val="20"/>
          <w:szCs w:val="20"/>
          <w:color w:val="auto"/>
        </w:rPr>
      </w:pPr>
      <w:r>
        <w:rPr>
          <w:rFonts w:ascii="Arial" w:cs="Arial" w:eastAsia="Arial" w:hAnsi="Arial"/>
          <w:sz w:val="18"/>
          <w:szCs w:val="18"/>
          <w:color w:val="auto"/>
        </w:rPr>
        <w:t>pilot and other employee training. From time to time, the FAA issues directives that require air carriers to inspect, modify or ground aircraft and other equipment, potentially causing the Company to incur substantial, unplanned expenses. The airline industry is also subject to numerous other federal laws and regulations. The U.S. Department of Homeland Security ("DHS") has jurisdiction over virtually every aspect of civil aviation security. The Antitrust Division of the U.S. Department of Justice ("DOJ") has jurisdiction over certain airline competition matters. The U.S. Postal Service has authority over certain aspects of the transportation of mail by airlines. Labor relations in the airline industry are generally governed by the RLA, a federal statute. The Company is also subject to investigation inquiries by the DOT, FAA, DOJ, DHS, the U.S. Food and Drug Administration, the U.S. Department of Agriculture, Centers for Disease Control and Prevention, the Occupational Safety and Health Administration and other U.S. regulatory bodies.</w:t>
      </w:r>
    </w:p>
    <w:p>
      <w:pPr>
        <w:spacing w:after="0" w:line="125"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b w:val="1"/>
          <w:bCs w:val="1"/>
          <w:i w:val="1"/>
          <w:iCs w:val="1"/>
          <w:u w:val="single" w:color="auto"/>
          <w:color w:val="auto"/>
        </w:rPr>
        <w:t>Airport Access.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Access to landing and take-off rights, or "slots," at several major U.S. airports served by the Company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subject to government regulation. Federally-mandated domestic slot restrictions that limit operations and regulate capacity currently apply at three airports: Reagan National Airport in Washington, D.C., and John F. Kennedy International Airport and LaGuardia Airport in the New York City metropolitan region. Additional restrictions on takeoff and landing slots at these and other airports may be implemented in the future and could affect the Company's rights of ownership and transfer as well as its operations.</w:t>
      </w:r>
    </w:p>
    <w:p>
      <w:pPr>
        <w:spacing w:after="0" w:line="130" w:lineRule="exact"/>
        <w:rPr>
          <w:sz w:val="20"/>
          <w:szCs w:val="20"/>
          <w:color w:val="auto"/>
        </w:rPr>
      </w:pPr>
    </w:p>
    <w:p>
      <w:pPr>
        <w:spacing w:after="0" w:line="310" w:lineRule="auto"/>
        <w:rPr>
          <w:sz w:val="20"/>
          <w:szCs w:val="20"/>
          <w:color w:val="auto"/>
        </w:rPr>
      </w:pPr>
      <w:r>
        <w:rPr>
          <w:rFonts w:ascii="Arial" w:cs="Arial" w:eastAsia="Arial" w:hAnsi="Arial"/>
          <w:sz w:val="17"/>
          <w:szCs w:val="17"/>
          <w:b w:val="1"/>
          <w:bCs w:val="1"/>
          <w:i w:val="1"/>
          <w:iCs w:val="1"/>
          <w:u w:val="single" w:color="auto"/>
          <w:color w:val="auto"/>
        </w:rPr>
        <w:t>Legislation</w:t>
      </w:r>
      <w:r>
        <w:rPr>
          <w:rFonts w:ascii="Arial" w:cs="Arial" w:eastAsia="Arial" w:hAnsi="Arial"/>
          <w:sz w:val="17"/>
          <w:szCs w:val="17"/>
          <w:u w:val="single" w:color="auto"/>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airline industry is subject to legislative actions (or inactions) that may have an impact on operations and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May 2024, the U.S. Congress approved the FAA Reauthorization Act of 2024, expiring September 30, 2028. Among other things, the FAA reauthorization increased the authorized funding level for the FAA and required the hiring of additional air traffic controllers, an effort to address staffing and resource shortages and improve the operation of the ATC system in the U.S.</w:t>
      </w:r>
    </w:p>
    <w:p>
      <w:pPr>
        <w:spacing w:after="0" w:line="94"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b w:val="1"/>
          <w:bCs w:val="1"/>
          <w:i w:val="1"/>
          <w:iCs w:val="1"/>
          <w:color w:val="auto"/>
        </w:rPr>
        <w:t xml:space="preserve">International Regulation. </w:t>
      </w:r>
      <w:r>
        <w:rPr>
          <w:rFonts w:ascii="Arial" w:cs="Arial" w:eastAsia="Arial" w:hAnsi="Arial"/>
          <w:sz w:val="19"/>
          <w:szCs w:val="19"/>
          <w:color w:val="auto"/>
        </w:rPr>
        <w:t>International air transportation is subject to extensive government regulation. In connection with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international services, the Company is regulated by both the U.S. government and the governments of the foreign countries or regions the Company serves. In addition, the availability of international routes to U.S. carriers is regulated by aviation agreements between the U.S. and foreign governments and in some cases, fares and schedules require the approval of the DOT and/or the relevant foreign governments.</w:t>
      </w:r>
    </w:p>
    <w:p>
      <w:pPr>
        <w:spacing w:after="0" w:line="130"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b w:val="1"/>
          <w:bCs w:val="1"/>
          <w:i w:val="1"/>
          <w:iCs w:val="1"/>
          <w:u w:val="single" w:color="auto"/>
          <w:color w:val="auto"/>
        </w:rPr>
        <w:t>Legislation.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Foreign countries are increasingly enacting passenger protection laws, rules and regulations that meet or exceed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requirements. In cases where this activity exceeds U.S. requirements, additional burden and liability may be placed on the Company. Certain countries have regulations requiring passenger compensation from the Company and/or enforcement penalties in addition to changes in operating procedures due to overbooked, canceled or delayed flights.</w:t>
      </w:r>
    </w:p>
    <w:p>
      <w:pPr>
        <w:spacing w:after="0" w:line="109"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i w:val="1"/>
          <w:iCs w:val="1"/>
          <w:u w:val="single" w:color="auto"/>
          <w:color w:val="auto"/>
        </w:rPr>
        <w:t>Airport Access.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Historically, access to foreign routes has been tightly controlled through bilateral agreements between the 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each foreign jurisdiction involved. These agreements regulate the routes served, the number of carriers allowed to serve each route and the frequency of carriers' flights. Since the early 1990s, the U.S. has pursued a policy of "Open Skies" (meaning all U.S. and foreign carriers have access to the destination) under which the U.S. government has negotiated a number of bilateral agreements allowing unrestricted access between U.S. and foreign points. Currently, there are more than 100 Open Skies agreements in effect. However, even with Open Skies, many of the airports that the Company serves in Asia, Africa, the Middle East, the Pacific, Europe, and Latin America maintain slot controls. A large number of these slot controls exist due to congestion, environmental and noise protection and reduced capacity due to runway and ATC construction work, among other reasons.</w:t>
      </w:r>
    </w:p>
    <w:p>
      <w:pPr>
        <w:spacing w:after="0" w:line="138" w:lineRule="exact"/>
        <w:rPr>
          <w:sz w:val="20"/>
          <w:szCs w:val="20"/>
          <w:color w:val="auto"/>
        </w:rPr>
      </w:pPr>
    </w:p>
    <w:p>
      <w:pPr>
        <w:ind w:right="140"/>
        <w:spacing w:after="0" w:line="324" w:lineRule="auto"/>
        <w:rPr>
          <w:sz w:val="20"/>
          <w:szCs w:val="20"/>
          <w:color w:val="auto"/>
        </w:rPr>
      </w:pPr>
      <w:r>
        <w:rPr>
          <w:rFonts w:ascii="Arial" w:cs="Arial" w:eastAsia="Arial" w:hAnsi="Arial"/>
          <w:sz w:val="17"/>
          <w:szCs w:val="17"/>
          <w:b w:val="1"/>
          <w:bCs w:val="1"/>
          <w:i w:val="1"/>
          <w:iCs w:val="1"/>
          <w:color w:val="auto"/>
        </w:rPr>
        <w:t xml:space="preserve">Environmental Regulation. </w:t>
      </w:r>
      <w:r>
        <w:rPr>
          <w:rFonts w:ascii="Arial" w:cs="Arial" w:eastAsia="Arial" w:hAnsi="Arial"/>
          <w:sz w:val="17"/>
          <w:szCs w:val="17"/>
          <w:color w:val="auto"/>
        </w:rPr>
        <w:t>The airline industry is subject to stringent federal, state, local and international environmental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regulations, including those regulating emissions to air, water discharges, safe drinking water and the use and management of hazardous substances and wastes. The Company endeavors to comply with all applicable environmental regulations.</w:t>
      </w:r>
    </w:p>
    <w:p>
      <w:pPr>
        <w:spacing w:after="0" w:line="83"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b w:val="1"/>
          <w:bCs w:val="1"/>
          <w:i w:val="1"/>
          <w:iCs w:val="1"/>
          <w:u w:val="single" w:color="auto"/>
          <w:color w:val="auto"/>
        </w:rPr>
        <w:t>Climate Change and Sustainability.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outlined above, the Company's commitment to becoming a more environmentally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sustainable company extends beyond seeking to comply with regulatory requirements. At the same time, efforts to reduce carbon emissions through environmental sustainability legislation and regulation, or non-binding standards or accords, is an increased focus of global, national and regional regulators. The International Civil Aviation Organization's ("ICAO") Carbon Offsetting and Reduction Scheme for International Aviation ("CORSIA"), adopted in October 2016, is intended to be a single global market-based measure to achieve carbon-neutral growth for international aviation, by requiring airlines to purchase eligible carbon offsets for emissions through the 2024-2035 compliance periods. CORSIA also allows airlines to lower their carbon offsetting obligations through the use of eligible sustainable fuels. Offsetting requirements for a given year are determined by multiplying the operator's annual CO2 emissions by a sectoral growth factor established by the ICAO. In October 2025, the ICAO issued the 2024 annual sectoral growth factor, which was greater than zero for the first time. United's anticipated CORSIA compliance costs for the first phase, 2024-2026, for which compliance is intended to be demonstrated by 2028, may be substantial. The exact mechanism by which CORSIA will be implemented domestically is currently unknown as the federal government has not enacted legislation or regulations to implement the first phase of CORSIA.</w:t>
      </w:r>
    </w:p>
    <w:p>
      <w:pPr>
        <w:sectPr>
          <w:pgSz w:w="11880" w:h="15480" w:orient="portrait"/>
          <w:cols w:equalWidth="0" w:num="1">
            <w:col w:w="9880"/>
          </w:cols>
          <w:pgMar w:left="960" w:top="586" w:right="1040" w:bottom="33"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9880"/>
          </w:cols>
          <w:pgMar w:left="960" w:top="586" w:right="1040" w:bottom="33" w:gutter="0" w:footer="0" w:header="0"/>
          <w:type w:val="continuous"/>
        </w:sectPr>
      </w:pPr>
    </w:p>
    <w:bookmarkStart w:id="15" w:name="page16"/>
    <w:bookmarkEnd w:id="15"/>
    <w:p>
      <w:pPr>
        <w:ind w:right="40"/>
        <w:spacing w:after="0" w:line="268" w:lineRule="auto"/>
        <w:rPr>
          <w:sz w:val="20"/>
          <w:szCs w:val="20"/>
          <w:color w:val="auto"/>
        </w:rPr>
      </w:pPr>
      <w:r>
        <w:rPr>
          <w:rFonts w:ascii="Arial" w:cs="Arial" w:eastAsia="Arial" w:hAnsi="Arial"/>
          <w:sz w:val="18"/>
          <w:szCs w:val="18"/>
          <w:color w:val="auto"/>
        </w:rPr>
        <w:t>Other jurisdictions are proposing or enacting regulations to limit GHG emissions from aviation. A policy to regulate GHG emissions from aviation known as the European Union ("EU") Emission Trading System ("ETS") was adopted in 2009, but applicability to flights arriving at or departing from airports outside the EU has been postponed several times, most recently until 2027. The extension of the EU ETS to extra-EU flights could still occur in future years, depending on the EU government's assessment of the effectiveness of CORSIA. Domestically, in December 2020, the U.S. Environmental Protection Agency ("EPA") adopted its own aircraft and aircraft engine GHG emissions standards, which are aligned with the 2017 ICAO airplane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 standards. In February 2024, the same standards were finalized by the FAA, mandating improved fuel-efficient technologies for airplanes manufactured after January 1, 2028.</w:t>
      </w:r>
    </w:p>
    <w:p>
      <w:pPr>
        <w:spacing w:after="0" w:line="12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Company believes that policies that incentivize the production of SAF, such as the passage of tax credit incentives for the production of SAF, will enable the Company to decarbonize its operations more cost efficiently than a patchwork of regulatory requirements on aviation, particularly those that require airlines to reduce flights or impose the cost of transitioning to low-carbon alternatives disproportionately on airlines. The Company lauded the adoption of incentives for SAF that were implemented at both the federal level and in several states and will continue to work with policymakers to adopt policies that incentivize the production of SAF to allow the industry to transition to a lower carbon future. In addition, while the Company continues to plan on meeting its mid-term and long-term climate goals without relying on voluntary, traditional carbon offsets, the Company may be subject to future regulatory requirements that require the purchase of non-voluntary, traditional carbon offsets, which may expose the Company to additional costs associated with the procurement of offsets or limited supply in the carbon offsets market. The Company believes that policies that promote in-sector emissions reductions, rather than carbon offset purchases, will better support the industry's transition to a lower carbon future.</w:t>
      </w:r>
    </w:p>
    <w:p>
      <w:pPr>
        <w:spacing w:after="0" w:line="127"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At the state level, the regulatory approach taken so far has largely been focused on incentivizing the production and use of SAF. Various states, including California, have developed low carbon fuel standards that incentivize the use of SAF, while others, including Illinois, have adopted SAF-specific tax credits.</w:t>
      </w:r>
    </w:p>
    <w:p>
      <w:pPr>
        <w:spacing w:after="0" w:line="1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Globally, in the past several years, there has been a proliferation of SAF mandates requiring suppliers to blend a certain percentage of SAF into the jet fuel supply. In 2025, two significant SAF mandate policies went into effect: ReFuelEU and the UK's Renewable Transport Fuel Obligations (Sustainable Aviation Fuel) Order, both of which require aviation fuel suppliers to supply a minimum of 2% SAF into their jet fuel supply starting in 2025 and increasing in subsequent years. Outside of SAF uplift reporting obligations under ReFuelEU, these mandates do not impose compliance obligations on the Company but have led to significantly higher fuel prices across the EU and UK. Other countries are planning to implement similar policies. Costs from the proliferation of SAF mandates globally are expected to increase as the various mandated SAF blend targets increase each year and additional similar policies are adopted.</w:t>
      </w:r>
    </w:p>
    <w:p>
      <w:pPr>
        <w:spacing w:after="0" w:line="126"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Other regulations are also emerging globally that would require companies such as United to increasingly measure, disclose and mitigate environmental sustainability risks both within their operations and their supply chains, such as the EU's Corporate Sustainability Due Diligence Directive and Corporate Sustainability Reporting Directive. At the state level, in October 2023, California enacted legislation that requires certain companies that do business in California to disclose certain climate-related information. These laws are currently subject to ongoing legal challenges and it is unclear how the legal challenges will impact the timeline for compliance with the California climate disclosure requirements.</w:t>
      </w:r>
    </w:p>
    <w:p>
      <w:pPr>
        <w:spacing w:after="0" w:line="120"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b w:val="1"/>
          <w:bCs w:val="1"/>
          <w:i w:val="1"/>
          <w:iCs w:val="1"/>
          <w:u w:val="single" w:color="auto"/>
          <w:color w:val="auto"/>
        </w:rPr>
        <w:t>Other Regulations</w:t>
      </w:r>
      <w:r>
        <w:rPr>
          <w:rFonts w:ascii="Arial" w:cs="Arial" w:eastAsia="Arial" w:hAnsi="Arial"/>
          <w:sz w:val="19"/>
          <w:szCs w:val="19"/>
          <w:u w:val="single" w:color="auto"/>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operations are subject to a variety of other environmental laws and regulations both in the United States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internationally. These include noise-related restrictions on aircraft types and operating times and state and local air quality initiatives which have resulted in, or could in the future result in, curtailments in services, increased operating costs, limits on expansion or further emission reduction requirements. Certain airports and/or governments, both domestically and internationally, either have established or are seeking to establish environmental fees and other requirements applicable to carbon emissions, local air quality pollutants and/or noise and the use of products and material such as single-use plastics. The implementation of these requirements is expected to result in increased operational costs to develop compliance programs and strategies.</w:t>
      </w:r>
    </w:p>
    <w:p>
      <w:pPr>
        <w:spacing w:after="0" w:line="139"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color w:val="auto"/>
        </w:rPr>
        <w:t>Governmental authorities in the U.S. and abroad have passed legislation restricting the use of per- and polyfluoroalkyl substances ("PFAS") which have been used in manufacturing, industrial, and consumer applications, including those related to aviation. Certain state governments and local municipalities have adopted legislation prohibiting the use of Class B firefighting foam agents that contain intentionally added PFAS. As a result, the Company continues to incur costs to convert existing fixed foam fire suppression systems to accommodate PFAS-free firefighting foam agents. In addition, the EPA has developed the PFAS Strategic Roadmap, which includes regulatory actions across a wide spectrum of its statutory authorities, including the Comprehensive Environmental Response, Compensation, and Liability Act ("CERCLA"), the Resource Conservation and Recovery Act, the Clean Water Act, the Toxic Substances Control Act and the Safe Drinking Water Act. The Company expects these broad regulatory policies, in addition to lease obligations, will increase the risk of incurring remediation costs and/or liabilities at current and former locations at which the Company currently or historically used fire-fighting foam agents or other</w:t>
      </w:r>
    </w:p>
    <w:p>
      <w:pPr>
        <w:sectPr>
          <w:pgSz w:w="11880" w:h="15480" w:orient="portrait"/>
          <w:cols w:equalWidth="0" w:num="1">
            <w:col w:w="9940"/>
          </w:cols>
          <w:pgMar w:left="960" w:top="586" w:right="980" w:bottom="33"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9940"/>
          </w:cols>
          <w:pgMar w:left="960" w:top="586" w:right="980" w:bottom="33" w:gutter="0" w:footer="0" w:header="0"/>
          <w:type w:val="continuous"/>
        </w:sectPr>
      </w:pPr>
    </w:p>
    <w:bookmarkStart w:id="16" w:name="page17"/>
    <w:bookmarkEnd w:id="16"/>
    <w:p>
      <w:pPr>
        <w:ind w:right="40"/>
        <w:spacing w:after="0" w:line="280" w:lineRule="auto"/>
        <w:rPr>
          <w:sz w:val="20"/>
          <w:szCs w:val="20"/>
          <w:color w:val="auto"/>
        </w:rPr>
      </w:pPr>
      <w:r>
        <w:rPr>
          <w:rFonts w:ascii="Arial" w:cs="Arial" w:eastAsia="Arial" w:hAnsi="Arial"/>
          <w:sz w:val="18"/>
          <w:szCs w:val="18"/>
          <w:color w:val="auto"/>
        </w:rPr>
        <w:t>materials containing PFOA, PFOS or other PFAS substances. To mitigate these risks, the Company is working to remove PFAS-containing fire-fighting foam from its hangars and other assets through a phased retrofit/replacement strategy and is committed to transitioning to PFAS-free materials for fire suppression. Finally, environmental cleanup laws and lease obligations could require the Company to undertake (or subject the Company to liability for costs associated with) investigation and remediation actions at certain owned or leased locations or third-party disposal locations. Future costs to comply with such regulations will remain uncertain but are likely to increase our operating costs over time.</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Information about Our Executive Officers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Below is a list of the Company's executive officers as of the date hereof, including their name, office(s) held and age.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840" w:type="dxa"/>
            <w:vAlign w:val="bottom"/>
          </w:tcPr>
          <w:p>
            <w:pPr>
              <w:ind w:left="60"/>
              <w:spacing w:after="0"/>
              <w:rPr>
                <w:sz w:val="20"/>
                <w:szCs w:val="20"/>
                <w:color w:val="auto"/>
              </w:rPr>
            </w:pPr>
            <w:r>
              <w:rPr>
                <w:rFonts w:ascii="Arial" w:cs="Arial" w:eastAsia="Arial" w:hAnsi="Arial"/>
                <w:sz w:val="19"/>
                <w:szCs w:val="19"/>
                <w:b w:val="1"/>
                <w:bCs w:val="1"/>
                <w:color w:val="auto"/>
              </w:rPr>
              <w:t>Name</w:t>
            </w:r>
          </w:p>
        </w:tc>
        <w:tc>
          <w:tcPr>
            <w:tcW w:w="180" w:type="dxa"/>
            <w:vAlign w:val="bottom"/>
          </w:tcPr>
          <w:p>
            <w:pPr>
              <w:spacing w:after="0"/>
              <w:rPr>
                <w:sz w:val="22"/>
                <w:szCs w:val="22"/>
                <w:color w:val="auto"/>
              </w:rPr>
            </w:pPr>
          </w:p>
        </w:tc>
        <w:tc>
          <w:tcPr>
            <w:tcW w:w="5940" w:type="dxa"/>
            <w:vAlign w:val="bottom"/>
          </w:tcPr>
          <w:p>
            <w:pPr>
              <w:ind w:left="60"/>
              <w:spacing w:after="0"/>
              <w:rPr>
                <w:sz w:val="20"/>
                <w:szCs w:val="20"/>
                <w:color w:val="auto"/>
              </w:rPr>
            </w:pPr>
            <w:r>
              <w:rPr>
                <w:rFonts w:ascii="Arial" w:cs="Arial" w:eastAsia="Arial" w:hAnsi="Arial"/>
                <w:sz w:val="19"/>
                <w:szCs w:val="19"/>
                <w:b w:val="1"/>
                <w:bCs w:val="1"/>
                <w:color w:val="auto"/>
              </w:rPr>
              <w:t>Position</w:t>
            </w:r>
          </w:p>
        </w:tc>
        <w:tc>
          <w:tcPr>
            <w:tcW w:w="200" w:type="dxa"/>
            <w:vAlign w:val="bottom"/>
          </w:tcPr>
          <w:p>
            <w:pPr>
              <w:spacing w:after="0"/>
              <w:rPr>
                <w:sz w:val="22"/>
                <w:szCs w:val="22"/>
                <w:color w:val="auto"/>
              </w:rPr>
            </w:pPr>
          </w:p>
        </w:tc>
        <w:tc>
          <w:tcPr>
            <w:tcW w:w="460" w:type="dxa"/>
            <w:vAlign w:val="bottom"/>
            <w:gridSpan w:val="2"/>
          </w:tcPr>
          <w:p>
            <w:pPr>
              <w:ind w:left="40"/>
              <w:spacing w:after="0"/>
              <w:rPr>
                <w:sz w:val="20"/>
                <w:szCs w:val="20"/>
                <w:color w:val="auto"/>
              </w:rPr>
            </w:pPr>
            <w:r>
              <w:rPr>
                <w:rFonts w:ascii="Arial" w:cs="Arial" w:eastAsia="Arial" w:hAnsi="Arial"/>
                <w:sz w:val="19"/>
                <w:szCs w:val="19"/>
                <w:b w:val="1"/>
                <w:bCs w:val="1"/>
                <w:color w:val="auto"/>
              </w:rPr>
              <w:t>Age</w:t>
            </w:r>
          </w:p>
        </w:tc>
      </w:tr>
      <w:tr>
        <w:trPr>
          <w:trHeight w:val="26"/>
        </w:trPr>
        <w:tc>
          <w:tcPr>
            <w:tcW w:w="2840" w:type="dxa"/>
            <w:vAlign w:val="bottom"/>
            <w:tcBorders>
              <w:bottom w:val="single" w:sz="8" w:color="auto"/>
            </w:tcBorders>
          </w:tcPr>
          <w:p>
            <w:pPr>
              <w:spacing w:after="0"/>
              <w:rPr>
                <w:sz w:val="2"/>
                <w:szCs w:val="2"/>
                <w:color w:val="auto"/>
              </w:rPr>
            </w:pPr>
          </w:p>
        </w:tc>
        <w:tc>
          <w:tcPr>
            <w:tcW w:w="180" w:type="dxa"/>
            <w:vAlign w:val="bottom"/>
            <w:tcBorders>
              <w:bottom w:val="single" w:sz="8" w:color="E6E6E6"/>
            </w:tcBorders>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200" w:type="dxa"/>
            <w:vAlign w:val="bottom"/>
            <w:tcBorders>
              <w:bottom w:val="single" w:sz="8" w:color="E6E6E6"/>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r>
      <w:tr>
        <w:trPr>
          <w:trHeight w:val="266"/>
        </w:trPr>
        <w:tc>
          <w:tcPr>
            <w:tcW w:w="2840" w:type="dxa"/>
            <w:vAlign w:val="bottom"/>
            <w:shd w:val="clear" w:color="auto" w:fill="E6E6E6"/>
          </w:tcPr>
          <w:p>
            <w:pPr>
              <w:ind w:left="60"/>
              <w:spacing w:after="0"/>
              <w:rPr>
                <w:sz w:val="20"/>
                <w:szCs w:val="20"/>
                <w:color w:val="auto"/>
              </w:rPr>
            </w:pPr>
            <w:r>
              <w:rPr>
                <w:rFonts w:ascii="Arial" w:cs="Arial" w:eastAsia="Arial" w:hAnsi="Arial"/>
                <w:sz w:val="19"/>
                <w:szCs w:val="19"/>
                <w:color w:val="auto"/>
              </w:rPr>
              <w:t>Torbjorn (Toby) J. Enqvist</w:t>
            </w:r>
          </w:p>
        </w:tc>
        <w:tc>
          <w:tcPr>
            <w:tcW w:w="180" w:type="dxa"/>
            <w:vAlign w:val="bottom"/>
            <w:shd w:val="clear" w:color="auto" w:fill="E6E6E6"/>
          </w:tcPr>
          <w:p>
            <w:pPr>
              <w:spacing w:after="0"/>
              <w:rPr>
                <w:sz w:val="23"/>
                <w:szCs w:val="23"/>
                <w:color w:val="auto"/>
              </w:rPr>
            </w:pPr>
          </w:p>
        </w:tc>
        <w:tc>
          <w:tcPr>
            <w:tcW w:w="5940" w:type="dxa"/>
            <w:vAlign w:val="bottom"/>
            <w:shd w:val="clear" w:color="auto" w:fill="E6E6E6"/>
          </w:tcPr>
          <w:p>
            <w:pPr>
              <w:ind w:left="60"/>
              <w:spacing w:after="0"/>
              <w:rPr>
                <w:sz w:val="20"/>
                <w:szCs w:val="20"/>
                <w:color w:val="auto"/>
              </w:rPr>
            </w:pPr>
            <w:r>
              <w:rPr>
                <w:rFonts w:ascii="Arial" w:cs="Arial" w:eastAsia="Arial" w:hAnsi="Arial"/>
                <w:sz w:val="19"/>
                <w:szCs w:val="19"/>
                <w:color w:val="auto"/>
              </w:rPr>
              <w:t>Executive Vice President and Chief Operations Officer</w:t>
            </w:r>
          </w:p>
        </w:tc>
        <w:tc>
          <w:tcPr>
            <w:tcW w:w="200" w:type="dxa"/>
            <w:vAlign w:val="bottom"/>
            <w:shd w:val="clear" w:color="auto" w:fill="E6E6E6"/>
          </w:tcPr>
          <w:p>
            <w:pPr>
              <w:spacing w:after="0"/>
              <w:rPr>
                <w:sz w:val="23"/>
                <w:szCs w:val="23"/>
                <w:color w:val="auto"/>
              </w:rPr>
            </w:pPr>
          </w:p>
        </w:tc>
        <w:tc>
          <w:tcPr>
            <w:tcW w:w="4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54</w:t>
            </w:r>
          </w:p>
        </w:tc>
        <w:tc>
          <w:tcPr>
            <w:tcW w:w="20" w:type="dxa"/>
            <w:vAlign w:val="bottom"/>
            <w:shd w:val="clear" w:color="auto" w:fill="E6E6E6"/>
          </w:tcPr>
          <w:p>
            <w:pPr>
              <w:spacing w:after="0"/>
              <w:rPr>
                <w:sz w:val="23"/>
                <w:szCs w:val="23"/>
                <w:color w:val="auto"/>
              </w:rPr>
            </w:pPr>
          </w:p>
        </w:tc>
      </w:tr>
      <w:tr>
        <w:trPr>
          <w:trHeight w:val="253"/>
        </w:trPr>
        <w:tc>
          <w:tcPr>
            <w:tcW w:w="2840" w:type="dxa"/>
            <w:vAlign w:val="bottom"/>
          </w:tcPr>
          <w:p>
            <w:pPr>
              <w:ind w:left="60"/>
              <w:spacing w:after="0"/>
              <w:rPr>
                <w:sz w:val="20"/>
                <w:szCs w:val="20"/>
                <w:color w:val="auto"/>
              </w:rPr>
            </w:pPr>
            <w:r>
              <w:rPr>
                <w:rFonts w:ascii="Arial" w:cs="Arial" w:eastAsia="Arial" w:hAnsi="Arial"/>
                <w:sz w:val="19"/>
                <w:szCs w:val="19"/>
                <w:color w:val="auto"/>
              </w:rPr>
              <w:t>Kate Gebo</w:t>
            </w:r>
          </w:p>
        </w:tc>
        <w:tc>
          <w:tcPr>
            <w:tcW w:w="180" w:type="dxa"/>
            <w:vAlign w:val="bottom"/>
          </w:tcPr>
          <w:p>
            <w:pPr>
              <w:spacing w:after="0"/>
              <w:rPr>
                <w:sz w:val="22"/>
                <w:szCs w:val="22"/>
                <w:color w:val="auto"/>
              </w:rPr>
            </w:pPr>
          </w:p>
        </w:tc>
        <w:tc>
          <w:tcPr>
            <w:tcW w:w="5940" w:type="dxa"/>
            <w:vAlign w:val="bottom"/>
          </w:tcPr>
          <w:p>
            <w:pPr>
              <w:ind w:left="60"/>
              <w:spacing w:after="0"/>
              <w:rPr>
                <w:sz w:val="20"/>
                <w:szCs w:val="20"/>
                <w:color w:val="auto"/>
              </w:rPr>
            </w:pPr>
            <w:r>
              <w:rPr>
                <w:rFonts w:ascii="Arial" w:cs="Arial" w:eastAsia="Arial" w:hAnsi="Arial"/>
                <w:sz w:val="19"/>
                <w:szCs w:val="19"/>
                <w:color w:val="auto"/>
              </w:rPr>
              <w:t>Executive Vice President Human Resources and Labor Relations</w:t>
            </w: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57</w:t>
            </w:r>
          </w:p>
        </w:tc>
        <w:tc>
          <w:tcPr>
            <w:tcW w:w="20" w:type="dxa"/>
            <w:vAlign w:val="bottom"/>
          </w:tcPr>
          <w:p>
            <w:pPr>
              <w:spacing w:after="0"/>
              <w:rPr>
                <w:sz w:val="22"/>
                <w:szCs w:val="22"/>
                <w:color w:val="auto"/>
              </w:rPr>
            </w:pPr>
          </w:p>
        </w:tc>
      </w:tr>
      <w:tr>
        <w:trPr>
          <w:trHeight w:val="23"/>
        </w:trPr>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8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Brett J. Hart</w:t>
            </w:r>
          </w:p>
        </w:tc>
        <w:tc>
          <w:tcPr>
            <w:tcW w:w="180" w:type="dxa"/>
            <w:vAlign w:val="bottom"/>
            <w:tcBorders>
              <w:bottom w:val="single" w:sz="8" w:color="E6E6E6"/>
            </w:tcBorders>
            <w:shd w:val="clear" w:color="auto" w:fill="E6E6E6"/>
          </w:tcPr>
          <w:p>
            <w:pPr>
              <w:spacing w:after="0"/>
              <w:rPr>
                <w:sz w:val="22"/>
                <w:szCs w:val="22"/>
                <w:color w:val="auto"/>
              </w:rPr>
            </w:pPr>
          </w:p>
        </w:tc>
        <w:tc>
          <w:tcPr>
            <w:tcW w:w="5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President</w:t>
            </w:r>
          </w:p>
        </w:tc>
        <w:tc>
          <w:tcPr>
            <w:tcW w:w="64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color w:val="auto"/>
              </w:rPr>
              <w:t>56</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53"/>
        </w:trPr>
        <w:tc>
          <w:tcPr>
            <w:tcW w:w="2840" w:type="dxa"/>
            <w:vAlign w:val="bottom"/>
          </w:tcPr>
          <w:p>
            <w:pPr>
              <w:ind w:left="60"/>
              <w:spacing w:after="0"/>
              <w:rPr>
                <w:sz w:val="20"/>
                <w:szCs w:val="20"/>
                <w:color w:val="auto"/>
              </w:rPr>
            </w:pPr>
            <w:r>
              <w:rPr>
                <w:rFonts w:ascii="Arial" w:cs="Arial" w:eastAsia="Arial" w:hAnsi="Arial"/>
                <w:sz w:val="19"/>
                <w:szCs w:val="19"/>
                <w:color w:val="auto"/>
              </w:rPr>
              <w:t>J. Scott Kirby</w:t>
            </w:r>
          </w:p>
        </w:tc>
        <w:tc>
          <w:tcPr>
            <w:tcW w:w="180" w:type="dxa"/>
            <w:vAlign w:val="bottom"/>
          </w:tcPr>
          <w:p>
            <w:pPr>
              <w:spacing w:after="0"/>
              <w:rPr>
                <w:sz w:val="22"/>
                <w:szCs w:val="22"/>
                <w:color w:val="auto"/>
              </w:rPr>
            </w:pPr>
          </w:p>
        </w:tc>
        <w:tc>
          <w:tcPr>
            <w:tcW w:w="5940" w:type="dxa"/>
            <w:vAlign w:val="bottom"/>
          </w:tcPr>
          <w:p>
            <w:pPr>
              <w:ind w:left="60"/>
              <w:spacing w:after="0"/>
              <w:rPr>
                <w:sz w:val="20"/>
                <w:szCs w:val="20"/>
                <w:color w:val="auto"/>
              </w:rPr>
            </w:pPr>
            <w:r>
              <w:rPr>
                <w:rFonts w:ascii="Arial" w:cs="Arial" w:eastAsia="Arial" w:hAnsi="Arial"/>
                <w:sz w:val="19"/>
                <w:szCs w:val="19"/>
                <w:color w:val="auto"/>
              </w:rPr>
              <w:t>Chief Executive Officer</w:t>
            </w: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58</w:t>
            </w:r>
          </w:p>
        </w:tc>
        <w:tc>
          <w:tcPr>
            <w:tcW w:w="20" w:type="dxa"/>
            <w:vAlign w:val="bottom"/>
          </w:tcPr>
          <w:p>
            <w:pPr>
              <w:spacing w:after="0"/>
              <w:rPr>
                <w:sz w:val="22"/>
                <w:szCs w:val="22"/>
                <w:color w:val="auto"/>
              </w:rPr>
            </w:pPr>
          </w:p>
        </w:tc>
      </w:tr>
      <w:tr>
        <w:trPr>
          <w:trHeight w:val="23"/>
        </w:trPr>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8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Michael Leskinen</w:t>
            </w:r>
          </w:p>
        </w:tc>
        <w:tc>
          <w:tcPr>
            <w:tcW w:w="180" w:type="dxa"/>
            <w:vAlign w:val="bottom"/>
            <w:tcBorders>
              <w:bottom w:val="single" w:sz="8" w:color="E6E6E6"/>
            </w:tcBorders>
            <w:shd w:val="clear" w:color="auto" w:fill="E6E6E6"/>
          </w:tcPr>
          <w:p>
            <w:pPr>
              <w:spacing w:after="0"/>
              <w:rPr>
                <w:sz w:val="22"/>
                <w:szCs w:val="22"/>
                <w:color w:val="auto"/>
              </w:rPr>
            </w:pPr>
          </w:p>
        </w:tc>
        <w:tc>
          <w:tcPr>
            <w:tcW w:w="5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Executive Vice President and Chief Financial Officer</w:t>
            </w:r>
          </w:p>
        </w:tc>
        <w:tc>
          <w:tcPr>
            <w:tcW w:w="64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color w:val="auto"/>
              </w:rPr>
              <w:t>46</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53"/>
        </w:trPr>
        <w:tc>
          <w:tcPr>
            <w:tcW w:w="2840" w:type="dxa"/>
            <w:vAlign w:val="bottom"/>
          </w:tcPr>
          <w:p>
            <w:pPr>
              <w:ind w:left="60"/>
              <w:spacing w:after="0"/>
              <w:rPr>
                <w:sz w:val="20"/>
                <w:szCs w:val="20"/>
                <w:color w:val="auto"/>
              </w:rPr>
            </w:pPr>
            <w:r>
              <w:rPr>
                <w:rFonts w:ascii="Arial" w:cs="Arial" w:eastAsia="Arial" w:hAnsi="Arial"/>
                <w:sz w:val="19"/>
                <w:szCs w:val="19"/>
                <w:color w:val="auto"/>
              </w:rPr>
              <w:t>Andrew Nocella</w:t>
            </w:r>
          </w:p>
        </w:tc>
        <w:tc>
          <w:tcPr>
            <w:tcW w:w="180" w:type="dxa"/>
            <w:vAlign w:val="bottom"/>
          </w:tcPr>
          <w:p>
            <w:pPr>
              <w:spacing w:after="0"/>
              <w:rPr>
                <w:sz w:val="22"/>
                <w:szCs w:val="22"/>
                <w:color w:val="auto"/>
              </w:rPr>
            </w:pPr>
          </w:p>
        </w:tc>
        <w:tc>
          <w:tcPr>
            <w:tcW w:w="5940" w:type="dxa"/>
            <w:vAlign w:val="bottom"/>
          </w:tcPr>
          <w:p>
            <w:pPr>
              <w:ind w:left="60"/>
              <w:spacing w:after="0"/>
              <w:rPr>
                <w:sz w:val="20"/>
                <w:szCs w:val="20"/>
                <w:color w:val="auto"/>
              </w:rPr>
            </w:pPr>
            <w:r>
              <w:rPr>
                <w:rFonts w:ascii="Arial" w:cs="Arial" w:eastAsia="Arial" w:hAnsi="Arial"/>
                <w:sz w:val="19"/>
                <w:szCs w:val="19"/>
                <w:color w:val="auto"/>
              </w:rPr>
              <w:t>Executive Vice President and Chief Commercial Officer</w:t>
            </w: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56</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-1050925</wp:posOffset>
            </wp:positionV>
            <wp:extent cx="612457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6124575" cy="25400"/>
                    </a:xfrm>
                    <a:prstGeom prst="rect">
                      <a:avLst/>
                    </a:prstGeom>
                    <a:noFill/>
                  </pic:spPr>
                </pic:pic>
              </a:graphicData>
            </a:graphic>
          </wp:anchor>
        </w:drawing>
      </w:r>
    </w:p>
    <w:p>
      <w:pPr>
        <w:spacing w:after="0" w:line="214" w:lineRule="exact"/>
        <w:rPr>
          <w:sz w:val="20"/>
          <w:szCs w:val="20"/>
          <w:color w:val="auto"/>
        </w:rPr>
      </w:pPr>
    </w:p>
    <w:p>
      <w:pPr>
        <w:ind w:right="240"/>
        <w:spacing w:after="0" w:line="283" w:lineRule="auto"/>
        <w:rPr>
          <w:sz w:val="20"/>
          <w:szCs w:val="20"/>
          <w:color w:val="auto"/>
        </w:rPr>
      </w:pPr>
      <w:r>
        <w:rPr>
          <w:rFonts w:ascii="Arial" w:cs="Arial" w:eastAsia="Arial" w:hAnsi="Arial"/>
          <w:sz w:val="18"/>
          <w:szCs w:val="18"/>
          <w:color w:val="auto"/>
        </w:rPr>
        <w:t>Set forth below is a description of the background of each of the Company's executive officers. Executive officers are elected by UAL's Board for an initial term that continues until the first Board meeting following the next Annual Meeting of Stockholders and thereafter, are elected for a one-year term or until their successors have been chosen, or until their earlier death, resignation or removal. Executive officers serve at the discretion of the Board. Unless otherwise stated, employment is by UAL and United. There are no family relationships between any executive officer or director of UAL.</w:t>
      </w:r>
    </w:p>
    <w:p>
      <w:pPr>
        <w:spacing w:after="0" w:line="115" w:lineRule="exact"/>
        <w:rPr>
          <w:sz w:val="20"/>
          <w:szCs w:val="20"/>
          <w:color w:val="auto"/>
        </w:rPr>
      </w:pPr>
    </w:p>
    <w:p>
      <w:pPr>
        <w:ind w:right="60"/>
        <w:spacing w:after="0" w:line="295" w:lineRule="auto"/>
        <w:rPr>
          <w:sz w:val="20"/>
          <w:szCs w:val="20"/>
          <w:color w:val="auto"/>
        </w:rPr>
      </w:pPr>
      <w:r>
        <w:rPr>
          <w:rFonts w:ascii="Arial" w:cs="Arial" w:eastAsia="Arial" w:hAnsi="Arial"/>
          <w:sz w:val="17"/>
          <w:szCs w:val="17"/>
          <w:b w:val="1"/>
          <w:bCs w:val="1"/>
          <w:color w:val="auto"/>
        </w:rPr>
        <w:t xml:space="preserve">Torbjorn (Toby) J. Enqvist. </w:t>
      </w:r>
      <w:r>
        <w:rPr>
          <w:rFonts w:ascii="Arial" w:cs="Arial" w:eastAsia="Arial" w:hAnsi="Arial"/>
          <w:sz w:val="17"/>
          <w:szCs w:val="17"/>
          <w:color w:val="auto"/>
        </w:rPr>
        <w:t>Mr. Enqvist has served as Executive Vice President and Chief Operations Officer of UAL and</w:t>
      </w:r>
      <w:r>
        <w:rPr>
          <w:rFonts w:ascii="Arial" w:cs="Arial" w:eastAsia="Arial" w:hAnsi="Arial"/>
          <w:sz w:val="17"/>
          <w:szCs w:val="17"/>
          <w:b w:val="1"/>
          <w:bCs w:val="1"/>
          <w:color w:val="auto"/>
        </w:rPr>
        <w:t xml:space="preserve"> </w:t>
      </w:r>
      <w:r>
        <w:rPr>
          <w:rFonts w:ascii="Arial" w:cs="Arial" w:eastAsia="Arial" w:hAnsi="Arial"/>
          <w:sz w:val="17"/>
          <w:szCs w:val="17"/>
          <w:color w:val="auto"/>
        </w:rPr>
        <w:t>United since July 2022. From June 2021 to July 2022, he served as Executive Vice President and Chief Customer Officer of UAL and United. From August 2018 to May 2021, he served as Senior Vice President and Chief Customer Officer of UAL and United. From December 2017 to August 2018, he served as Senior Vice President of Network Operations and Customer Solutions of UAL and United. From July 2017 to December 2017, he served as Senior Vice President of Customer Solutions and Recovery of UAL and United. From December 2015 to June 2017, he served as Vice President Hubs Domestic &amp; International Line Stations. From January 2014 to November 2015, he served as Vice President Project Quality. From November 2011 to December 2013, he served as Vice President Newark Hub. From January 2010 to October 2011, he served as Vice President Security &amp; Environment Affairs. Mr. Enqvist joined Continental Airlines, Inc. ("Continental") in 1996.</w:t>
      </w:r>
    </w:p>
    <w:p>
      <w:pPr>
        <w:spacing w:after="0" w:line="108"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b w:val="1"/>
          <w:bCs w:val="1"/>
          <w:color w:val="auto"/>
        </w:rPr>
        <w:t xml:space="preserve">Kate Gebo. </w:t>
      </w:r>
      <w:r>
        <w:rPr>
          <w:rFonts w:ascii="Arial" w:cs="Arial" w:eastAsia="Arial" w:hAnsi="Arial"/>
          <w:sz w:val="19"/>
          <w:szCs w:val="19"/>
          <w:color w:val="auto"/>
        </w:rPr>
        <w:t>Ms. Gebo has served as Executive Vice President Human Resources and Labor Relations of UAL and United since</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2017. From November 2016 to November 2017, Ms. Gebo served as Senior Vice President, Global Customer Service Delivery and Chief Customer Officer of United. From October 2015 to November 2016, Ms. Gebo served as Vice President of the Office of the Chief Executive Officer of United. From November 2009 to October 2015, Ms. Gebo served as Vice President of Corporate Real Estate of United.</w:t>
      </w:r>
    </w:p>
    <w:p>
      <w:pPr>
        <w:spacing w:after="0" w:line="12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color w:val="auto"/>
        </w:rPr>
        <w:t xml:space="preserve">Brett J. Hart. </w:t>
      </w:r>
      <w:r>
        <w:rPr>
          <w:rFonts w:ascii="Arial" w:cs="Arial" w:eastAsia="Arial" w:hAnsi="Arial"/>
          <w:sz w:val="18"/>
          <w:szCs w:val="18"/>
          <w:color w:val="auto"/>
        </w:rPr>
        <w:t>Mr. Hart has served as President of UAL and United since May 2020. From March 2019 to May 2020, he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Executive Vice President and Chief Administrative Officer of UAL and United. From May 2017 to March 2019, he served as Executive Vice President, Chief Administrative Officer and General Counsel of UAL and United. From February 2012 to May 2017, he served as Executive Vice President and General Counsel of UAL and United. Mr. Hart served as acting Chief Executive Officer and principal executive officer of the Company, on an interim basis, from October 2015 to March 2016. From December 2010 to February 2012, he served as Senior Vice President, General Counsel and Secretary of UAL, United and Continental. From June 2009 to December 2010, Mr. Hart served as Executive Vice President, General Counsel and Corporate Secretary at Sara Lee Corporation, a consumer food and beverage company. From March 2005 to May 2009, Mr. Hart served as Deputy General Counsel and Chief Global Compliance Officer of Sara Lee Corporation.</w:t>
      </w:r>
    </w:p>
    <w:p>
      <w:pPr>
        <w:spacing w:after="0" w:line="120"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 xml:space="preserve">J. Scott Kirby. </w:t>
      </w:r>
      <w:r>
        <w:rPr>
          <w:rFonts w:ascii="Arial" w:cs="Arial" w:eastAsia="Arial" w:hAnsi="Arial"/>
          <w:sz w:val="18"/>
          <w:szCs w:val="18"/>
          <w:color w:val="auto"/>
        </w:rPr>
        <w:t>Mr. Kirby has served as Chief Executive Officer of UAL and United since May 2020. Mr. Kirby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UAL and United from August 2016 to May 2020. Prior to joining the Company, from December 2013 to August 2016, Mr. Kirby served as President of American Airlines Group and American Airlines, Inc. Mr. Kirby also previously served as President of US Airways from October 2006 to December 2013. Mr. Kirby held other significant leadership roles at US Airways and at America West prior to the 2005 merger of those carriers, including Executive Vice President—Sales and Marketing (2001 to 2006); Senior Vice President, e-business (2000 to 2001); Vice President, Revenue Management (1998 to 2000); Vice President, Planning (1997 to 1998); and Senior Director, Scheduling and Planning (1995 to 1998). Prior to joining America West, Mr. Kirby worked for American Airlines Decision Technologies and at the Pentagon.</w:t>
      </w:r>
    </w:p>
    <w:p>
      <w:pPr>
        <w:sectPr>
          <w:pgSz w:w="11880" w:h="15480" w:orient="portrait"/>
          <w:cols w:equalWidth="0" w:num="1">
            <w:col w:w="9960"/>
          </w:cols>
          <w:pgMar w:left="960" w:top="586" w:right="960" w:bottom="33"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9960"/>
          </w:cols>
          <w:pgMar w:left="960" w:top="586" w:right="960" w:bottom="33" w:gutter="0" w:footer="0" w:header="0"/>
          <w:type w:val="continuous"/>
        </w:sectPr>
      </w:pPr>
    </w:p>
    <w:bookmarkStart w:id="17" w:name="page18"/>
    <w:bookmarkEnd w:id="17"/>
    <w:p>
      <w:pPr>
        <w:spacing w:after="0" w:line="261" w:lineRule="auto"/>
        <w:rPr>
          <w:sz w:val="20"/>
          <w:szCs w:val="20"/>
          <w:color w:val="auto"/>
        </w:rPr>
      </w:pPr>
      <w:r>
        <w:rPr>
          <w:rFonts w:ascii="Arial" w:cs="Arial" w:eastAsia="Arial" w:hAnsi="Arial"/>
          <w:sz w:val="19"/>
          <w:szCs w:val="19"/>
          <w:b w:val="1"/>
          <w:bCs w:val="1"/>
          <w:color w:val="auto"/>
        </w:rPr>
        <w:t xml:space="preserve">Michael Leskinen. </w:t>
      </w:r>
      <w:r>
        <w:rPr>
          <w:rFonts w:ascii="Arial" w:cs="Arial" w:eastAsia="Arial" w:hAnsi="Arial"/>
          <w:sz w:val="19"/>
          <w:szCs w:val="19"/>
          <w:color w:val="auto"/>
        </w:rPr>
        <w:t>Mr. Leskinen has served as Executive Vice President and Chief Financial Officer of UAL and United since</w:t>
      </w:r>
      <w:r>
        <w:rPr>
          <w:rFonts w:ascii="Arial" w:cs="Arial" w:eastAsia="Arial" w:hAnsi="Arial"/>
          <w:sz w:val="19"/>
          <w:szCs w:val="19"/>
          <w:b w:val="1"/>
          <w:bCs w:val="1"/>
          <w:color w:val="auto"/>
        </w:rPr>
        <w:t xml:space="preserve"> </w:t>
      </w:r>
      <w:r>
        <w:rPr>
          <w:rFonts w:ascii="Arial" w:cs="Arial" w:eastAsia="Arial" w:hAnsi="Arial"/>
          <w:sz w:val="19"/>
          <w:szCs w:val="19"/>
          <w:color w:val="auto"/>
        </w:rPr>
        <w:t>September 2023. Mr. Leskinen served as Vice President of Corporate Development and Investor Relations of United from April 2019 to September 2023. In 2021, he added the title of President of UAV, an industry-first corporate venture capital fund that identifies and invests in opportunities to decarbonize air travel and enhance the customer travel experience. From January 2018 to April 2019, Mr. Leskinen served as Managing Director of Investor Relations of UAL and United. Prior to joining United, Mr. Leskinen was an executive director at J.P. Morgan Asset Management from 2013 to 2017, where he led the firm's investment efforts in aerospace, defense, and airlines. From 2009 to 2013, he worked at Oppenheimer Funds focused on the aerospace sector.</w:t>
      </w:r>
    </w:p>
    <w:p>
      <w:pPr>
        <w:spacing w:after="0" w:line="137"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b w:val="1"/>
          <w:bCs w:val="1"/>
          <w:color w:val="auto"/>
        </w:rPr>
        <w:t xml:space="preserve">Andrew Nocella. </w:t>
      </w:r>
      <w:r>
        <w:rPr>
          <w:rFonts w:ascii="Arial" w:cs="Arial" w:eastAsia="Arial" w:hAnsi="Arial"/>
          <w:sz w:val="19"/>
          <w:szCs w:val="19"/>
          <w:color w:val="auto"/>
        </w:rPr>
        <w:t>Mr. Nocella has served as Executive Vice President and Chief Commercial Officer of UAL and United since</w:t>
      </w:r>
      <w:r>
        <w:rPr>
          <w:rFonts w:ascii="Arial" w:cs="Arial" w:eastAsia="Arial" w:hAnsi="Arial"/>
          <w:sz w:val="19"/>
          <w:szCs w:val="19"/>
          <w:b w:val="1"/>
          <w:bCs w:val="1"/>
          <w:color w:val="auto"/>
        </w:rPr>
        <w:t xml:space="preserve"> </w:t>
      </w:r>
      <w:r>
        <w:rPr>
          <w:rFonts w:ascii="Arial" w:cs="Arial" w:eastAsia="Arial" w:hAnsi="Arial"/>
          <w:sz w:val="19"/>
          <w:szCs w:val="19"/>
          <w:color w:val="auto"/>
        </w:rPr>
        <w:t>September 2017. From February 2017 to September 2017, he served as Executive Vice President and Chief Revenue Officer of UAL and United. Prior to joining the Company, from August 2016 to February 2017, Mr. Nocella served as Senior Vice President, Alliances and Sales of American Airlines, Inc. From December 2013 to August 2016, he served as Senior Vice President and Chief Marketing Officer of American Airlines, Inc. From August 2007 to December 2013, he served as Senior Vice President, Marketing and Planning of US Airways.</w:t>
      </w:r>
    </w:p>
    <w:p>
      <w:pPr>
        <w:sectPr>
          <w:pgSz w:w="11880" w:h="15480" w:orient="portrait"/>
          <w:cols w:equalWidth="0" w:num="1">
            <w:col w:w="9940"/>
          </w:cols>
          <w:pgMar w:left="960" w:top="582"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9940"/>
          </w:cols>
          <w:pgMar w:left="960" w:top="582" w:right="980" w:bottom="33" w:gutter="0" w:footer="0" w:header="0"/>
          <w:type w:val="continuous"/>
        </w:sectPr>
      </w:pPr>
    </w:p>
    <w:bookmarkStart w:id="18" w:name="page19"/>
    <w:bookmarkEnd w:id="18"/>
    <w:p>
      <w:pPr>
        <w:spacing w:after="0"/>
        <w:tabs>
          <w:tab w:leader="none" w:pos="1380" w:val="left"/>
        </w:tabs>
        <w:rPr>
          <w:sz w:val="20"/>
          <w:szCs w:val="20"/>
          <w:color w:val="auto"/>
        </w:rPr>
      </w:pPr>
      <w:r>
        <w:rPr>
          <w:rFonts w:ascii="Arial" w:cs="Arial" w:eastAsia="Arial" w:hAnsi="Arial"/>
          <w:sz w:val="19"/>
          <w:szCs w:val="19"/>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93" w:lineRule="exact"/>
        <w:rPr>
          <w:sz w:val="20"/>
          <w:szCs w:val="20"/>
          <w:color w:val="auto"/>
        </w:rPr>
      </w:pPr>
    </w:p>
    <w:p>
      <w:pPr>
        <w:spacing w:after="0" w:line="304" w:lineRule="auto"/>
        <w:rPr>
          <w:sz w:val="20"/>
          <w:szCs w:val="20"/>
          <w:color w:val="auto"/>
        </w:rPr>
      </w:pPr>
      <w:r>
        <w:rPr>
          <w:rFonts w:ascii="Arial" w:cs="Arial" w:eastAsia="Arial" w:hAnsi="Arial"/>
          <w:sz w:val="17"/>
          <w:szCs w:val="17"/>
          <w:b w:val="1"/>
          <w:bCs w:val="1"/>
          <w:i w:val="1"/>
          <w:iCs w:val="1"/>
          <w:color w:val="auto"/>
        </w:rPr>
        <w:t>Any of the risks and uncertainties described below could significantly and negatively affect our business operations, financial condition, operating results (including components of our financial results), cash flows, prospects, reputation or credit ratings, which could cause the trading price of our common stock to decline significantly. Additional risks and uncertainties that are not presently known to us, or risks that we currently consider immaterial, could also impair our business operations, financial condition, operating results, cash flows, prospects, reputation or credit ratings.</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Strategic and Business Development Risks</w:t>
      </w:r>
    </w:p>
    <w:p>
      <w:pPr>
        <w:spacing w:after="0" w:line="188" w:lineRule="exact"/>
        <w:rPr>
          <w:sz w:val="20"/>
          <w:szCs w:val="20"/>
          <w:color w:val="auto"/>
        </w:rPr>
      </w:pPr>
    </w:p>
    <w:p>
      <w:pPr>
        <w:ind w:right="160"/>
        <w:spacing w:after="0" w:line="299" w:lineRule="auto"/>
        <w:rPr>
          <w:sz w:val="20"/>
          <w:szCs w:val="20"/>
          <w:color w:val="auto"/>
        </w:rPr>
      </w:pPr>
      <w:r>
        <w:rPr>
          <w:rFonts w:ascii="Arial" w:cs="Arial" w:eastAsia="Arial" w:hAnsi="Arial"/>
          <w:sz w:val="19"/>
          <w:szCs w:val="19"/>
          <w:b w:val="1"/>
          <w:bCs w:val="1"/>
          <w:i w:val="1"/>
          <w:iCs w:val="1"/>
          <w:color w:val="auto"/>
        </w:rPr>
        <w:t>We may not be successful in executing elements of our strategic operating plan, which may have a material adverse impact on our business, financial results and market capitalization.</w:t>
      </w:r>
    </w:p>
    <w:p>
      <w:pPr>
        <w:spacing w:after="0" w:line="104"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United Next, the Company's strategic operating plan, includes firm orders of over 630 narrow- and widebody aircraft, retrofitting plans and plans to continue to increase mainline daily departures and available seats across the Company's North American network. In developing our United Next plan, we made certain assumptions including, but not limited to, customer demand (in light of changing economic conditions), fuel costs, delivery of aircraft, aircraft certification approval timelines, labor market constraints and related costs, supply chain constraints, inflationary pressures, voluntary or mandatory groundings of aircraft, our regional network, competition, market consolidation and other macroeconomic and geopolitical factors. We also subsequently adjusted certain of our assumptions as a result of the increase in costs due to infrastructure improvements, new labor contracts and aircraft maintenance that were needed to support our United Next plan as well as delays in aircraft deliveries. Actual conditions may be different from our assumptions at any time and could cause us to further adjust our strategic operating plan. In addition, we cannot provide any assurance that we will be able to successfully execute our strategic plan, that the growth we anticipate will occur through execution of our strategic plan will not exacerbate any other risk described in this Form 10-K (especially relating to fuel costs, the impact of economic pressures or geopolitical events, our supply chain or our ability to recruit, hire, develop and retain talent), that our strategic plan will not result in additional unanticipated costs, that our suppliers will timely provide adequate products or support for our products (including but not limited to certification and delivery of aircraft, engines and other aircraft parts) or that our strategic plan will result in improvements in future financial performance. If we do not successfully execute our United Next or other strategic plans, if actual results vary significantly from our expectations or if we otherwise fail to successfully structure our business to meet market conditions, our business, operating results, financial condition and market capitalization could be materially and adversely impacted.</w:t>
      </w:r>
    </w:p>
    <w:p>
      <w:pPr>
        <w:spacing w:after="0" w:line="134" w:lineRule="exact"/>
        <w:rPr>
          <w:sz w:val="20"/>
          <w:szCs w:val="20"/>
          <w:color w:val="auto"/>
        </w:rPr>
      </w:pPr>
    </w:p>
    <w:p>
      <w:pPr>
        <w:ind w:right="160"/>
        <w:spacing w:after="0" w:line="311" w:lineRule="auto"/>
        <w:rPr>
          <w:sz w:val="20"/>
          <w:szCs w:val="20"/>
          <w:color w:val="auto"/>
        </w:rPr>
      </w:pPr>
      <w:r>
        <w:rPr>
          <w:rFonts w:ascii="Arial" w:cs="Arial" w:eastAsia="Arial" w:hAnsi="Arial"/>
          <w:sz w:val="17"/>
          <w:szCs w:val="17"/>
          <w:b w:val="1"/>
          <w:bCs w:val="1"/>
          <w:i w:val="1"/>
          <w:iCs w:val="1"/>
          <w:color w:val="auto"/>
        </w:rPr>
        <w:t>Changes in the Company's network strategy over time or other factors outside of the Company's control may make aircraft on order less economical for the Company, result in costs related to modification or termination of aircraft orders or cause the Company to enter into orders for new aircraft on less favorable terms, and any inability to accept or integrate new aircraft into the Company's fleet as planned could increase costs or affect the Company's flight schedules.</w:t>
      </w:r>
    </w:p>
    <w:p>
      <w:pPr>
        <w:spacing w:after="0" w:line="101"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The Company's orders for new aircraft are typically made years in advance of actual delivery of such aircraft and the financial commitment required for purchases of new aircraft is substantial. As a result of our network strategy changing or our demand expectations not being realized, our preference for the aircraft that we previously ordered may decrease; however, we may be responsible for material liabilities to our counterparties if we attempt to modify or terminate any of our existing aircraft order commitments and as a result our financial condition could be adversely impacted. These risks are heightened as a result of the Company's sizeable United Next aircraft orders. Additionally, the Company may have a need for additional aircraft that are not available under its existing firm orders or options and may seek to acquire aircraft from other sources, such as through lease arrangements, which may result in higher costs and/or less favorable terms, or through the purchase or lease of used aircraft. The Company may not be able to acquire such aircraft when needed on favorable terms or at all.</w:t>
      </w:r>
    </w:p>
    <w:p>
      <w:pPr>
        <w:spacing w:after="0" w:line="115"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Furthermore, if, for any reason, the Company is unable or does not want to accept deliveries of new aircraft or integrate such new aircraft into its fleet as planned, the Company may face higher financing and operating costs than planned or litigation risks, and may be required to seek extensions of the terms for certain leased aircraft or otherwise delay the exit of other aircraft from its fleet. Unanticipated extensions or delays may require the Company to operate existing aircraft beyond the point at which it is economically optimal to retire them, resulting in increased maintenance costs, or potentially requiring the Company to reduce its schedule, thereby reducing revenues.</w:t>
      </w:r>
    </w:p>
    <w:p>
      <w:pPr>
        <w:spacing w:after="0" w:line="13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imposition of new tariffs, any increase in existing tariffs, and retaliatory tariffs implemented by other countries where United operates, on the importation of commercial aircraft, engines or commercial aircraft parts that the Company orders may result in higher costs. In addition, to the extent our key aircraft, engine or aircraft parts suppliers are affected by tariffs and seek to pass those costs onto us, our costs of acquiring new aircraft, engine or aircraft parts could increase.</w:t>
      </w:r>
    </w:p>
    <w:p>
      <w:pPr>
        <w:sectPr>
          <w:pgSz w:w="11880" w:h="15480" w:orient="portrait"/>
          <w:cols w:equalWidth="0" w:num="1">
            <w:col w:w="9960"/>
          </w:cols>
          <w:pgMar w:left="960" w:top="579"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9960"/>
          </w:cols>
          <w:pgMar w:left="960" w:top="579" w:right="960" w:bottom="33" w:gutter="0" w:footer="0" w:header="0"/>
          <w:type w:val="continuous"/>
        </w:sectPr>
      </w:pPr>
    </w:p>
    <w:bookmarkStart w:id="19" w:name="page20"/>
    <w:bookmarkEnd w:id="19"/>
    <w:p>
      <w:pPr>
        <w:ind w:right="420"/>
        <w:spacing w:after="0" w:line="352" w:lineRule="auto"/>
        <w:rPr>
          <w:sz w:val="20"/>
          <w:szCs w:val="20"/>
          <w:color w:val="auto"/>
        </w:rPr>
      </w:pPr>
      <w:r>
        <w:rPr>
          <w:rFonts w:ascii="Arial" w:cs="Arial" w:eastAsia="Arial" w:hAnsi="Arial"/>
          <w:sz w:val="16"/>
          <w:szCs w:val="16"/>
          <w:b w:val="1"/>
          <w:bCs w:val="1"/>
          <w:i w:val="1"/>
          <w:iCs w:val="1"/>
          <w:color w:val="auto"/>
        </w:rPr>
        <w:t>The failure to effectively manage acquisitions, divestitures, investments, joint ventures and other portfolio actions could adversely impact our operating results. In addition, any businesses or assets that we acquire in the future increase our exposure to unknown liabilities or other issues and also may underperform as compared to expectations.</w:t>
      </w:r>
    </w:p>
    <w:p>
      <w:pPr>
        <w:spacing w:after="0" w:line="72" w:lineRule="exact"/>
        <w:rPr>
          <w:sz w:val="20"/>
          <w:szCs w:val="20"/>
          <w:color w:val="auto"/>
        </w:rPr>
      </w:pPr>
    </w:p>
    <w:p>
      <w:pPr>
        <w:ind w:right="220"/>
        <w:spacing w:after="0" w:line="296" w:lineRule="auto"/>
        <w:rPr>
          <w:sz w:val="20"/>
          <w:szCs w:val="20"/>
          <w:color w:val="auto"/>
        </w:rPr>
      </w:pPr>
      <w:r>
        <w:rPr>
          <w:rFonts w:ascii="Arial" w:cs="Arial" w:eastAsia="Arial" w:hAnsi="Arial"/>
          <w:sz w:val="17"/>
          <w:szCs w:val="17"/>
          <w:color w:val="auto"/>
        </w:rPr>
        <w:t>An important part of the Company's strategy to expand its global network and operate an environmentally sustainable, responsible and innovative airline has included making significant investments, both domestically and in other parts of the world, in other airlines and other aviation industry participants, producers of SAF, manufacturers of electric, hybrid and other new generation aircraft, and startups developing technologies in aerospace, next-generation air traffic control and aviation infrastructure, energy transition and AI-driven travel innovation. The Company plans to continue to make additional investments, including through its corporate venture capital arm, UAV, and through the Fund. However, since there are a limited number of potential arrangements, and other airlines and industry participants seek to enter into similar relationships, this may make it difficult for the Company to complete strategic investments on commercially reasonable terms or at all.</w:t>
      </w:r>
    </w:p>
    <w:p>
      <w:pPr>
        <w:spacing w:after="0" w:line="10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These investments are inherently risky and may not be successful in meeting the Company's expectations. Future revenues, profits and cash flows of these and future investments and repayment of invested or loaned funds may not materialize due to safety concerns, regulatory issues, supply chain constraints or other factors beyond our control. Where we acquire debt or equity securities as all or part of the consideration for business development activities, such as in connection with a joint venture, the value of those securities will fluctuate and may depreciate in value. We may not control the companies in which we make investments and, as a result, we will have limited ability to determine their management, operational decisions, internal controls and compliance and other policies, which can result in additional financial and reputational risks. Further, acquisitions and investments create exposure to assumed litigation and unknown liabilities, as well as undetected internal control, regulatory compliance or other issues, or additional costs not anticipated at the time the transaction was completed, and our due diligence efforts may not identify such liabilities or issues, or they may not be fully disclosed to us.</w:t>
      </w:r>
    </w:p>
    <w:p>
      <w:pPr>
        <w:spacing w:after="0" w:line="131" w:lineRule="exact"/>
        <w:rPr>
          <w:sz w:val="20"/>
          <w:szCs w:val="20"/>
          <w:color w:val="auto"/>
        </w:rPr>
      </w:pPr>
    </w:p>
    <w:p>
      <w:pPr>
        <w:ind w:right="140"/>
        <w:spacing w:after="0" w:line="268" w:lineRule="auto"/>
        <w:rPr>
          <w:sz w:val="20"/>
          <w:szCs w:val="20"/>
          <w:color w:val="auto"/>
        </w:rPr>
      </w:pPr>
      <w:r>
        <w:rPr>
          <w:rFonts w:ascii="Arial" w:cs="Arial" w:eastAsia="Arial" w:hAnsi="Arial"/>
          <w:sz w:val="19"/>
          <w:szCs w:val="19"/>
          <w:color w:val="auto"/>
        </w:rPr>
        <w:t>From time to time, we also divest assets. We may not be successful in separating any such assets, and losses on the divestiture of, or lost operating income from, such assets may adversely affect our earnings. Any divestitures also may result in continued financial exposure to the divested businesses following the transaction, such as through guarantees or other financial arrangements or potential litigation.</w:t>
      </w:r>
    </w:p>
    <w:p>
      <w:pPr>
        <w:spacing w:after="0" w:line="130" w:lineRule="exact"/>
        <w:rPr>
          <w:sz w:val="20"/>
          <w:szCs w:val="20"/>
          <w:color w:val="auto"/>
        </w:rPr>
      </w:pPr>
    </w:p>
    <w:p>
      <w:pPr>
        <w:ind w:right="160"/>
        <w:spacing w:after="0" w:line="268" w:lineRule="auto"/>
        <w:rPr>
          <w:sz w:val="20"/>
          <w:szCs w:val="20"/>
          <w:color w:val="auto"/>
        </w:rPr>
      </w:pPr>
      <w:r>
        <w:rPr>
          <w:rFonts w:ascii="Arial" w:cs="Arial" w:eastAsia="Arial" w:hAnsi="Arial"/>
          <w:sz w:val="19"/>
          <w:szCs w:val="19"/>
          <w:color w:val="auto"/>
        </w:rPr>
        <w:t>In addition, we have incurred, and may again in the future incur, asset impairment charges related to acquisitions, divestitures, investments or joint ventures that have the effect of reducing our earnings. Moreover, new or revised accounting standards, rules and interpretations could result in changes to the recognition of income and expense that may materially and adversely affect our financial results.</w:t>
      </w:r>
    </w:p>
    <w:p>
      <w:pPr>
        <w:spacing w:after="0" w:line="130" w:lineRule="exact"/>
        <w:rPr>
          <w:sz w:val="20"/>
          <w:szCs w:val="20"/>
          <w:color w:val="auto"/>
        </w:rPr>
      </w:pPr>
    </w:p>
    <w:p>
      <w:pPr>
        <w:ind w:right="120"/>
        <w:spacing w:after="0" w:line="265" w:lineRule="auto"/>
        <w:rPr>
          <w:sz w:val="20"/>
          <w:szCs w:val="20"/>
          <w:color w:val="auto"/>
        </w:rPr>
      </w:pPr>
      <w:r>
        <w:rPr>
          <w:rFonts w:ascii="Arial" w:cs="Arial" w:eastAsia="Arial" w:hAnsi="Arial"/>
          <w:sz w:val="19"/>
          <w:szCs w:val="19"/>
          <w:color w:val="auto"/>
        </w:rPr>
        <w:t>If the execution or implementation of acquisitions, divestitures, investments, joint ventures and other portfolio actions is not successful, it could adversely impact our financial condition, cash flows and results of operations. In addition, due to the Company's substantial amount of debt, there are certain limitations on the Company's business development capacity. Further, pursuing these opportunities may require us to obtain additional equity or debt financing and could result in increased leverage and/or a downgrade of our credit ratings.</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Business, Operational and Industry Risks</w:t>
      </w:r>
    </w:p>
    <w:p>
      <w:pPr>
        <w:spacing w:after="0" w:line="188"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b w:val="1"/>
          <w:bCs w:val="1"/>
          <w:i w:val="1"/>
          <w:iCs w:val="1"/>
          <w:color w:val="auto"/>
        </w:rPr>
        <w:t>The Company could experience adverse publicity, increased regulatory scrutiny, harm to its brand, reduced travel demand, potential tort liability and operational restrictions as a result of an accident, catastrophe or incident involving its aircraft or its operations or the aircraft or operations of another airline, which may result in a material adverse effect on the Company's business, operating results or financial condition.</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An accident, catastrophe or incident involving an aircraft that the Company operates, or an aircraft or aircraft type that is operated by another airline, or an incident involving the Company's operations, or the operations of another airline, could have a material adverse effect on the Company if such accident, catastrophe or incident creates a public perception that the Company's operations, or the operations of its codeshare partners or regional carriers, are not safe or reliable, or are less safe or reliable than other airlines. Further, any such accident, catastrophe or incident involving the Company, its regional carriers or its codeshare partners could expose the Company to increased regulatory scrutiny and significant liability. For example, in 2024 the FAA conducted a review of the Company's safety and compliance oversight of its operations, though the FAA found no significant safety or compliance issues.</w:t>
      </w:r>
    </w:p>
    <w:p>
      <w:pPr>
        <w:spacing w:after="0" w:line="137" w:lineRule="exact"/>
        <w:rPr>
          <w:sz w:val="20"/>
          <w:szCs w:val="20"/>
          <w:color w:val="auto"/>
        </w:rPr>
      </w:pPr>
    </w:p>
    <w:p>
      <w:pPr>
        <w:ind w:right="360"/>
        <w:spacing w:after="0" w:line="309" w:lineRule="auto"/>
        <w:rPr>
          <w:sz w:val="20"/>
          <w:szCs w:val="20"/>
          <w:color w:val="auto"/>
        </w:rPr>
      </w:pPr>
      <w:r>
        <w:rPr>
          <w:rFonts w:ascii="Arial" w:cs="Arial" w:eastAsia="Arial" w:hAnsi="Arial"/>
          <w:sz w:val="17"/>
          <w:szCs w:val="17"/>
          <w:color w:val="auto"/>
        </w:rPr>
        <w:t>Although the Company maintains liability insurance in amounts and of the type the Company believes to be consistent with industry practice to cover damages arising from any such accident, catastrophe or incident, and the Company's codeshare partners and regional carriers carry similar insurance and generally indemnify the Company for their operations, if the Company's liability exceeds the applicable policy limits or the ability of another carrier to indemnify it, the Company could</w:t>
      </w:r>
    </w:p>
    <w:p>
      <w:pPr>
        <w:sectPr>
          <w:pgSz w:w="11880" w:h="15480" w:orient="portrait"/>
          <w:cols w:equalWidth="0" w:num="1">
            <w:col w:w="9960"/>
          </w:cols>
          <w:pgMar w:left="960" w:top="578" w:right="960" w:bottom="33"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9960"/>
          </w:cols>
          <w:pgMar w:left="960" w:top="578" w:right="960" w:bottom="33" w:gutter="0" w:footer="0" w:header="0"/>
          <w:type w:val="continuous"/>
        </w:sectPr>
      </w:pPr>
    </w:p>
    <w:bookmarkStart w:id="20" w:name="page21"/>
    <w:bookmarkEnd w:id="20"/>
    <w:p>
      <w:pPr>
        <w:ind w:right="820"/>
        <w:spacing w:after="0" w:line="294" w:lineRule="auto"/>
        <w:rPr>
          <w:sz w:val="20"/>
          <w:szCs w:val="20"/>
          <w:color w:val="auto"/>
        </w:rPr>
      </w:pPr>
      <w:r>
        <w:rPr>
          <w:rFonts w:ascii="Arial" w:cs="Arial" w:eastAsia="Arial" w:hAnsi="Arial"/>
          <w:sz w:val="19"/>
          <w:szCs w:val="19"/>
          <w:color w:val="auto"/>
        </w:rPr>
        <w:t>incur substantial losses from an accident, catastrophe or incident, which may result in a material adverse effect on the Company's business, operating results or financial condition.</w:t>
      </w:r>
    </w:p>
    <w:p>
      <w:pPr>
        <w:spacing w:after="0" w:line="105"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In addition, any such accident, catastrophe or incident involving the Company, its regional carriers or its codeshare partners could result in operational restrictions on the Company, including voluntary or mandatory groundings of aircraft. Voluntary or involuntary groundings have also impacted, and could in the future impact, the Company's financial results and operations in numerous ways, including reduced revenue, redistributions of other aircraft and deferrals of capital expenditure and other spending. A prolonged period of time operating a reduced fleet in circumstances such as these could result in a material adverse effect on the Company's business, operating results or financial condition.</w:t>
      </w:r>
    </w:p>
    <w:p>
      <w:pPr>
        <w:spacing w:after="0" w:line="115" w:lineRule="exact"/>
        <w:rPr>
          <w:sz w:val="20"/>
          <w:szCs w:val="20"/>
          <w:color w:val="auto"/>
        </w:rPr>
      </w:pPr>
    </w:p>
    <w:p>
      <w:pPr>
        <w:ind w:right="160"/>
        <w:spacing w:after="0" w:line="329" w:lineRule="auto"/>
        <w:rPr>
          <w:sz w:val="20"/>
          <w:szCs w:val="20"/>
          <w:color w:val="auto"/>
        </w:rPr>
      </w:pPr>
      <w:r>
        <w:rPr>
          <w:rFonts w:ascii="Arial" w:cs="Arial" w:eastAsia="Arial" w:hAnsi="Arial"/>
          <w:sz w:val="18"/>
          <w:szCs w:val="18"/>
          <w:b w:val="1"/>
          <w:bCs w:val="1"/>
          <w:i w:val="1"/>
          <w:iCs w:val="1"/>
          <w:color w:val="auto"/>
        </w:rPr>
        <w:t>The global airline industry is highly competitive and susceptible to price discounting and changes in capacity, which could have a material adverse effect on our business, operating results and financial condition.</w:t>
      </w:r>
    </w:p>
    <w:p>
      <w:pPr>
        <w:spacing w:after="0" w:line="81"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The airline industry is highly competitive, marked by significant competition with respect to routes, fares, schedules (both timing and frequency), services, products, customer service and frequent flyer programs. Consolidation in the airline industry, the rise of well-funded government sponsored international carriers, changes in international alliances, swaps of slots and the creation of immunized JBAs have altered and are expected to continue to alter the competitive landscape in the industry, resulting in the formation of airlines and alliances with increased financial resources, more extensive global networks and services and competitive cost structures. Open Skies agreements, including the agreements between the United States and each of the EU, Canada, Japan, Korea, New Zealand, Australia, Colombia, Panama, Mexico, Brazil and the UK, may also give rise to better integration opportunities among international carriers. Movement of airlines between current global airline alliances could reduce joint network coverage for members of such alliances while also creating opportunities for JBAs and bilateral alliances that did not exist before such realignment. Further airline and airline alliance consolidations or reorganizations could occur in the future, and other airlines participating in such activities may significantly improve their cost structures or revenue generation capabilities, thereby potentially making them stronger competitors of the Company and impairing the Company's ability to realize expected benefits from its own strategic relationships.</w:t>
      </w:r>
    </w:p>
    <w:p>
      <w:pPr>
        <w:spacing w:after="0" w:line="130"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Airlines also compete by increasing or decreasing their capacity, including route systems and the number of destinations served. Several of the Company's domestic and international competitors have increased their international capacity by including service to some destinations that the Company currently serves, causing overlap in destinations served and, therefore, increasing competition for those destinations. This increased competition in both domestic and international markets may have a material adverse effect on the Company's business, operating results and financial condition.</w:t>
      </w:r>
    </w:p>
    <w:p>
      <w:pPr>
        <w:spacing w:after="0" w:line="119"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The Company's U.S. operations are subject to competition from traditional network carriers, national point-to-point carriers and discount carriers, including low-cost carriers and ultra-low-cost carriers, that may have lower costs and provide service at lower fares to destinations also served by the Company. The significant presence of low-cost carriers and ultra-low-cost carriers, which engage in substantial price discounting, may diminish our ability to achieve sustained profitability on domestic and international routes and has also caused us to reduce fares for certain routes, resulting in lower yields on many domestic markets. Our ability to compete effectively, particularly in the domestic market, depends, in part, on our ability to maintain a competitive cost structure. If we cannot maintain our costs at a competitive level, then our business, operating results and financial condition could be materially and adversely affected. In addition, our competitors have established new routes and destinations, including some at our hub airports, which may compete with our existing routes and destinations and expansion plans.</w:t>
      </w:r>
    </w:p>
    <w:p>
      <w:pPr>
        <w:spacing w:after="0" w:line="136" w:lineRule="exact"/>
        <w:rPr>
          <w:sz w:val="20"/>
          <w:szCs w:val="20"/>
          <w:color w:val="auto"/>
        </w:rPr>
      </w:pPr>
    </w:p>
    <w:p>
      <w:pPr>
        <w:ind w:right="40"/>
        <w:spacing w:after="0" w:line="297" w:lineRule="auto"/>
        <w:rPr>
          <w:sz w:val="20"/>
          <w:szCs w:val="20"/>
          <w:color w:val="auto"/>
        </w:rPr>
      </w:pPr>
      <w:r>
        <w:rPr>
          <w:rFonts w:ascii="Arial" w:cs="Arial" w:eastAsia="Arial" w:hAnsi="Arial"/>
          <w:sz w:val="17"/>
          <w:szCs w:val="17"/>
          <w:color w:val="auto"/>
        </w:rPr>
        <w:t>Our international operations are subject to competition from both foreign and domestic carriers. For instance, competition is significant from government-subsidized competitors from certain Middle East countries. These carriers have large numbers of international widebody aircraft on order and are increasing service to the U.S. from their hubs in the Middle East. The government support provided to these carriers has allowed them to grow quickly, reinvest in their product, invest in other airlines and expand their global presence. We also face competition from foreign carriers operating under "fifth freedom" rights permitted under international treaties that allow certain carriers to provide service to and from stopover points between their home countries and ultimate destinations, including points in the United States, in competition with service provided by us.</w:t>
      </w:r>
    </w:p>
    <w:p>
      <w:pPr>
        <w:spacing w:after="0" w:line="111"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Through alliance and other marketing and codesharing agreements with foreign carriers, U.S. carriers have increased their ability to sell international transportation, such as services to and beyond traditional global gateway cities. Similarly, foreign carriers have obtained increased access to interior U.S. passenger traffic beyond traditional U.S. gateway cities through these relationships. In addition, several JBAs among U.S. and foreign carriers have received grants of antitrust immunity allowing the participating carriers to coordinate schedules, pricing, sales and inventory. If we are not able to continue participating in these types of alliance and other marketing and codesharing agreements in the future, our business, operating results and financial condition could be materially and adversely affected.</w:t>
      </w:r>
    </w:p>
    <w:p>
      <w:pPr>
        <w:sectPr>
          <w:pgSz w:w="11880" w:h="15480" w:orient="portrait"/>
          <w:cols w:equalWidth="0" w:num="1">
            <w:col w:w="9940"/>
          </w:cols>
          <w:pgMar w:left="960" w:top="586"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9940"/>
          </w:cols>
          <w:pgMar w:left="960" w:top="586" w:right="980" w:bottom="33" w:gutter="0" w:footer="0" w:header="0"/>
          <w:type w:val="continuous"/>
        </w:sectPr>
      </w:pPr>
    </w:p>
    <w:bookmarkStart w:id="21" w:name="page22"/>
    <w:bookmarkEnd w:id="21"/>
    <w:p>
      <w:pPr>
        <w:ind w:right="520"/>
        <w:spacing w:after="0" w:line="299" w:lineRule="auto"/>
        <w:rPr>
          <w:sz w:val="20"/>
          <w:szCs w:val="20"/>
          <w:color w:val="auto"/>
        </w:rPr>
      </w:pPr>
      <w:r>
        <w:rPr>
          <w:rFonts w:ascii="Arial" w:cs="Arial" w:eastAsia="Arial" w:hAnsi="Arial"/>
          <w:sz w:val="19"/>
          <w:szCs w:val="19"/>
          <w:b w:val="1"/>
          <w:bCs w:val="1"/>
          <w:i w:val="1"/>
          <w:iCs w:val="1"/>
          <w:color w:val="auto"/>
        </w:rPr>
        <w:t>Our MileagePlus loyalty program plays a significant role in our business, and unfavorable developments affecting the program could adversely affect our business and results of operations.</w:t>
      </w:r>
    </w:p>
    <w:p>
      <w:pPr>
        <w:spacing w:after="0" w:line="104" w:lineRule="exact"/>
        <w:rPr>
          <w:sz w:val="20"/>
          <w:szCs w:val="20"/>
          <w:color w:val="auto"/>
        </w:rPr>
      </w:pPr>
    </w:p>
    <w:p>
      <w:pPr>
        <w:ind w:right="260"/>
        <w:spacing w:after="0" w:line="309" w:lineRule="auto"/>
        <w:rPr>
          <w:sz w:val="20"/>
          <w:szCs w:val="20"/>
          <w:color w:val="auto"/>
        </w:rPr>
      </w:pPr>
      <w:r>
        <w:rPr>
          <w:rFonts w:ascii="Arial" w:cs="Arial" w:eastAsia="Arial" w:hAnsi="Arial"/>
          <w:sz w:val="17"/>
          <w:szCs w:val="17"/>
          <w:color w:val="auto"/>
        </w:rPr>
        <w:t>Our MileagePlus loyalty program benefits from the attractiveness and competitiveness of United Airlines as a material purchaser of award miles and the majority recipient for mileage redemption. If we are not able to maintain a competitive and attractive airline business, our ability to acquire, engage and retain customers in the MileagePlus loyalty program may be adversely affected, which could adversely affect the loyalty program and our operating results and financial condition.</w:t>
      </w:r>
    </w:p>
    <w:p>
      <w:pPr>
        <w:spacing w:after="0" w:line="99"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Our MileagePlus loyalty program also faces significant and increasing direct competition from the frequent flyer programs offered by other airlines, as well as from similar loyalty programs offered by banks and other financial services companies. Competition among loyalty programs is intense regarding customer acquisition incentives, the value and utility of program currency, rewards range and value, fees, required usage, and other terms and conditions of these programs. If we are not able to maintain a competitive frequent flyer program, or if we make changes to our loyalty program, including as a result of legal or regulatory requirements or considerations, our ability to attract and retain customers to MileagePlus and United alike may be adversely affected, which could adversely affect our operating results and financial condition.</w:t>
      </w:r>
    </w:p>
    <w:p>
      <w:pPr>
        <w:spacing w:after="0" w:line="118" w:lineRule="exact"/>
        <w:rPr>
          <w:sz w:val="20"/>
          <w:szCs w:val="20"/>
          <w:color w:val="auto"/>
        </w:rPr>
      </w:pPr>
    </w:p>
    <w:p>
      <w:pPr>
        <w:ind w:right="260"/>
        <w:spacing w:after="0" w:line="277" w:lineRule="auto"/>
        <w:rPr>
          <w:sz w:val="20"/>
          <w:szCs w:val="20"/>
          <w:color w:val="auto"/>
        </w:rPr>
      </w:pPr>
      <w:r>
        <w:rPr>
          <w:rFonts w:ascii="Arial" w:cs="Arial" w:eastAsia="Arial" w:hAnsi="Arial"/>
          <w:sz w:val="19"/>
          <w:szCs w:val="19"/>
          <w:b w:val="1"/>
          <w:bCs w:val="1"/>
          <w:i w:val="1"/>
          <w:iCs w:val="1"/>
          <w:color w:val="auto"/>
        </w:rPr>
        <w:t>Substantially all of the Company's aircraft, engines and certain parts are sourced from a limited number of suppliers; therefore, the Company would be materially and adversely affected if it were unable to obtain timely deliveries, additional equipment or support from any of these suppliers.</w:t>
      </w:r>
    </w:p>
    <w:p>
      <w:pPr>
        <w:spacing w:after="0" w:line="12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currently sources substantially all of its aircraft and many related aircraft parts from The Boeing Company ("Boeing") or Airbus S.A.S. ("Airbus"). In addition, our aircraft suppliers are dependent on other suppliers for certain other aircraft parts. The Company is also dependent on a limited number of suppliers for engines and certain other aircraft parts. Therefore, if the Company is unable to acquire additional aircraft, engines or aircraft parts at acceptable prices, or if the suppliers fail to make timely deliveries of aircraft, engines or aircraft parts (whether as a result of unavailability, increased FAA oversight of the production process, any failure or delay in obtaining regulatory approval or certification for new model aircraft, manufacturing delays or otherwise) or to provide adequate support for their products, including with respect to the aircraft subject to firm orders under our United Next plan, the Company's operations could be materially and adversely affected. For example, due to production delays, deliveries from Boeing and Airbus have been delayed in recent years, which caused the Company to rework its fleet plan, and the Company may experience further delays in the future which may impact our financial position, results of operations and cash flows.</w:t>
      </w:r>
    </w:p>
    <w:p>
      <w:pPr>
        <w:spacing w:after="0" w:line="127"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Many of our suppliers are experiencing inflationary pressures, as well as disruptions due to the lingering impacts of global supply chain disruption and labor market constraints and related costs. If one or more of our suppliers, our contractors or their subcontractors continue to experience financial difficulties, delivery delays or other performance problems, they may be unable to meet their commitments to us and our financial position, results of operations and cash flows may continue to be adversely impacted.</w:t>
      </w:r>
    </w:p>
    <w:p>
      <w:pPr>
        <w:spacing w:after="0" w:line="125" w:lineRule="exact"/>
        <w:rPr>
          <w:sz w:val="20"/>
          <w:szCs w:val="20"/>
          <w:color w:val="auto"/>
        </w:rPr>
      </w:pPr>
    </w:p>
    <w:p>
      <w:pPr>
        <w:ind w:right="60"/>
        <w:spacing w:after="0" w:line="299" w:lineRule="auto"/>
        <w:rPr>
          <w:sz w:val="20"/>
          <w:szCs w:val="20"/>
          <w:color w:val="auto"/>
        </w:rPr>
      </w:pPr>
      <w:r>
        <w:rPr>
          <w:rFonts w:ascii="Arial" w:cs="Arial" w:eastAsia="Arial" w:hAnsi="Arial"/>
          <w:sz w:val="19"/>
          <w:szCs w:val="19"/>
          <w:b w:val="1"/>
          <w:bCs w:val="1"/>
          <w:i w:val="1"/>
          <w:iCs w:val="1"/>
          <w:color w:val="auto"/>
        </w:rPr>
        <w:t>Unfavorable economic and political conditions, in the United States and globally, may have a material adverse effect on our business, operating results and financial condition.</w:t>
      </w:r>
    </w:p>
    <w:p>
      <w:pPr>
        <w:spacing w:after="0" w:line="104"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The Company's business and operating results are significantly impacted by U.S. and global economic and political conditions. The airline industry is highly cyclical and the level of demand for air travel is correlated to the strength of the U.S. and global economies, including unemployment levels, consumer confidence levels and the availability of consumer and business credit. Air transportation is often a discretionary purchase that leisure travelers may limit or eliminate during difficult economic times. Short-haul travelers, in particular, have the option to replace air travel with surface travel. In addition, during periods of unfavorable economic conditions, business travelers historically have reduced the volume of their travel, either due to cost-saving initiatives, the replacement of travel with alternatives such as videoconferencing or as a result of decreased business activity requiring travel. Furthermore, an increase in price levels generally or in price levels in a particular sector (such as current inflationary pressures related to domestic and global supply chain constraints, which have led to both overall price increases and pronounced price increases in certain sectors) could result in a shift in consumer demand away from both leisure and business travel. Reduced or flat consumer spending may drive us and our competitors to reduce or offer promotional prices, which would negatively impact our gross margin. Any of the foregoing would adversely affect the Company's business and operating results. Significant declines in industry passenger demand, particularly with respect to the Company's business and premium cabin travelers and a reduction in fare levels could lead to a material reduction in revenue, changes to the Company's operations and deferrals of capital expenditure and other spending. Additionally, any deterioration in global trade relations, such as increased tariffs or other trade barriers, could result in a decrease in the demand for international air travel.</w:t>
      </w:r>
    </w:p>
    <w:p>
      <w:pPr>
        <w:sectPr>
          <w:pgSz w:w="11880" w:h="15480" w:orient="portrait"/>
          <w:cols w:equalWidth="0" w:num="1">
            <w:col w:w="9940"/>
          </w:cols>
          <w:pgMar w:left="960" w:top="578"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9940"/>
          </w:cols>
          <w:pgMar w:left="960" w:top="578" w:right="980" w:bottom="33" w:gutter="0" w:footer="0" w:header="0"/>
          <w:type w:val="continuous"/>
        </w:sectPr>
      </w:pPr>
    </w:p>
    <w:bookmarkStart w:id="22" w:name="page23"/>
    <w:bookmarkEnd w:id="22"/>
    <w:p>
      <w:pPr>
        <w:ind w:right="20"/>
        <w:spacing w:after="0" w:line="270" w:lineRule="auto"/>
        <w:rPr>
          <w:sz w:val="20"/>
          <w:szCs w:val="20"/>
          <w:color w:val="auto"/>
        </w:rPr>
      </w:pPr>
      <w:r>
        <w:rPr>
          <w:rFonts w:ascii="Arial" w:cs="Arial" w:eastAsia="Arial" w:hAnsi="Arial"/>
          <w:sz w:val="19"/>
          <w:szCs w:val="19"/>
          <w:b w:val="1"/>
          <w:bCs w:val="1"/>
          <w:i w:val="1"/>
          <w:iCs w:val="1"/>
          <w:color w:val="auto"/>
        </w:rPr>
        <w:t>The Company's business relies extensively on third-party service providers, including certain technology providers. Failure of these parties to perform as expected, or interruptions in the Company's relationships with these providers or their provision of services to the Company, could have a material adverse effect on the Company's business, operating results and financial condition.</w:t>
      </w:r>
    </w:p>
    <w:p>
      <w:pPr>
        <w:spacing w:after="0" w:line="131"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The Company has engaged third-party service providers to perform a large number of functions that are integral to its business, including regional operations, operation of customer service call centers, distribution and sale of airline seat inventory, provision of information technology infrastructure and services, transmitting or uploading of data, provision of aircraft maintenance and repairs, provision of various utilities and performance of airport ground services, aircraft fueling operations, catering services and air cargo handling services, among other vital functions and services. Although generally the Company enters into agreements that define expected service performance and compliance requirements, there can be no assurance that our third-party service providers will adhere to these requirements. Accordingly, any of these third-party service providers may materially fail to meet their service performance commitments to the Company or may suffer disruptions to their systems, labor groups or supply chains that could impact their services. For example, failures in certain third-party technology or communications systems have caused, and may in the future cause, flight delays or cancellations. In addition, the failure of any of the Company's third-party service providers to perform their service obligations adequately, or other interruptions of services, may reduce the Company's revenues and increase its expenses, prevent the Company from operating its flights and providing other services to its customers or result in adverse publicity or harm to our brand. We may also be subject to consequences from any illegal conduct of our third-party service providers, including for their failure to comply with anti-corruption laws, such as the U.S. Foreign Corrupt Practices Act. In addition, the Company's business and financial performance could be materially harmed if its customers believe that its services are unreliable or unsatisfactory.</w:t>
      </w:r>
    </w:p>
    <w:p>
      <w:pPr>
        <w:spacing w:after="0" w:line="133"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The Company may also have disagreements with its third-party service providers and related contracts may be terminated or may not be extended or renewed. For example, the number of flight reservations booked through third-party GDSs or OTAs may be adversely affected by disruptions in the business relationships between the Company and these suppliers. Such disruptions, including a failure to agree upon acceptable contract terms when contracts expire or otherwise become subject to renegotiation, may cause the Company's flight information to be limited or unavailable for display by the affected GDS or OTA operator, significantly increase fees for both the Company and GDS/OTA users and impair the Company's relationships with its customers and travel agencies. Any such disruptions or contract terminations may adversely impact our operations and financial results.</w:t>
      </w:r>
    </w:p>
    <w:p>
      <w:pPr>
        <w:spacing w:after="0" w:line="137" w:lineRule="exact"/>
        <w:rPr>
          <w:sz w:val="20"/>
          <w:szCs w:val="20"/>
          <w:color w:val="auto"/>
        </w:rPr>
      </w:pPr>
    </w:p>
    <w:p>
      <w:pPr>
        <w:ind w:right="260"/>
        <w:spacing w:after="0" w:line="294" w:lineRule="auto"/>
        <w:rPr>
          <w:sz w:val="20"/>
          <w:szCs w:val="20"/>
          <w:color w:val="auto"/>
        </w:rPr>
      </w:pPr>
      <w:r>
        <w:rPr>
          <w:rFonts w:ascii="Arial" w:cs="Arial" w:eastAsia="Arial" w:hAnsi="Arial"/>
          <w:sz w:val="19"/>
          <w:szCs w:val="19"/>
          <w:color w:val="auto"/>
        </w:rPr>
        <w:t>If we are not able to negotiate or renew agreements with third-party service providers, or if we renew existing agreements on less favorable terms, our operations and financial results may be adversely affected.</w:t>
      </w:r>
    </w:p>
    <w:p>
      <w:pPr>
        <w:spacing w:after="0" w:line="97"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i w:val="1"/>
          <w:iCs w:val="1"/>
          <w:color w:val="auto"/>
        </w:rPr>
        <w:t>Extended interruptions or disruptions in service at major airports where we operate could have a material adverse impact on our operations, including our ability to operate our existing flight schedule and to expand or change our route network in the future, and space, facility and infrastructure constraints at our hubs or other airports may prevent the Company from maintaining existing service and/or implementing new service in a commercially viable manner.</w:t>
      </w:r>
    </w:p>
    <w:p>
      <w:pPr>
        <w:spacing w:after="0" w:line="98"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The airline industry is heavily dependent on business models that concentrate operations in major airports in the United States and throughout the world. An extended interruption or disruption at one of our hubs or other airports where we have a significant presence resulting from ATC delays and disruptions, weather conditions, natural disasters, growth constraints, relationships with or the performance of third-party service providers, cybersecurity incidents and other failures of computer systems, disruptions to government agencies or personnel (including as a result of government shutdowns), regulatory changes, disruptions at airport facilities or other key facilities used by us to manage our operations, labor relations and market constraints, power supplies, fuel supplies, terrorist activities, international hostilities or other factors could result in the cancellation or delay of a significant portion of our flights and, as a result, could have a material adverse impact on our business, operating results and financial condition. For example, during the U.S. federal government shutdown in late 2025, the FAA directed airlines, including the Company, to implement temporary schedule reductions across approximately 40 domestic airports, which required us to modify portions of our regional and domestic mainline flying and resulted in operational disruption and additional costs. In addition, in the spring of 2025, challenges associated with ATC staffing, technology outages and runway construction led to a concentrated number of delays and cancellations out of our EWR hub.</w:t>
      </w:r>
    </w:p>
    <w:p>
      <w:pPr>
        <w:spacing w:after="0" w:line="130" w:lineRule="exact"/>
        <w:rPr>
          <w:sz w:val="20"/>
          <w:szCs w:val="20"/>
          <w:color w:val="auto"/>
        </w:rPr>
      </w:pPr>
    </w:p>
    <w:p>
      <w:pPr>
        <w:ind w:right="40"/>
        <w:spacing w:after="0" w:line="297" w:lineRule="auto"/>
        <w:rPr>
          <w:sz w:val="20"/>
          <w:szCs w:val="20"/>
          <w:color w:val="auto"/>
        </w:rPr>
      </w:pPr>
      <w:r>
        <w:rPr>
          <w:rFonts w:ascii="Arial" w:cs="Arial" w:eastAsia="Arial" w:hAnsi="Arial"/>
          <w:sz w:val="17"/>
          <w:szCs w:val="17"/>
          <w:color w:val="auto"/>
        </w:rPr>
        <w:t>We have minimal control over the operation, quality or maintenance of these services or whether our suppliers will improve or continue to provide services that are essential to our business. For example, because we prioritize operational excellence and continually work to optimize our route network and schedule, in light of the industry-wide operational challenges at airports in our network that have limited our system-wide capacity (like the operational disruptions experienced at EWR during the spring of 2025), we have reconfigured our proposed flight schedule and capacity to help improve our operational performance and our customers' experience. These industry-wide operational challenges have had a negative impact on our business and operating results and are expected to continue. In the future, we may not be able to adjust our operations to mitigate their effect, which</w:t>
      </w:r>
    </w:p>
    <w:p>
      <w:pPr>
        <w:sectPr>
          <w:pgSz w:w="11880" w:h="15480" w:orient="portrait"/>
          <w:cols w:equalWidth="0" w:num="1">
            <w:col w:w="9940"/>
          </w:cols>
          <w:pgMar w:left="960" w:top="578" w:right="980" w:bottom="33"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9940"/>
          </w:cols>
          <w:pgMar w:left="960" w:top="578" w:right="980" w:bottom="33" w:gutter="0" w:footer="0" w:header="0"/>
          <w:type w:val="continuous"/>
        </w:sectPr>
      </w:pPr>
    </w:p>
    <w:bookmarkStart w:id="23" w:name="page24"/>
    <w:bookmarkEnd w:id="23"/>
    <w:p>
      <w:pPr>
        <w:ind w:right="380"/>
        <w:spacing w:after="0" w:line="294" w:lineRule="auto"/>
        <w:rPr>
          <w:sz w:val="20"/>
          <w:szCs w:val="20"/>
          <w:color w:val="auto"/>
        </w:rPr>
      </w:pPr>
      <w:r>
        <w:rPr>
          <w:rFonts w:ascii="Arial" w:cs="Arial" w:eastAsia="Arial" w:hAnsi="Arial"/>
          <w:sz w:val="19"/>
          <w:szCs w:val="19"/>
          <w:color w:val="auto"/>
        </w:rPr>
        <w:t>may have a negative impact on our business, operating results, financial condition and liquidity and may limit our ability to expand or change our route network and execute our United Next strategy.</w:t>
      </w:r>
    </w:p>
    <w:p>
      <w:pPr>
        <w:spacing w:after="0" w:line="10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As airports around the world become more congested, space, facility and infrastructure constraints at our hubs or other airports where we operate now or may operate in the future may prevent the Company from maintaining existing service and/or implementing new service in a commercially viable manner because of a number of factors, including capital improvements at such airports being imposed by the relevant airport authorities without the Company's approval. Capital spending projects of airport authorities currently underway and additional projects that we expect to commence over the next several years are expected to result in increased costs to airlines and the traveling public that use those facilities as the airports seek to recover their investments through increased rental rates, landing fees and other facility costs. These actions have caused and may continue to cause the Company to experience increased space rental rates at various airports in its network, including a number of our hubs and gateways, as well as increased operating costs. Furthermore, the Company is not able to control decisions by other airlines to reduce their capacity, causing certain fixed airport costs to be allocated among fewer total flights and resulting in increased landing fees and other costs for the Company. We currently have sufficient slots or analogous authorizations to operate our existing flights and we have generally, but not always, been able to obtain the rights to expand our operations and to change our schedules, but there can be no assurance that we can maintain existing service or implement new service in a cost-effective manner in the future.</w:t>
      </w:r>
    </w:p>
    <w:p>
      <w:pPr>
        <w:spacing w:after="0" w:line="118" w:lineRule="exact"/>
        <w:rPr>
          <w:sz w:val="20"/>
          <w:szCs w:val="20"/>
          <w:color w:val="auto"/>
        </w:rPr>
      </w:pPr>
    </w:p>
    <w:p>
      <w:pPr>
        <w:ind w:right="40"/>
        <w:spacing w:after="0" w:line="299" w:lineRule="auto"/>
        <w:rPr>
          <w:sz w:val="20"/>
          <w:szCs w:val="20"/>
          <w:color w:val="auto"/>
        </w:rPr>
      </w:pPr>
      <w:r>
        <w:rPr>
          <w:rFonts w:ascii="Arial" w:cs="Arial" w:eastAsia="Arial" w:hAnsi="Arial"/>
          <w:sz w:val="19"/>
          <w:szCs w:val="19"/>
          <w:b w:val="1"/>
          <w:bCs w:val="1"/>
          <w:i w:val="1"/>
          <w:iCs w:val="1"/>
          <w:color w:val="auto"/>
        </w:rPr>
        <w:t>Geopolitical conflict, terrorist attacks or security events may adversely affect our business, financial condition and results of operations.</w:t>
      </w:r>
    </w:p>
    <w:p>
      <w:pPr>
        <w:spacing w:after="0" w:line="104" w:lineRule="exact"/>
        <w:rPr>
          <w:sz w:val="20"/>
          <w:szCs w:val="20"/>
          <w:color w:val="auto"/>
        </w:rPr>
      </w:pPr>
    </w:p>
    <w:p>
      <w:pPr>
        <w:jc w:val="both"/>
        <w:ind w:right="80"/>
        <w:spacing w:after="0" w:line="285" w:lineRule="auto"/>
        <w:rPr>
          <w:sz w:val="20"/>
          <w:szCs w:val="20"/>
          <w:color w:val="auto"/>
        </w:rPr>
      </w:pPr>
      <w:r>
        <w:rPr>
          <w:rFonts w:ascii="Arial" w:cs="Arial" w:eastAsia="Arial" w:hAnsi="Arial"/>
          <w:sz w:val="17"/>
          <w:szCs w:val="17"/>
          <w:color w:val="auto"/>
        </w:rPr>
        <w:t>As a global business with operations outside of the United States from which we derive significant operating revenues, volatile conditions in certain domestic and international regions may have a negative impact on our operating results and our ability to achieve our business objectives. The Company's international operations are a vital part of its worldwide airline network.</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Political disruptions and instability in certain regions have negatively impacted the demand and network availability for air travel, as well as fuel prices, and may continue to have a negative impact on these and other items. For example, the suspension of the Company's overflying in Russian airspace as a result of the Russia-Ukraine military conflict and interruptions of our flying as a result of military conflicts across the globe have significantly impacted our financial condition, cash flows and results of operations. In addition, terrorist attacks or international hostilities, even if not made on or targeted directly at the airline industry, or the fear of or the precautions taken in anticipation of such attacks (including elevated national threat warnings, travel restrictions, selective cancellation or redirection of flights and new security regulations) could materially and adversely affect the Company and the airline industry. The Company's financial resources and insurance coverage may not be sufficient to absorb the adverse effects of any future terrorist attacks, international hostilities or other security events, which could have a material adverse impact on the Company's financial condition, liquidity and operating results. In addition, due to threats against the aviation industry, the Company has incurred, and may continue to incur, significant expenditures to comply with security-related requirements to mitigate threats and protect the safety of our employees and customers.</w:t>
      </w:r>
    </w:p>
    <w:p>
      <w:pPr>
        <w:spacing w:after="0" w:line="107" w:lineRule="exact"/>
        <w:rPr>
          <w:sz w:val="20"/>
          <w:szCs w:val="20"/>
          <w:color w:val="auto"/>
        </w:rPr>
      </w:pPr>
    </w:p>
    <w:p>
      <w:pPr>
        <w:ind w:right="640"/>
        <w:spacing w:after="0" w:line="299" w:lineRule="auto"/>
        <w:rPr>
          <w:sz w:val="20"/>
          <w:szCs w:val="20"/>
          <w:color w:val="auto"/>
        </w:rPr>
      </w:pPr>
      <w:r>
        <w:rPr>
          <w:rFonts w:ascii="Arial" w:cs="Arial" w:eastAsia="Arial" w:hAnsi="Arial"/>
          <w:sz w:val="19"/>
          <w:szCs w:val="19"/>
          <w:b w:val="1"/>
          <w:bCs w:val="1"/>
          <w:i w:val="1"/>
          <w:iCs w:val="1"/>
          <w:color w:val="auto"/>
        </w:rPr>
        <w:t>Managing our reputation and brand image is critical to our business success and if our reputation or brand image is damaged, it could adversely affect our business or financial results.</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We operate in a public-facing industry and our brand is recognized throughout most of the world. Maintaining, enhancing and leveraging the value of our reputation and brand image is critical to the future success of our business. The Company's reputation or brand image could be diminished or eroded by a variety of factors, including any actual or perceived failure to maintain satisfactory practices for all of our operations and activities or to reassure the traveling public of the safety of air travel at any of our major hub locations; any failure or perceived failure to achieve and/or make progress toward any publicly-announced safety, community impact, environmental sustainability, human capital management, people impact, responsible sourcing, cybersecurity or governance ("Corporate Citizenship") goals, which are aspirational in nature, subject to risks and uncertainties that are outside of our control and are not guarantees that we will be able to achieve them–within the anticipated timelines disclosed or at all; our stakeholders—including proxy advisory services—not being satisfied with our Corporate Citizenship goals or strategy, our efforts to meet such goals or our actual or perceived position or lack of position on political, public policy or other sensitive issues; public pressure, which can be varied and conflicting, from investors or policy groups to change our Corporate Citizenship goals, policies and strategies or our position on political, public policy or other sensitive issues; customer perceptions of our advertising campaigns, sponsorship arrangements or marketing programs, including greenwashing concerns regarding our advertising campaigns and marketing programs related to our sustainability initiatives; deficiencies in the quantitative data that we disclose in relation to our Corporate Citizenship goals; customer perceptions of statements made by us, our employees, executives or agents or others; our inability to respond in a timely and appropriate manner to address negative, inaccurate or malicious publicity (such as posts, articles or comments on social media, on the internet or in the press, which can be disseminated quickly and broadly without context), including, but not limited to, as a result of external developments or actual or perceived misconduct by our employees, partners or customers; or other matters discussed elsewhere in this risk factors section. Damage to our reputation or brand image or loss of customer confidence in our</w:t>
      </w:r>
    </w:p>
    <w:p>
      <w:pPr>
        <w:sectPr>
          <w:pgSz w:w="11880" w:h="15480" w:orient="portrait"/>
          <w:cols w:equalWidth="0" w:num="1">
            <w:col w:w="9940"/>
          </w:cols>
          <w:pgMar w:left="960" w:top="586" w:right="980" w:bottom="33"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9940"/>
          </w:cols>
          <w:pgMar w:left="960" w:top="586" w:right="980" w:bottom="33" w:gutter="0" w:footer="0" w:header="0"/>
          <w:type w:val="continuous"/>
        </w:sectPr>
      </w:pPr>
    </w:p>
    <w:bookmarkStart w:id="24" w:name="page25"/>
    <w:bookmarkEnd w:id="24"/>
    <w:p>
      <w:pPr>
        <w:ind w:right="80"/>
        <w:spacing w:after="0" w:line="274" w:lineRule="auto"/>
        <w:rPr>
          <w:sz w:val="20"/>
          <w:szCs w:val="20"/>
          <w:color w:val="auto"/>
        </w:rPr>
      </w:pPr>
      <w:r>
        <w:rPr>
          <w:rFonts w:ascii="Arial" w:cs="Arial" w:eastAsia="Arial" w:hAnsi="Arial"/>
          <w:sz w:val="19"/>
          <w:szCs w:val="19"/>
          <w:color w:val="auto"/>
        </w:rPr>
        <w:t>services has in the past adversely affected—and could in the future adversely affect—our business and financial results, as well as has in the past required—and could in the future require—additional resources to rebuild our reputation that may not be successful.</w:t>
      </w:r>
    </w:p>
    <w:p>
      <w:pPr>
        <w:spacing w:after="0" w:line="125" w:lineRule="exact"/>
        <w:rPr>
          <w:sz w:val="20"/>
          <w:szCs w:val="20"/>
          <w:color w:val="auto"/>
        </w:rPr>
      </w:pPr>
    </w:p>
    <w:p>
      <w:pPr>
        <w:ind w:right="200"/>
        <w:spacing w:after="0" w:line="260" w:lineRule="auto"/>
        <w:rPr>
          <w:sz w:val="20"/>
          <w:szCs w:val="20"/>
          <w:color w:val="auto"/>
        </w:rPr>
      </w:pPr>
      <w:r>
        <w:rPr>
          <w:rFonts w:ascii="Arial" w:cs="Arial" w:eastAsia="Arial" w:hAnsi="Arial"/>
          <w:sz w:val="19"/>
          <w:szCs w:val="19"/>
          <w:color w:val="auto"/>
        </w:rPr>
        <w:t>Regulators, customers, investors, employees and other stakeholders are focusing more on Corporate Citizenship impacts of operations, diligence processes and related disclosures, which are subject to legislation, regulations, standards and accords for identifying, collecting, measuring and reporting that are developing and sometimes ambiguous, inconsistent or conflicting, could change over time and could result in significant revisions of our goals. This scrutiny and the associated legislation, regulations, standards and accords also involve internal controls and processes that continue to evolve and are not uniform; depend in part on third-party performance or data that is outside the Company's control; expose us to litigation and regulatory enforcement risks; and have resulted in, and are likely to continue to result in, increased general and administrative expenses and increased management time and attention spent complying with or meeting such expectations, legislation, regulations, standards and accords.</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9"/>
          <w:szCs w:val="19"/>
          <w:color w:val="auto"/>
        </w:rPr>
        <w:t>Our reputation and brand image may be impacted by our ability to comply with applicable Corporate Citizenship-related federal, state and international binding or non-binding legislation, regulation, standards and accords as well as by the accuracy, adequacy or completeness of our disclosures relating to our Corporate Citizenship goals and initiatives and progress towards those goals.</w:t>
      </w:r>
    </w:p>
    <w:p>
      <w:pPr>
        <w:spacing w:after="0" w:line="122" w:lineRule="exact"/>
        <w:rPr>
          <w:sz w:val="20"/>
          <w:szCs w:val="20"/>
          <w:color w:val="auto"/>
        </w:rPr>
      </w:pPr>
    </w:p>
    <w:p>
      <w:pPr>
        <w:ind w:right="360"/>
        <w:spacing w:after="0" w:line="299" w:lineRule="auto"/>
        <w:rPr>
          <w:sz w:val="20"/>
          <w:szCs w:val="20"/>
          <w:color w:val="auto"/>
        </w:rPr>
      </w:pPr>
      <w:r>
        <w:rPr>
          <w:rFonts w:ascii="Arial" w:cs="Arial" w:eastAsia="Arial" w:hAnsi="Arial"/>
          <w:sz w:val="19"/>
          <w:szCs w:val="19"/>
          <w:b w:val="1"/>
          <w:bCs w:val="1"/>
          <w:i w:val="1"/>
          <w:iCs w:val="1"/>
          <w:color w:val="auto"/>
        </w:rPr>
        <w:t>Disruptions to our regional network and United Express flights provided by third-party regional carriers could adversely affect our business, operating results and financial condition.</w:t>
      </w:r>
    </w:p>
    <w:p>
      <w:pPr>
        <w:spacing w:after="0" w:line="104" w:lineRule="exact"/>
        <w:rPr>
          <w:sz w:val="20"/>
          <w:szCs w:val="20"/>
          <w:color w:val="auto"/>
        </w:rPr>
      </w:pPr>
    </w:p>
    <w:p>
      <w:pPr>
        <w:ind w:right="80"/>
        <w:spacing w:after="0" w:line="303" w:lineRule="auto"/>
        <w:rPr>
          <w:sz w:val="20"/>
          <w:szCs w:val="20"/>
          <w:color w:val="auto"/>
        </w:rPr>
      </w:pPr>
      <w:r>
        <w:rPr>
          <w:rFonts w:ascii="Arial" w:cs="Arial" w:eastAsia="Arial" w:hAnsi="Arial"/>
          <w:sz w:val="17"/>
          <w:szCs w:val="17"/>
          <w:color w:val="auto"/>
        </w:rPr>
        <w:t>While the Company has contractual relationships that are material to its business with various regional carriers to provide regional aircraft service branded as United Express that include contractually agreed performance metrics, each regional carrier is a separately certificated commercial air carrier, and the Company does not control the operations of these carriers. A number of factors may impact the Company's regional network, including weather-related effects, seasonality, equipment, software, or other system failures or disruptions and cybersecurity attacks and any significant declines in demand for air travel services.</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Information Technology, Cybersecurity and Data Privacy Risks</w:t>
      </w:r>
    </w:p>
    <w:p>
      <w:pPr>
        <w:spacing w:after="0" w:line="188" w:lineRule="exact"/>
        <w:rPr>
          <w:sz w:val="20"/>
          <w:szCs w:val="20"/>
          <w:color w:val="auto"/>
        </w:rPr>
      </w:pPr>
    </w:p>
    <w:p>
      <w:pPr>
        <w:jc w:val="both"/>
        <w:ind w:right="480"/>
        <w:spacing w:after="0" w:line="277" w:lineRule="auto"/>
        <w:rPr>
          <w:sz w:val="20"/>
          <w:szCs w:val="20"/>
          <w:color w:val="auto"/>
        </w:rPr>
      </w:pPr>
      <w:r>
        <w:rPr>
          <w:rFonts w:ascii="Arial" w:cs="Arial" w:eastAsia="Arial" w:hAnsi="Arial"/>
          <w:sz w:val="19"/>
          <w:szCs w:val="19"/>
          <w:b w:val="1"/>
          <w:bCs w:val="1"/>
          <w:i w:val="1"/>
          <w:iCs w:val="1"/>
          <w:color w:val="auto"/>
        </w:rPr>
        <w:t>The Company relies heavily on technology and automated systems to operate its business and any significant failure or disruption of, or failure to effectively integrate and implement, these technologies or systems could materially harm its business or business strategy.</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Company depends on technology and automated systems, including artificial intelligence ("AI"), to operate its business, including, but not limited to, computerized airline reservation systems, electronic tickets, electronic airport kiosks, demand prediction software, flight operations systems, in-flight wireless internet, cloud-based technologies, technical and business operations systems and commercial websites and applications, including www.united.com and the United Airlines mobile app. These systems could suffer substantial or repeated disruptions due to various events, some of which are beyond the Company's control (including natural disasters (which may occur more frequently or intensely as a result of the impacts of climate change), power failures, terrorist attacks, dependencies on third-party technology services, equipment or software failures, cybersecurity attacks, insider threats or other security breaches and the deployment by certain wireless carriers of "5G" service networks), which could reduce the attractiveness of the Company's services versus those of our competitors, materially impair our ability to market our services and operate our flights, result in the unauthorized release of confidential or sensitive information, or information that should be protected from inadvertent disclosures, negatively impact our reputation among our customers and the public, subject us to liability to third parties, regulatory action or contract termination and result in other increased costs, lost revenue and the loss of, or compromise to the integrity, availability or confidentiality of, important data. These systems have in the past and may in the future be subject to failure, disruption or cyber incidents as a result of these or other factors. Substantial or repeated systems failures or disruptions may adversely affect the Company's business, operating results, financial condition and business strategy. We have cybersecurity frameworks, resiliency initiatives and disaster recovery plans in place designed to prevent and mitigate disruptions, and we continue to invest in improvements to these initiatives and plans. We also maintain property and business interruption insurance. However, these measures may not be adequate to prevent or mitigate disruptions or provide coverage for the Company's associated costs, some of which may be unforeseeable.</w:t>
      </w:r>
    </w:p>
    <w:p>
      <w:pPr>
        <w:spacing w:after="0" w:line="126" w:lineRule="exact"/>
        <w:rPr>
          <w:sz w:val="20"/>
          <w:szCs w:val="20"/>
          <w:color w:val="auto"/>
        </w:rPr>
      </w:pPr>
    </w:p>
    <w:p>
      <w:pPr>
        <w:ind w:right="60"/>
        <w:spacing w:after="0" w:line="297" w:lineRule="auto"/>
        <w:rPr>
          <w:sz w:val="20"/>
          <w:szCs w:val="20"/>
          <w:color w:val="auto"/>
        </w:rPr>
      </w:pPr>
      <w:r>
        <w:rPr>
          <w:rFonts w:ascii="Arial" w:cs="Arial" w:eastAsia="Arial" w:hAnsi="Arial"/>
          <w:sz w:val="17"/>
          <w:szCs w:val="17"/>
          <w:color w:val="auto"/>
        </w:rPr>
        <w:t>Automated systems and technologies, including AI, are becoming increasingly important in our operations over time. The Company may face challenges in implementing, integrating and modifying the automated systems and technologies required to operate its business or new systems and technologies designed to enhance its business, each of which may require significant expenditures, human resources, the development of effective internal controls and the transformation of business and financial processes. Our competitors or other third parties may incorporate AI into their products more quickly or more successfully than us, which could impair our ability to compete effectively and adversely affect our results of operations. Additionally, if AI is improperly utilized, including if the content, analyses, or recommendations that AI applications assist in producing are or are</w:t>
      </w:r>
    </w:p>
    <w:p>
      <w:pPr>
        <w:sectPr>
          <w:pgSz w:w="11880" w:h="15480" w:orient="portrait"/>
          <w:cols w:equalWidth="0" w:num="1">
            <w:col w:w="9960"/>
          </w:cols>
          <w:pgMar w:left="960" w:top="586" w:right="960" w:bottom="33"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9960"/>
          </w:cols>
          <w:pgMar w:left="960" w:top="586" w:right="960" w:bottom="33" w:gutter="0" w:footer="0" w:header="0"/>
          <w:type w:val="continuous"/>
        </w:sectPr>
      </w:pPr>
    </w:p>
    <w:bookmarkStart w:id="25" w:name="page26"/>
    <w:bookmarkEnd w:id="25"/>
    <w:p>
      <w:pPr>
        <w:ind w:right="60"/>
        <w:spacing w:after="0" w:line="261" w:lineRule="auto"/>
        <w:rPr>
          <w:sz w:val="20"/>
          <w:szCs w:val="20"/>
          <w:color w:val="auto"/>
        </w:rPr>
      </w:pPr>
      <w:r>
        <w:rPr>
          <w:rFonts w:ascii="Arial" w:cs="Arial" w:eastAsia="Arial" w:hAnsi="Arial"/>
          <w:sz w:val="19"/>
          <w:szCs w:val="19"/>
          <w:color w:val="auto"/>
        </w:rPr>
        <w:t>alleged to be deficient, inaccurate, or biased, we would be exposed to new or expanded risks and liabilities related to inaccuracies or errors in the output of such AI applications and our business, reputation, financial condition, and results of operations may be adversely affected. AI also presents emerging ethical issues, and if our use of AI becomes controversial, we may experience brand or reputational harm, competitive harm, or legal liability. The rapid evolution of AI, including current and proposed government regulation of AI, may require significant resources to develop, test and maintain our AI platform and services to help us implement AI in a compliant and ethical manner in order to minimize any adverse impact to our business. If the Company is generally unable to timely or effectively implement, integrate or modify its systems and technologies, the Company's operations could be adversely affected.</w:t>
      </w:r>
    </w:p>
    <w:p>
      <w:pPr>
        <w:spacing w:after="0" w:line="129" w:lineRule="exact"/>
        <w:rPr>
          <w:sz w:val="20"/>
          <w:szCs w:val="20"/>
          <w:color w:val="auto"/>
        </w:rPr>
      </w:pPr>
    </w:p>
    <w:p>
      <w:pPr>
        <w:ind w:right="720"/>
        <w:spacing w:after="0" w:line="299" w:lineRule="auto"/>
        <w:rPr>
          <w:sz w:val="20"/>
          <w:szCs w:val="20"/>
          <w:color w:val="auto"/>
        </w:rPr>
      </w:pPr>
      <w:r>
        <w:rPr>
          <w:rFonts w:ascii="Arial" w:cs="Arial" w:eastAsia="Arial" w:hAnsi="Arial"/>
          <w:sz w:val="19"/>
          <w:szCs w:val="19"/>
          <w:b w:val="1"/>
          <w:bCs w:val="1"/>
          <w:i w:val="1"/>
          <w:iCs w:val="1"/>
          <w:color w:val="auto"/>
        </w:rPr>
        <w:t>Increasing privacy, data security and cybersecurity obligations or a significant data breach may adversely affect the Company's business.</w:t>
      </w:r>
    </w:p>
    <w:p>
      <w:pPr>
        <w:spacing w:after="0" w:line="104" w:lineRule="exact"/>
        <w:rPr>
          <w:sz w:val="20"/>
          <w:szCs w:val="20"/>
          <w:color w:val="auto"/>
        </w:rPr>
      </w:pPr>
    </w:p>
    <w:p>
      <w:pPr>
        <w:ind w:right="500"/>
        <w:spacing w:after="0" w:line="274" w:lineRule="auto"/>
        <w:rPr>
          <w:sz w:val="20"/>
          <w:szCs w:val="20"/>
          <w:color w:val="auto"/>
        </w:rPr>
      </w:pPr>
      <w:r>
        <w:rPr>
          <w:rFonts w:ascii="Arial" w:cs="Arial" w:eastAsia="Arial" w:hAnsi="Arial"/>
          <w:sz w:val="19"/>
          <w:szCs w:val="19"/>
          <w:color w:val="auto"/>
        </w:rPr>
        <w:t>In our regular business operations, we collect, process, store and transmit to commercial partners sensitive data, including personal information of our customers and employees, such as payment processing information, and information of our business partners to provide our services and operate our business.</w:t>
      </w:r>
    </w:p>
    <w:p>
      <w:pPr>
        <w:spacing w:after="0" w:line="12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Company must manage increasing legislative, regulatory and consumer focus on privacy issues, data security and cybersecurity risk management in a variety of jurisdictions domestically and across the globe. For example, the EU's General Data Protection Regulation imposes significant privacy and data security requirements, as well as potential for substantial penalties for non-compliance that have resulted in substantial adverse financial consequences to non-compliant companies. Similarly, Executive Order 14117 (Preventing Access to Americans' Bulk Sensitive Personal Data and US Government Related Data By Countries of Concern), and its implementing regulations, may limit our ability to share information with China and other "Countries of Concern" and certain service providers. Depending on the regulatory interpretation and enforcement of emerging data protection regulations and industry standards, the Company's business operations could be impacted, up to and including being unable to operate, within certain jurisdictions. Also, some of the Company's commercial partners, such as credit card companies, have imposed data security standards that the Company must meet. The Company will continue its efforts to meet its privacy, data security and cybersecurity risk management obligations; however, it is possible that certain new obligations or customer expectations may be difficult to meet and could require changes in the Company's operating processes and increase the Company's costs. Any significant liabilities associated with violations of any related laws or regulations could also have an adverse effect on our business, operating results, financial condition and liquidity, reputation and consumer relationships.</w:t>
      </w:r>
    </w:p>
    <w:p>
      <w:pPr>
        <w:spacing w:after="0" w:line="13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Additionally, the Company must manage the increasing threat of continually evolving cybersecurity risks. Our network, systems and storage applications, and those systems and applications maintained by our third-party commercial partners (such as aircraft and engine suppliers, cloud computing companies, credit card companies, regional airline carriers and international airline partners) have been and likely will continue to be subject to attempts to gain unauthorized access, breaches, malfeasance or other system disruptions, including those involving criminal hackers, denial of service attacks, hacktivists, state-sponsored actors, corporate espionage, employee malfeasance and human or technological error. In some cases, it is difficult to anticipate or to detect immediately such incidents and the damage caused thereby, and we may not be able to realize the benefits of our proactive defense measures and may experience operational difficulty in implementing them. Our use of AI applications has resulted in certain immaterial cybersecurity incidents and may in the future result in additional cybersecurity incidents, including incidents that implicate the personal data of our customers, employees or users of such applications, any of which could have an adverse effect on our business, operating results, financial condition and liquidity, reputation and consumer relationships. In addition, as attacks by cybercriminals and nation state actors become more sophisticated, frequent and intense, the costs of proactive defense measures have increased and will likely continue to increase. Furthermore, the Company's remote work arrangements may make it more vulnerable to targeted activity from cybercriminals and significantly increase the risk of cyberattacks or other security breaches. While we endeavor to safeguard our network, systems and applications, including through risk assessments, system monitoring, cybersecurity and data protection policies, processes and technologies and employee awareness and training, and seek to require that third parties adhere to security standards, there is no assurance that such actions will be sufficient to prevent actual or perceived cybersecurity incidents or data breaches or the damages and impacts to our business that result therefrom.</w:t>
      </w:r>
    </w:p>
    <w:p>
      <w:pPr>
        <w:spacing w:after="0" w:line="142"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color w:val="auto"/>
        </w:rPr>
        <w:t>Any such cybersecurity incident or data breach could result in significant costs, including monetary damages, operational impacts, including service interruptions and delays, and reputational harm. Furthermore, the loss, disclosure, misappropriation of or access to sensitive Company information, customers', employees' or business partners' information or the Company's failure to meet its privacy or data protection obligations could result in legal claims or proceedings, penalties and remediation costs. A significant data breach or the Company's failure to meet its data privacy or data protection obligations may adversely affect the Company's operations, reputation, relationships with our business partners, business, operating results, financial condition and business strategy.</w:t>
      </w:r>
    </w:p>
    <w:p>
      <w:pPr>
        <w:sectPr>
          <w:pgSz w:w="11880" w:h="15480" w:orient="portrait"/>
          <w:cols w:equalWidth="0" w:num="1">
            <w:col w:w="9940"/>
          </w:cols>
          <w:pgMar w:left="960" w:top="586"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9940"/>
          </w:cols>
          <w:pgMar w:left="960" w:top="586" w:right="980" w:bottom="33" w:gutter="0" w:footer="0" w:header="0"/>
          <w:type w:val="continuous"/>
        </w:sectPr>
      </w:pPr>
    </w:p>
    <w:bookmarkStart w:id="26" w:name="page27"/>
    <w:bookmarkEnd w:id="26"/>
    <w:p>
      <w:pPr>
        <w:spacing w:after="0"/>
        <w:rPr>
          <w:sz w:val="20"/>
          <w:szCs w:val="20"/>
          <w:color w:val="auto"/>
        </w:rPr>
      </w:pPr>
      <w:r>
        <w:rPr>
          <w:rFonts w:ascii="Arial" w:cs="Arial" w:eastAsia="Arial" w:hAnsi="Arial"/>
          <w:sz w:val="19"/>
          <w:szCs w:val="19"/>
          <w:b w:val="1"/>
          <w:bCs w:val="1"/>
          <w:i w:val="1"/>
          <w:iCs w:val="1"/>
          <w:color w:val="auto"/>
        </w:rPr>
        <w:t>Increased use of social media platforms present risks and challenges.</w:t>
      </w:r>
    </w:p>
    <w:p>
      <w:pPr>
        <w:spacing w:after="0" w:line="197" w:lineRule="exact"/>
        <w:rPr>
          <w:sz w:val="20"/>
          <w:szCs w:val="20"/>
          <w:color w:val="auto"/>
        </w:rPr>
      </w:pPr>
    </w:p>
    <w:p>
      <w:pPr>
        <w:ind w:right="200"/>
        <w:spacing w:after="0" w:line="262" w:lineRule="auto"/>
        <w:rPr>
          <w:sz w:val="20"/>
          <w:szCs w:val="20"/>
          <w:color w:val="auto"/>
        </w:rPr>
      </w:pPr>
      <w:r>
        <w:rPr>
          <w:rFonts w:ascii="Arial" w:cs="Arial" w:eastAsia="Arial" w:hAnsi="Arial"/>
          <w:sz w:val="19"/>
          <w:szCs w:val="19"/>
          <w:color w:val="auto"/>
        </w:rPr>
        <w:t>We are increasing our use of social media to communicate Company news and events. The inappropriate and/or unauthorized use of certain media vehicles could cause brand damage or information leakage or could lead to legal implications, including from the improper collection and/or dissemination of personally identifiable information from employees, customers or other stakeholders. In addition, negative or inaccurate posts or comments about us on any social networking website could damage our reputation, brand image and goodwill. Further, the disclosure of non-public Company-sensitive information by our workforce or others, whether intentional or unintentional, through external media channels could lead to information loss and reputational or competitive harm.</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Human Capital Management Risks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b w:val="1"/>
          <w:bCs w:val="1"/>
          <w:i w:val="1"/>
          <w:iCs w:val="1"/>
          <w:color w:val="auto"/>
        </w:rPr>
        <w:t>Union disputes, employee strikes or slowdowns and other labor-related disruptions as well as increased employee and retiree health, pension, labor and regulatory compliance costs could adversely affect the Company's business, operations and results of operations.</w:t>
      </w:r>
    </w:p>
    <w:p>
      <w:pPr>
        <w:spacing w:after="0" w:line="12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United is a highly unionized company. As of December 31, 2025, the Company and its subsidiaries had approximately 113,200 employees, of whom approximately 83% were represented by various U.S. labor organizations. See Part I, Item 1. Business— Human Capital Management and Resources of this report for additional information on our represented employee groups and collective bargaining agreements. If we are unable to reach an agreement with any of our unionized work groups in future negotiations regarding the terms of their collective bargaining agreement, we may be subject to work interruptions or stoppages, which could adversely affect our business and operations. There is also a possibility that our unionized work groups could engage in job actions such as slowdowns, work-to-rule campaigns, sick-outs or other similar activity designed to disrupt the Company's normal operations in an attempt to pressure the Company in collective bargaining negotiations. Although the Railway Labor Act makes such actions unlawful until the parties have been lawfully released to self-help after the failure of direct negotiation, mediation and arbitration process to reach a resolution, and the Company can seek injunctive relief against premature self-help, such actions can cause significant harm to the Company's operations even if ultimately enjoined. There is also a risk that our unionized work groups might pursue judicial or arbitral claims arising out of changes implemented as a result of the Company entering into collective bargaining agreements with its represented employee groups. Similarly, if the operations of our third-party regional carriers, ground handlers or other partners (including our suppliers) are impacted by labor-related disruptions, our operations as well as our strategic operating plan could be adversely affected.</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Our active employee and retiree health programs, pension benefits and salary expenses are significant. For instance, the costs of providing pension and other retirement benefit plans are dependent on numerous assumptions and the changes in actuarial assumptions and differences between the assumptions and actual values, as well as significant declines in the value of investments that fund our pension and other postretirement plans, if not offset or mitigated by a decline in plan liabilities, could increase pension and other postretirement expense, and we could be required from time to time to fund the pension plans with significant amounts of cash. Further, we participate in the multi-employer benefit plan for employees covered under our collective bargaining agreement with the IAM and have agreed to contribute certain amounts, which could increase in future. The funding status of the plan is subject to risk that other employers may not meet their obligations and if we were to withdraw or terminate, or if the plan were to undergo a mass withdrawal, we could be subject to liability as imposed by law. In addition, collective bargaining agreements with the Company's represented employee groups have materially increased the Company's labor costs due to wage inflation. We remain in negotiations regarding certain of these collective bargaining agreements and anticipate that any new contracts involving the relevant labor groups may include material increases in salaries and other benefits, which would significantly increase our labor expense. Furthermore, there is rising litigation in the airline industry over the application of state and local employment and labor laws that purport to govern benefits and duties of certain employee groups but are increasingly in conflict with our negotiated collective bargaining agreements. Adverse decisions in these cases could negatively impact our operational flexibility and ability to apply our collective bargaining agreements as negotiated.</w:t>
      </w:r>
    </w:p>
    <w:p>
      <w:pPr>
        <w:spacing w:after="0" w:line="113" w:lineRule="exact"/>
        <w:rPr>
          <w:sz w:val="20"/>
          <w:szCs w:val="20"/>
          <w:color w:val="auto"/>
        </w:rPr>
      </w:pPr>
    </w:p>
    <w:p>
      <w:pPr>
        <w:ind w:right="320"/>
        <w:spacing w:after="0" w:line="299" w:lineRule="auto"/>
        <w:rPr>
          <w:sz w:val="20"/>
          <w:szCs w:val="20"/>
          <w:color w:val="auto"/>
        </w:rPr>
      </w:pPr>
      <w:r>
        <w:rPr>
          <w:rFonts w:ascii="Arial" w:cs="Arial" w:eastAsia="Arial" w:hAnsi="Arial"/>
          <w:sz w:val="19"/>
          <w:szCs w:val="19"/>
          <w:b w:val="1"/>
          <w:bCs w:val="1"/>
          <w:i w:val="1"/>
          <w:iCs w:val="1"/>
          <w:color w:val="auto"/>
        </w:rPr>
        <w:t>If we are unable to recruit, hire, develop or retain skilled personnel, including our senior management team or other key employees, our business could be adversely affected.</w:t>
      </w:r>
    </w:p>
    <w:p>
      <w:pPr>
        <w:spacing w:after="0" w:line="104" w:lineRule="exact"/>
        <w:rPr>
          <w:sz w:val="20"/>
          <w:szCs w:val="20"/>
          <w:color w:val="auto"/>
        </w:rPr>
      </w:pPr>
    </w:p>
    <w:p>
      <w:pPr>
        <w:ind w:right="20"/>
        <w:spacing w:after="0" w:line="297" w:lineRule="auto"/>
        <w:rPr>
          <w:sz w:val="20"/>
          <w:szCs w:val="20"/>
          <w:color w:val="auto"/>
        </w:rPr>
      </w:pPr>
      <w:r>
        <w:rPr>
          <w:rFonts w:ascii="Arial" w:cs="Arial" w:eastAsia="Arial" w:hAnsi="Arial"/>
          <w:sz w:val="17"/>
          <w:szCs w:val="17"/>
          <w:color w:val="auto"/>
        </w:rPr>
        <w:t>Much of our future success is largely dependent on our continued ability to recruit, hire, develop and retain highly-qualified personnel with industry experience and knowledge, including our senior management team and other key employees. Competition for the best-qualified talent in the aviation industry is intense. Labor market constraints may arise in the future, including as a result of an intensely competitive labor market. If these or other constraints lead to a sustained shortage of skilled labor, the cost of hiring and retaining quality talent could materially increase and our operations and service levels may be impacted, which could impair our ability to adjust capacity or otherwise execute our strategic operating plan. In addition, if we are unable to effectively provide for the smooth transition of senior management or other key employees, despite our robust</w:t>
      </w:r>
    </w:p>
    <w:p>
      <w:pPr>
        <w:sectPr>
          <w:pgSz w:w="11880" w:h="15480" w:orient="portrait"/>
          <w:cols w:equalWidth="0" w:num="1">
            <w:col w:w="9940"/>
          </w:cols>
          <w:pgMar w:left="960" w:top="578"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9940"/>
          </w:cols>
          <w:pgMar w:left="960" w:top="578" w:right="980" w:bottom="33" w:gutter="0" w:footer="0" w:header="0"/>
          <w:type w:val="continuous"/>
        </w:sectPr>
      </w:pPr>
    </w:p>
    <w:bookmarkStart w:id="27" w:name="page28"/>
    <w:bookmarkEnd w:id="27"/>
    <w:p>
      <w:pPr>
        <w:spacing w:after="0" w:line="294" w:lineRule="auto"/>
        <w:rPr>
          <w:sz w:val="20"/>
          <w:szCs w:val="20"/>
          <w:color w:val="auto"/>
        </w:rPr>
      </w:pPr>
      <w:r>
        <w:rPr>
          <w:rFonts w:ascii="Arial" w:cs="Arial" w:eastAsia="Arial" w:hAnsi="Arial"/>
          <w:sz w:val="19"/>
          <w:szCs w:val="19"/>
          <w:color w:val="auto"/>
        </w:rPr>
        <w:t>management succession planning process, our business, ability to execute our strategic operating plan and company culture may be adversely affected.</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Regulatory, Tax, Litigation and Legal Compliance Risks</w:t>
      </w:r>
    </w:p>
    <w:p>
      <w:pPr>
        <w:spacing w:after="0" w:line="188" w:lineRule="exact"/>
        <w:rPr>
          <w:sz w:val="20"/>
          <w:szCs w:val="20"/>
          <w:color w:val="auto"/>
        </w:rPr>
      </w:pPr>
    </w:p>
    <w:p>
      <w:pPr>
        <w:ind w:right="20"/>
        <w:spacing w:after="0" w:line="299" w:lineRule="auto"/>
        <w:rPr>
          <w:sz w:val="20"/>
          <w:szCs w:val="20"/>
          <w:color w:val="auto"/>
        </w:rPr>
      </w:pPr>
      <w:r>
        <w:rPr>
          <w:rFonts w:ascii="Arial" w:cs="Arial" w:eastAsia="Arial" w:hAnsi="Arial"/>
          <w:sz w:val="19"/>
          <w:szCs w:val="19"/>
          <w:b w:val="1"/>
          <w:bCs w:val="1"/>
          <w:i w:val="1"/>
          <w:iCs w:val="1"/>
          <w:color w:val="auto"/>
        </w:rPr>
        <w:t>The airline industry is subject to extensive government regulation, which imposes significant costs and may adversely impact our business, operating results and financial condition.</w:t>
      </w:r>
    </w:p>
    <w:p>
      <w:pPr>
        <w:spacing w:after="0" w:line="104" w:lineRule="exact"/>
        <w:rPr>
          <w:sz w:val="20"/>
          <w:szCs w:val="20"/>
          <w:color w:val="auto"/>
        </w:rPr>
      </w:pPr>
    </w:p>
    <w:p>
      <w:pPr>
        <w:ind w:right="340"/>
        <w:spacing w:after="0" w:line="294" w:lineRule="auto"/>
        <w:rPr>
          <w:sz w:val="20"/>
          <w:szCs w:val="20"/>
          <w:color w:val="auto"/>
        </w:rPr>
      </w:pPr>
      <w:r>
        <w:rPr>
          <w:rFonts w:ascii="Arial" w:cs="Arial" w:eastAsia="Arial" w:hAnsi="Arial"/>
          <w:sz w:val="19"/>
          <w:szCs w:val="19"/>
          <w:color w:val="auto"/>
        </w:rPr>
        <w:t>Airlines are subject to extensive regulatory and legal oversight. Compliance with U.S. and international regulations imposes significant costs and may have adverse effects on the Company.</w:t>
      </w:r>
    </w:p>
    <w:p>
      <w:pPr>
        <w:spacing w:after="0" w:line="10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United provides air transportation under certificates of public convenience and necessity issued by the DOT. If the DOT modified, suspended or revoked these certificates, it could have a material adverse effect on the Company's business. The DOT also regulates consumer protection and, through its investigations or rulemaking authority could impose restrictions that materially impact the Company's business. United also operates pursuant to an air carrier operating certificate issued by the FAA, and FAA orders and directives have previously resulted in the temporary grounding of an entire aircraft type when the FAA identifies design, manufacturing, maintenance or other issues requiring immediate corrective action which has had and could in the future have a material effect on the Company's business, operating results and financial condition.</w:t>
      </w:r>
    </w:p>
    <w:p>
      <w:pPr>
        <w:spacing w:after="0" w:line="126"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The FAA's reauthorization, which runs through fiscal year 2028, increased the authorized funding level for the FAA and required the hiring of additional air traffic controllers, an effort to address staffing and resource shortages and improve the operation of the ATC system in the U.S. Any new or enhanced requirements resulting from the FAA reauthorization may materially impact our operations and costs. Additionally, the U.S. Congress may consider legislation related to environmental issues relevant to the airline industry, such as the implementation of CORSIA, which could negatively impact the Company and the airline industry.</w:t>
      </w:r>
    </w:p>
    <w:p>
      <w:pPr>
        <w:spacing w:after="0" w:line="135"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The Company's operations may also be adversely impacted due to the existing antiquated ATC system utilized by the U.S. government and regulated by the FAA, which may not be able to effectively handle projected future air traffic growth. The outdated ATC system has led to short-term capacity constraints imposed by government agencies and has resulted in delays and disruptions of air traffic during peak travel periods in certain markets due to its inability to handle demand and reduced resiliency in the event of a failure causing flight cancellations and delays. For example, in the spring of 2025, challenges associated with ATC staffing and technology outages at EWR led to a concentrated number of delays and cancellations. Failure to update the ATC system in a timely manner and the substantial funding requirements of a modernized ATC system that may be imposed on air carriers may have an adverse impact on the Company's financial condition or operating results.</w:t>
      </w:r>
    </w:p>
    <w:p>
      <w:pPr>
        <w:spacing w:after="0" w:line="109"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Access to slots at several major U.S. airports and many foreign airports served by the Company is subject to government regulation on airspace management and competition that might limit the number of slots or change the rules on the use and transfer of slots. If slots are eliminated at one of our hubs or other airports, or if the number of hours of operation governed by slots is reduced at an airport, the lack of controls on take-offs and landings could result in greater congestion both at the affected airport and in the regional airspace and could significantly impact the Company's operations. Similarly, a government or regulatory agency, including the DOT, could choose to impose slot restrictions or cap hourly arrivals and departures at one of our hubs or other airports (as the FAA did at EWR in 2025, when it issued an order capping operations through October 2026) or grant increased access to another carrier and limit or reduce our operations at an airport, whether or not slot-controlled, which could have a significant impact on our operations. The DOT (including the FAA) may limit the Company's airport access by limiting the number of departure and arrival slots at congested airports, which could affect the Company's ownership and transfer rights, and local airport authorities may have the ability to control access to certain facilities or the cost to access their facilities, which could have an adverse effect on the Company's business. If the DOT were to take actions that adversely affect the Company's slot holdings, the Company could incur substantial costs to preserve its slots or may lose slots.</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Company currently operates a number of flights on international routes under government arrangements, regulations or policies that designate the number of carriers permitted to operate on such routes, the capacity of the carriers providing services on such routes, the airports at which carriers may operate international flights or the number of carriers allowed access to particular airports. Applicable arrangements between the U.S. and foreign governments (such as Open Skies) may be amended from time to time, government policies with respect to aviation may be revised or may lead to termination of air service agreements and the availability of appropriate slots or facilities may change.Depending on the nature of any such change, the value of the Company's international route authorities and slot rights may be materially enhanced or diminished. Similarly, foreign governments control their airspace and can restrict our ability to overfly their territory, which may diminish the value of the Company's existing international route authorizations and slot rights. Any such change could have a material adverse impact on the Company's financial condition and operating results and could result in the impairment of material amounts of related tangible and intangible assets.</w:t>
      </w:r>
    </w:p>
    <w:p>
      <w:pPr>
        <w:sectPr>
          <w:pgSz w:w="11880" w:h="15480" w:orient="portrait"/>
          <w:cols w:equalWidth="0" w:num="1">
            <w:col w:w="9960"/>
          </w:cols>
          <w:pgMar w:left="960" w:top="586" w:right="960" w:bottom="33"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9960"/>
          </w:cols>
          <w:pgMar w:left="960" w:top="586" w:right="960" w:bottom="33" w:gutter="0" w:footer="0" w:header="0"/>
          <w:type w:val="continuous"/>
        </w:sectPr>
      </w:pPr>
    </w:p>
    <w:bookmarkStart w:id="28" w:name="page29"/>
    <w:bookmarkEnd w:id="28"/>
    <w:p>
      <w:pPr>
        <w:ind w:right="100"/>
        <w:spacing w:after="0" w:line="263" w:lineRule="auto"/>
        <w:rPr>
          <w:sz w:val="20"/>
          <w:szCs w:val="20"/>
          <w:color w:val="auto"/>
        </w:rPr>
      </w:pPr>
      <w:r>
        <w:rPr>
          <w:rFonts w:ascii="Arial" w:cs="Arial" w:eastAsia="Arial" w:hAnsi="Arial"/>
          <w:sz w:val="19"/>
          <w:szCs w:val="19"/>
          <w:color w:val="auto"/>
        </w:rPr>
        <w:t>In addition, disruptions to the Company's business could result from the deployment of new cellular networks (e.g., "5G") by wireless carriers, which, due to potential interference with aircraft systems, could cause flights to be cancelled or diverted, which in turn could affect consumer perceptions of the safety of air travel. For example, over the past years regulators have addressed potential "5G" interference on a temporary and piecemeal basis tailored to specific aircraft and airports, which could occur again. Systematic regulation of the overlap between aviation systems and cellular networks may not occur in the near term or may not involve terms that are favorable to the Company.</w:t>
      </w:r>
    </w:p>
    <w:p>
      <w:pPr>
        <w:spacing w:after="0" w:line="135"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Moreover, any legislation that would result in a reshaping of the benefits that the Company is able to provide to its consumers through the co-branded credit cards issued by our partner could also materially negatively affect the Company's profitability and competitive position.</w:t>
      </w:r>
    </w:p>
    <w:p>
      <w:pPr>
        <w:spacing w:after="0" w:line="125"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color w:val="auto"/>
        </w:rPr>
        <w:t>In addition, competition from revenue-sharing JBAs and other alliance arrangements by and among other airlines could impair the value of the Company's business and assets on the Open Skies routes. The Company's plans to enter into or expand U.S. antitrust immunized alliances and JBAs on various international routes are subject to receipt of approvals from applicable U.S. federal authorities and other applicable foreign government clearances or satisfaction of other applicable regulatory requirements. There can be no assurance that such approvals and clearances will be granted or will continue in effect upon further regulatory review or that changes in regulatory requirements or standards can be satisfied.</w:t>
      </w:r>
    </w:p>
    <w:p>
      <w:pPr>
        <w:spacing w:after="0" w:line="123"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See Part I, Item 1. Business—Industry Regulation, of this report for additional information on government regulation impacting the Company.</w:t>
      </w:r>
    </w:p>
    <w:p>
      <w:pPr>
        <w:spacing w:after="0" w:line="97" w:lineRule="exact"/>
        <w:rPr>
          <w:sz w:val="20"/>
          <w:szCs w:val="20"/>
          <w:color w:val="auto"/>
        </w:rPr>
      </w:pPr>
    </w:p>
    <w:p>
      <w:pPr>
        <w:ind w:right="20"/>
        <w:spacing w:after="0" w:line="299" w:lineRule="auto"/>
        <w:rPr>
          <w:sz w:val="20"/>
          <w:szCs w:val="20"/>
          <w:color w:val="auto"/>
        </w:rPr>
      </w:pPr>
      <w:r>
        <w:rPr>
          <w:rFonts w:ascii="Arial" w:cs="Arial" w:eastAsia="Arial" w:hAnsi="Arial"/>
          <w:sz w:val="19"/>
          <w:szCs w:val="19"/>
          <w:b w:val="1"/>
          <w:bCs w:val="1"/>
          <w:i w:val="1"/>
          <w:iCs w:val="1"/>
          <w:color w:val="auto"/>
        </w:rPr>
        <w:t>Current or future litigation and regulatory actions, or failure to comply with the terms of any settlement, order or agreement relating to these actions, could have a material adverse impact on the Company.</w:t>
      </w:r>
    </w:p>
    <w:p>
      <w:pPr>
        <w:spacing w:after="0" w:line="104"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From time to time, we are subject to litigation and other legal and regulatory proceedings relating to our business or investigations or other actions by governmental agencies, including as described in Part I, Item 3. Legal Proceedings, of this report. In addition, the Company was subject to an increased risk of litigation and other proceedings as a result of the COVID-19 pandemic and responsive measures. For example, the Company is involved in a certified class action lawsuit relating to its vaccination requirements for employees. No assurances can be given that the results of these or any potential new matters will be favorable to us. An adverse resolution of lawsuits, arbitrations, investigations or other proceedings or actions could have a material adverse effect on our financial condition and operating results, including as a result of non-monetary remedies, and could also result in adverse publicity. Defending ourselves in these matters may be time-consuming, expensive and disruptive to normal business operations and may result in significant expense and a diversion of management's time and attention from the operation of our business, which could impede our ability to achieve our business objectives. Additionally, any amount that we may be required to pay to satisfy a judgment, settlement, fine or penalty may not be covered by insurance. If we fail to comply with the terms contained in any settlement, order or agreement with a governmental authority relating to these matters, we could be subject to criminal or civil penalties, which could have a material adverse impact on the Company. Under our charter and certain indemnification agreements that we have entered into (and may in the future enter into) with our officers, directors and certain third parties, we could be required to indemnify and advance expenses to them in connection with their involvement in certain actions, suits, investigations and other proceedings. Any of these payments may be material.</w:t>
      </w:r>
    </w:p>
    <w:p>
      <w:pPr>
        <w:spacing w:after="0" w:line="113" w:lineRule="exact"/>
        <w:rPr>
          <w:sz w:val="20"/>
          <w:szCs w:val="20"/>
          <w:color w:val="auto"/>
        </w:rPr>
      </w:pPr>
    </w:p>
    <w:p>
      <w:pPr>
        <w:ind w:right="160"/>
        <w:spacing w:after="0" w:line="299" w:lineRule="auto"/>
        <w:rPr>
          <w:sz w:val="20"/>
          <w:szCs w:val="20"/>
          <w:color w:val="auto"/>
        </w:rPr>
      </w:pPr>
      <w:r>
        <w:rPr>
          <w:rFonts w:ascii="Arial" w:cs="Arial" w:eastAsia="Arial" w:hAnsi="Arial"/>
          <w:sz w:val="19"/>
          <w:szCs w:val="19"/>
          <w:b w:val="1"/>
          <w:bCs w:val="1"/>
          <w:i w:val="1"/>
          <w:iCs w:val="1"/>
          <w:color w:val="auto"/>
        </w:rPr>
        <w:t>We are subject to many forms of environmental regulation and liability as well as risks associated with climate change and may incur substantial costs as a result.</w:t>
      </w:r>
    </w:p>
    <w:p>
      <w:pPr>
        <w:spacing w:after="0" w:line="104"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Many aspects of the Company's operations are subject to federal, state, local and international laws regarding the environment, including those relating to aircraft and ground-based carbon emissions, noise, plastic use, water discharges, safe drinking water and the use and management of hazardous materials and wastes. Compliance with existing and future environmental laws and regulations has required and may in the future require significant expenditures and operational changes. Violations have led and may in the future lead to significant fines, penalties, lawsuits and reputational harm. In addition, we have in the past been identified—and may in the future be identified—as a responsible party for environmental investigation and remediation costs under applicable environmental laws due to the disposal or release of hazardous substances generated by our operations, including PFAS, two of which, PFOA and PFOS, were designated by U.S. EPA as hazardous substances under the CERCLA. We could also be subject to environmental liability claims from various parties—including airport authorities and other third parties—related to our operations at our owned or leased premises, including our use of PFAS-containing fire suppression systems as required by fire codes and insurers, or the off-site disposal of waste generated at our facilities.</w:t>
      </w:r>
    </w:p>
    <w:p>
      <w:pPr>
        <w:spacing w:after="0" w:line="120" w:lineRule="exact"/>
        <w:rPr>
          <w:sz w:val="20"/>
          <w:szCs w:val="20"/>
          <w:color w:val="auto"/>
        </w:rPr>
      </w:pPr>
    </w:p>
    <w:p>
      <w:pPr>
        <w:ind w:right="260"/>
        <w:spacing w:after="0" w:line="303" w:lineRule="auto"/>
        <w:rPr>
          <w:sz w:val="20"/>
          <w:szCs w:val="20"/>
          <w:color w:val="auto"/>
        </w:rPr>
      </w:pPr>
      <w:r>
        <w:rPr>
          <w:rFonts w:ascii="Arial" w:cs="Arial" w:eastAsia="Arial" w:hAnsi="Arial"/>
          <w:sz w:val="17"/>
          <w:szCs w:val="17"/>
          <w:color w:val="auto"/>
        </w:rPr>
        <w:t>As discussed in Part I, Item 1. Business—Our Approach to Corporate Citizenship and Value Creation—Environmental Sustainability Strategy, the Company has made commitments to reduce its GHG emissions by 100% by 2050 and its carbon emission intensity by 50% by 2035 compared to 2019. The Company has incurred, and expects to continue to incur, costs to achieve its climate goals—which will involve a transition to lower-carbon technologies (such as SAF)—and to comply with environmental sustainability legislation and regulation and non-binding standards and accords. Such activity may require the</w:t>
      </w:r>
    </w:p>
    <w:p>
      <w:pPr>
        <w:sectPr>
          <w:pgSz w:w="11880" w:h="15480" w:orient="portrait"/>
          <w:cols w:equalWidth="0" w:num="1">
            <w:col w:w="9940"/>
          </w:cols>
          <w:pgMar w:left="960" w:top="586" w:right="980" w:bottom="33"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9940"/>
          </w:cols>
          <w:pgMar w:left="960" w:top="586" w:right="980" w:bottom="33" w:gutter="0" w:footer="0" w:header="0"/>
          <w:type w:val="continuous"/>
        </w:sectPr>
      </w:pPr>
    </w:p>
    <w:bookmarkStart w:id="29" w:name="page30"/>
    <w:bookmarkEnd w:id="29"/>
    <w:p>
      <w:pPr>
        <w:ind w:right="20"/>
        <w:spacing w:after="0" w:line="294" w:lineRule="auto"/>
        <w:rPr>
          <w:sz w:val="20"/>
          <w:szCs w:val="20"/>
          <w:color w:val="auto"/>
        </w:rPr>
      </w:pPr>
      <w:r>
        <w:rPr>
          <w:rFonts w:ascii="Arial" w:cs="Arial" w:eastAsia="Arial" w:hAnsi="Arial"/>
          <w:sz w:val="17"/>
          <w:szCs w:val="17"/>
          <w:color w:val="auto"/>
        </w:rPr>
        <w:t>Company to modify its supply-chain practices, make capital investments to modify certain aspects of its operations or increase its operating costs (including fuel costs). The potential transition cost to a lower-carbon economy could be prohibitively expensive without appropriate government policies and incentives in place. The precise nature of future binding or non-binding legislation, regulation, standards and accords in this area of increased focus by global, national and regional regulators is difficult to predict and the financial impact to the Company could be significant if future legal standards and regulatory policies do not align with or support the Company's plans to achieve its climate goals. There is a risk that a patchwork of inconsistent or conflicting regional regulations, could unduly shift excessive cost burden to airlines and inhibit the development of carbon reduction technologies that the Company needs to reach its climate goals. In addition, while CORSIA-related costs cannot be fully predicted at this time, the program is expected to increase operating costs for airlines that operate internationally.</w:t>
      </w:r>
    </w:p>
    <w:p>
      <w:pPr>
        <w:spacing w:after="0" w:line="115"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There can be no assurance of the extent to which any of our climate goals will be achieved or that any current or future investments that we make in furtherance of achieving our climate goals will produce the expected results or meet stakeholders' evolving expectations. Moreover, future events could lead the Company to prioritize other nearer-term interests over progressing toward our current climate goals based on business strategy, economic, regulatory and social factors or pressure from investors or other stakeholders. If we fail—or are perceived to fail—to meet or properly report on our progress toward achieving our climate change goals and commitments, we could face adverse reactions from investors or other stakeholders, which could result in adverse effects to the Company. In addition, the Company believes it is possible that, in the future, segments of the public may choose to fly less frequently as a result of negative perception of the environmental impact of air travel or fly on an airline based on carriers' GHG emissions or which carrier they perceive as operating in a manner that is more sustainable to the climate, which presents both a challenge and an opportunity for the Company; if this trend materializes, the Company's results of operations could be adversely impacted and those impacts could be exacerbated if the Company fails to meet or properly report on its climate change goals and commitments. More broadly, we could also be subject to climate litigation as groups, individuals and governmental authorities affected by climate change seek to recover climate-related damages from entities they perceive as being partially responsible for human-induced climate change because of the emission of GHGs from their operations.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Company's key pathways to achieving its climate goals include investing in and using more SAF, reducing its conventional jet fuel consumption and working with strategic partners to advance the future of more sustainable flight. The achievement of our goals is therefore largely dependent on the significant development of and maturation in the SAF market. Currently, there is a premium for SAF above the cost of conventional jet fuel and this premium has recently increased in certain markets due to SAF blending mandates in Europe, the UK and other parts of the world. The Company has been able to increase its purchases of SAF in recent years due to its corporate customers' funding of the price premium for SAF through the Company's Eco-Skies Alliance, but the willingness of corporate customers to assist the Company in covering the price premium for SAF in the future could decrease for a number of reasons, including based on economic factors or concerns regarding the validity of a book-and-claim approach for claiming the emissions reductions from SAF, constraints on supplies of SAF that meet customer requirements, emerging SAF certification or book-and-claim restrictions developed by governments or non-governmental organizations or practices whereby corporate customers purchase the environmental attributes from SAF directly from fuel producers, bypassing the airlines. In addition, the demand for cost-competitive SAF within the aviation industry significantly exceeds the current available supply. While we have been able to increase our current supply of SAF year-over-year through definitive offtake agreements, we have also entered into certain conditional agreements with start-up companies for future SAF supply. These conditional SAF purchase agreements for future SAF supply may pertain to production from facilities that are planned but not yet operational and may utilize technology that has not been proven at commercial scale. There is no assurance that these facilities will produce SAF at commercial scale or that they will meet expected production timelines and volumes.</w:t>
      </w:r>
    </w:p>
    <w:p>
      <w:pPr>
        <w:spacing w:after="0" w:line="118"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As we seek to mitigate our business risks associated with climate change by establishing robust environmental programs, the Company has incurred costs and substantial operational disruptions as a result of both its physical risks (such as extreme weather conditions or rising sea levels) and transition risks (such as regulatory or technological changes) associated with climate change. Climate change is expected to increase the frequency, severity, unpredictability and duration of severe weather events and other natural cycles and could affect travel demand for certain of our flight offerings as well as result in increases in delays and cancellations, turbulence-related injuries and fuel consumption to avoid such weather, any of which could result in a significant loss of revenue and higher costs. These events and the disruptions, alone or in combination, could also lead to increased costs for and reduced availability of insurance. In addition, certain of our and our vendors' and airport authorities' operations and facilities around the world are in locations that may be impacted by the physical impacts of climate change and we could incur significant costs to improve the climate resiliency of our infrastructure and supply chain and otherwise prepare for, respond to and mitigate the effects of climate change. We are not able to reasonably predict the future materiality of any potential losses or costs associated with the effects of climate change.</w:t>
      </w:r>
    </w:p>
    <w:p>
      <w:pPr>
        <w:spacing w:after="0" w:line="133" w:lineRule="exact"/>
        <w:rPr>
          <w:sz w:val="20"/>
          <w:szCs w:val="20"/>
          <w:color w:val="auto"/>
        </w:rPr>
      </w:pPr>
    </w:p>
    <w:p>
      <w:pPr>
        <w:ind w:right="400"/>
        <w:spacing w:after="0" w:line="294" w:lineRule="auto"/>
        <w:rPr>
          <w:sz w:val="20"/>
          <w:szCs w:val="20"/>
          <w:color w:val="auto"/>
        </w:rPr>
      </w:pPr>
      <w:r>
        <w:rPr>
          <w:rFonts w:ascii="Arial" w:cs="Arial" w:eastAsia="Arial" w:hAnsi="Arial"/>
          <w:sz w:val="19"/>
          <w:szCs w:val="19"/>
          <w:color w:val="auto"/>
        </w:rPr>
        <w:t>See Part I, Item 1. Business—Industry Regulation—Environmental Regulation, of this report for additional information on environmental regulation impacting the Company.</w:t>
      </w:r>
    </w:p>
    <w:p>
      <w:pPr>
        <w:sectPr>
          <w:pgSz w:w="11880" w:h="15480" w:orient="portrait"/>
          <w:cols w:equalWidth="0" w:num="1">
            <w:col w:w="9920"/>
          </w:cols>
          <w:pgMar w:left="960" w:top="586" w:right="1000" w:bottom="33"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9920"/>
          </w:cols>
          <w:pgMar w:left="960" w:top="586" w:right="1000" w:bottom="33" w:gutter="0" w:footer="0" w:header="0"/>
          <w:type w:val="continuous"/>
        </w:sectPr>
      </w:pPr>
    </w:p>
    <w:bookmarkStart w:id="30" w:name="page31"/>
    <w:bookmarkEnd w:id="30"/>
    <w:p>
      <w:pPr>
        <w:spacing w:after="0"/>
        <w:rPr>
          <w:sz w:val="20"/>
          <w:szCs w:val="20"/>
          <w:color w:val="auto"/>
        </w:rPr>
      </w:pPr>
      <w:r>
        <w:rPr>
          <w:rFonts w:ascii="Arial" w:cs="Arial" w:eastAsia="Arial" w:hAnsi="Arial"/>
          <w:sz w:val="19"/>
          <w:szCs w:val="19"/>
          <w:b w:val="1"/>
          <w:bCs w:val="1"/>
          <w:u w:val="single" w:color="auto"/>
          <w:color w:val="auto"/>
        </w:rPr>
        <w:t>Market, Liquidity, Accounting and Financial Risks</w:t>
      </w:r>
    </w:p>
    <w:p>
      <w:pPr>
        <w:spacing w:after="0" w:line="188" w:lineRule="exact"/>
        <w:rPr>
          <w:sz w:val="20"/>
          <w:szCs w:val="20"/>
          <w:color w:val="auto"/>
        </w:rPr>
      </w:pPr>
    </w:p>
    <w:p>
      <w:pPr>
        <w:ind w:right="80"/>
        <w:spacing w:after="0" w:line="299" w:lineRule="auto"/>
        <w:rPr>
          <w:sz w:val="20"/>
          <w:szCs w:val="20"/>
          <w:color w:val="auto"/>
        </w:rPr>
      </w:pPr>
      <w:r>
        <w:rPr>
          <w:rFonts w:ascii="Arial" w:cs="Arial" w:eastAsia="Arial" w:hAnsi="Arial"/>
          <w:sz w:val="19"/>
          <w:szCs w:val="19"/>
          <w:b w:val="1"/>
          <w:bCs w:val="1"/>
          <w:i w:val="1"/>
          <w:iCs w:val="1"/>
          <w:color w:val="auto"/>
        </w:rPr>
        <w:t>High and/or volatile fuel prices or significant disruptions in the supply of aircraft fuel could have a material adverse impact on the Company's strategic plans, operating results, financial condition and liquidity.</w:t>
      </w:r>
    </w:p>
    <w:p>
      <w:pPr>
        <w:spacing w:after="0" w:line="10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Aircraft fuel is critical to the Company's operations and is one of our largest operating expenses. During the year ended December 31, 2025, the Company's fuel expense was approximately $11.4 billion. The timely and adequate supply of fuel to meet operational demand depends on the continued availability of reliable fuel supply sources as well as related service and shared delivery infrastructure. Although the Company has some ability to cover short-term fuel supply and infrastructure disruptions at some major demand locations, it depends significantly on the continued performance of its vendors and service providers to maintain supply integrity. While the Company plans for long-term fuel demand to support its strategic growth plan, it depends on securing adequate fuel supply for future needs at cost competitive rates and the timely completion of planned infrastructure investments. Consequently, the Company can neither predict nor guarantee the continued timely or adequate availability of aircraft fuel throughout the Company's system.</w:t>
      </w:r>
    </w:p>
    <w:p>
      <w:pPr>
        <w:spacing w:after="0" w:line="128"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Aircraft fuel has historically been the Company's most volatile operating expense due to the highly unpredictable nature of market prices for fuel. The Company generally sources fuel at prevailing market prices, which have historically fluctuated substantially in short periods of time and continue to be volatile due to a multitude of unpredictable factors beyond the Company's control, including changes in global crude oil prices, closely related diesel prices, regional balances between aircraft fuel supply and demand, natural disasters, weather events, regional fuel inventory levels and availability and cost of oil refining and transportation infrastructure. Prices of aircraft fuel are also impacted by indirect factors, such as geopolitical events, economic growth indicators, strength of the U.S. dollar, fiscal/monetary policies, sanctions and tariffs that impede the global flow of oil and refined products, fuel tax policies, changes in regulations, environmental concerns and degree of financial investments in energy markets. Both actual changes in these factors, as well as changes in related market expectations, can potentially drive rapid changes in fuel prices in short periods of time. Rising fuel prices can also lead to constraints on the Company's regional partners, reduced capital available for other spending or other outcomes that could adversely impact the Company.</w:t>
      </w:r>
    </w:p>
    <w:p>
      <w:pPr>
        <w:spacing w:after="0" w:line="139" w:lineRule="exact"/>
        <w:rPr>
          <w:sz w:val="20"/>
          <w:szCs w:val="20"/>
          <w:color w:val="auto"/>
        </w:rPr>
      </w:pPr>
    </w:p>
    <w:p>
      <w:pPr>
        <w:ind w:right="40"/>
        <w:spacing w:after="0" w:line="297" w:lineRule="auto"/>
        <w:rPr>
          <w:sz w:val="20"/>
          <w:szCs w:val="20"/>
          <w:color w:val="auto"/>
        </w:rPr>
      </w:pPr>
      <w:r>
        <w:rPr>
          <w:rFonts w:ascii="Arial" w:cs="Arial" w:eastAsia="Arial" w:hAnsi="Arial"/>
          <w:sz w:val="17"/>
          <w:szCs w:val="17"/>
          <w:color w:val="auto"/>
        </w:rPr>
        <w:t>Given the highly competitive nature of the airline industry, the Company historically has had limited ability to, and may not be able to in the future, increase its fares and fees sufficiently to offset the full impact of increases in fuel prices, especially if these increases are significant, rapid and sustained. Further, any such fare or fee increase may not be sustainable, may reduce the general demand for air travel and may also eventually impact the Company's operations, strategic growth and investment plans for the future. In addition, decreases in fuel prices for an extended period of time may result in increased industry capacity, increased competitive actions for market share and lower fares or surcharges. If fuel prices were to then subsequently rise quickly, there may be a lag between the rise in fuel prices and any improvement of the revenue environment.</w:t>
      </w:r>
    </w:p>
    <w:p>
      <w:pPr>
        <w:spacing w:after="0" w:line="111"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 Company does not currently hedge the market price of its future fuel requirements. However, to the extent the Company decides to start a hedging program to hedge a portion of its future fuel requirements, such hedging program may not be successful in mitigating higher fuel costs and any price protection provided may be limited due to the choice of hedging instruments and market conditions, including the breakdown of correlation between any such hedging instrument and the market price of aircraft fuel and failure of hedge counterparties. To the extent that the Company decides to use hedge contracts that have the potential to create an obligation to pay upon settlement if fuel prices decline significantly, such hedge contracts may limit the Company's ability to benefit fully from lower fuel prices in the future. If fuel prices decline significantly from the levels existing at the time the Company enters into a hedge contract, the Company may be required to post collateral (margin) beyond certain thresholds. There can be no assurance that any such hedging arrangements would provide any particular level of protection against rises in fuel prices or that the counterparties to any such hedging arrangements would be able to perform. Additionally, deterioration in the Company's financial condition could negatively affect its ability to enter into hedge contracts in the future.</w:t>
      </w:r>
    </w:p>
    <w:p>
      <w:pPr>
        <w:spacing w:after="0" w:line="125" w:lineRule="exact"/>
        <w:rPr>
          <w:sz w:val="20"/>
          <w:szCs w:val="20"/>
          <w:color w:val="auto"/>
        </w:rPr>
      </w:pPr>
    </w:p>
    <w:p>
      <w:pPr>
        <w:ind w:right="320"/>
        <w:spacing w:after="0" w:line="299" w:lineRule="auto"/>
        <w:rPr>
          <w:sz w:val="20"/>
          <w:szCs w:val="20"/>
          <w:color w:val="auto"/>
        </w:rPr>
      </w:pPr>
      <w:r>
        <w:rPr>
          <w:rFonts w:ascii="Arial" w:cs="Arial" w:eastAsia="Arial" w:hAnsi="Arial"/>
          <w:sz w:val="19"/>
          <w:szCs w:val="19"/>
          <w:b w:val="1"/>
          <w:bCs w:val="1"/>
          <w:i w:val="1"/>
          <w:iCs w:val="1"/>
          <w:color w:val="auto"/>
        </w:rPr>
        <w:t>The Company has a significant amount of financial leverage from fixed obligations and insufficient liquidity may have a material adverse effect on the Company's financial condition and business.</w:t>
      </w:r>
    </w:p>
    <w:p>
      <w:pPr>
        <w:spacing w:after="0" w:line="104"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The Company has a significant amount of financial leverage from fixed obligations, including aircraft lease and debt financings, leases of airport property, secured bonds, secured and unsecured loan facilities and other facilities, and other material cash obligations. In addition, the Company has substantial noncancelable commitments for capital expenditures, including for the acquisition of new aircraft and related spare engines. If the Company's liquidity is materially diminished, the Company's substantial level of indebtedness, the Company's non-investment grade credit ratings and the lack of availability of Company assets as collateral for loans or other indebtedness may make it difficult for the Company to raise additional capital if needed to meet its liquidity needs on acceptable terms, or at all, and the Company may not be able to timely pay its leases and debts or</w:t>
      </w:r>
    </w:p>
    <w:p>
      <w:pPr>
        <w:sectPr>
          <w:pgSz w:w="11880" w:h="15480" w:orient="portrait"/>
          <w:cols w:equalWidth="0" w:num="1">
            <w:col w:w="9960"/>
          </w:cols>
          <w:pgMar w:left="960" w:top="579"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9960"/>
          </w:cols>
          <w:pgMar w:left="960" w:top="579" w:right="960" w:bottom="33" w:gutter="0" w:footer="0" w:header="0"/>
          <w:type w:val="continuous"/>
        </w:sectPr>
      </w:pPr>
    </w:p>
    <w:bookmarkStart w:id="31" w:name="page32"/>
    <w:bookmarkEnd w:id="31"/>
    <w:p>
      <w:pPr>
        <w:ind w:right="800"/>
        <w:spacing w:after="0" w:line="294" w:lineRule="auto"/>
        <w:rPr>
          <w:sz w:val="20"/>
          <w:szCs w:val="20"/>
          <w:color w:val="auto"/>
        </w:rPr>
      </w:pPr>
      <w:r>
        <w:rPr>
          <w:rFonts w:ascii="Arial" w:cs="Arial" w:eastAsia="Arial" w:hAnsi="Arial"/>
          <w:sz w:val="19"/>
          <w:szCs w:val="19"/>
          <w:color w:val="auto"/>
        </w:rPr>
        <w:t>comply with material provisions of its contractual obligations, including covenants under its financing and credit card processing agreements.</w:t>
      </w:r>
    </w:p>
    <w:p>
      <w:pPr>
        <w:spacing w:after="0" w:line="105" w:lineRule="exact"/>
        <w:rPr>
          <w:sz w:val="20"/>
          <w:szCs w:val="20"/>
          <w:color w:val="auto"/>
        </w:rPr>
      </w:pPr>
    </w:p>
    <w:p>
      <w:pPr>
        <w:ind w:right="160"/>
        <w:spacing w:after="0" w:line="261" w:lineRule="auto"/>
        <w:rPr>
          <w:sz w:val="20"/>
          <w:szCs w:val="20"/>
          <w:color w:val="auto"/>
        </w:rPr>
      </w:pPr>
      <w:r>
        <w:rPr>
          <w:rFonts w:ascii="Arial" w:cs="Arial" w:eastAsia="Arial" w:hAnsi="Arial"/>
          <w:sz w:val="19"/>
          <w:szCs w:val="19"/>
          <w:color w:val="auto"/>
        </w:rPr>
        <w:t>In addition to the foregoing, the degree to which we are leveraged could have important consequences to holders of our securities, including the following: we must dedicate a substantial portion of cash flow from operations to the payment of principal and interest on applicable indebtedness, which, in turn, reduces funds available for operations and capital expenditures; our flexibility in planning for, or reacting to, changes in the markets in which we compete may be limited; we may be at a competitive disadvantage relative to our competitors with less indebtedness; we are rendered more vulnerable to general adverse economic and industry conditions; we are exposed to increased interest rate risk given that a portion of our indebtedness obligations are at variable interest rates; and our credit ratings may be reduced and our debt and equity securities may significantly decrease in value.</w:t>
      </w:r>
    </w:p>
    <w:p>
      <w:pPr>
        <w:spacing w:after="0" w:line="137"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See Part II, Item 7., Management's Discussion and Analysis of Financial Condition and Results of Operations, of this report for additional information regarding the Company's liquidity.</w:t>
      </w:r>
    </w:p>
    <w:p>
      <w:pPr>
        <w:spacing w:after="0" w:line="97" w:lineRule="exact"/>
        <w:rPr>
          <w:sz w:val="20"/>
          <w:szCs w:val="20"/>
          <w:color w:val="auto"/>
        </w:rPr>
      </w:pPr>
    </w:p>
    <w:p>
      <w:pPr>
        <w:ind w:right="140"/>
        <w:spacing w:after="0" w:line="299" w:lineRule="auto"/>
        <w:rPr>
          <w:sz w:val="20"/>
          <w:szCs w:val="20"/>
          <w:color w:val="auto"/>
        </w:rPr>
      </w:pPr>
      <w:r>
        <w:rPr>
          <w:rFonts w:ascii="Arial" w:cs="Arial" w:eastAsia="Arial" w:hAnsi="Arial"/>
          <w:sz w:val="19"/>
          <w:szCs w:val="19"/>
          <w:b w:val="1"/>
          <w:bCs w:val="1"/>
          <w:i w:val="1"/>
          <w:iCs w:val="1"/>
          <w:color w:val="auto"/>
        </w:rPr>
        <w:t>Agreements governing our debt include financial and other covenants. Failure to comply with these covenants could result in events of default.</w:t>
      </w:r>
    </w:p>
    <w:p>
      <w:pPr>
        <w:spacing w:after="0" w:line="104"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Our financing agreements include various financial and other covenants. Certain of these covenants require UAL or United, as applicable, to maintain minimum liquidity and/or minimum collateral coverage ratios. UAL's or United's ability to comply with these covenants may be affected by events beyond its control, including the overall industry revenue environment, the level of fuel costs and the appraised value of the collateral. In addition, our financing agreements contain other negative covenants customary for such financings. If we fail to comply with these covenants and are unable to remedy or obtain a waiver or amendment, an event of default would result.</w:t>
      </w:r>
    </w:p>
    <w:p>
      <w:pPr>
        <w:spacing w:after="0" w:line="135" w:lineRule="exact"/>
        <w:rPr>
          <w:sz w:val="20"/>
          <w:szCs w:val="20"/>
          <w:color w:val="auto"/>
        </w:rPr>
      </w:pPr>
    </w:p>
    <w:p>
      <w:pPr>
        <w:ind w:right="80"/>
        <w:spacing w:after="0" w:line="303" w:lineRule="auto"/>
        <w:rPr>
          <w:sz w:val="20"/>
          <w:szCs w:val="20"/>
          <w:color w:val="auto"/>
        </w:rPr>
      </w:pPr>
      <w:r>
        <w:rPr>
          <w:rFonts w:ascii="Arial" w:cs="Arial" w:eastAsia="Arial" w:hAnsi="Arial"/>
          <w:sz w:val="17"/>
          <w:szCs w:val="17"/>
          <w:color w:val="auto"/>
        </w:rPr>
        <w:t>If an event of default were to occur, the lenders could, among other things, declare outstanding amounts immediately due and payable. In addition, an event of default or declaration of acceleration under one financing agreement could also result in an event of default under other of our financing agreements due to cross-default and cross-acceleration provisions. The acceleration of significant amounts of debt could require us to renegotiate, repay or refinance the obligations under our financing arrangements, and there can be no assurance that we will be able to do so on commercially reasonable terms or at all.</w:t>
      </w:r>
    </w:p>
    <w:p>
      <w:pPr>
        <w:spacing w:after="0" w:line="97" w:lineRule="exact"/>
        <w:rPr>
          <w:sz w:val="20"/>
          <w:szCs w:val="20"/>
          <w:color w:val="auto"/>
        </w:rPr>
      </w:pPr>
    </w:p>
    <w:p>
      <w:pPr>
        <w:ind w:right="300"/>
        <w:spacing w:after="0" w:line="270" w:lineRule="auto"/>
        <w:rPr>
          <w:sz w:val="20"/>
          <w:szCs w:val="20"/>
          <w:color w:val="auto"/>
        </w:rPr>
      </w:pPr>
      <w:r>
        <w:rPr>
          <w:rFonts w:ascii="Arial" w:cs="Arial" w:eastAsia="Arial" w:hAnsi="Arial"/>
          <w:sz w:val="19"/>
          <w:szCs w:val="19"/>
          <w:b w:val="1"/>
          <w:bCs w:val="1"/>
          <w:i w:val="1"/>
          <w:iCs w:val="1"/>
          <w:color w:val="auto"/>
        </w:rPr>
        <w:t>The Company's ability to use its net operating loss carryforwards and certain other tax attributes to offset future taxable income for U.S. federal income tax purposes may be significantly limited due to various circumstances, including certain possible future transactions involving the sale or issuance of UAL common stock, or if taxable income does not reach sufficient levels.</w:t>
      </w:r>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color w:val="auto"/>
        </w:rPr>
        <w:t>As of December 31, 2025, UAL reported consolidated U.S. federal net operating loss ("NOL") carryforwards of approximately $10.6 billion. The Company's ability to use its NOL carryforwards and certain other tax attributes will depend on the amount of taxable income it generates in future periods and, as a result, certain of the Company's NOL carryforwards and other tax attributes may expire before it can generate sufficient taxable income to use them in full. In addition, the Company's ability to use its NOL carryforwards and certain other tax attributes to offset future taxable income may be limited if it experiences an "ownership change" as defined in Section 382 of the Internal Revenue Code of 1986, as amended. Potential future transactions involving the sale or issuance of UAL common stock may increase the possibility that the Company will experience a future "ownership change" under Section 382. Such transactions may include the conversion of any future convertible debt, the repurchase of any debt with the Company's common stock, the acquisition or disposition of any stock by a stockholder owning 5% or more of the outstanding shares of UAL common stock, or a combination of the foregoing.</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established a tax benefits preservation plan (the "Plan") in order to preserve the Company's ability to use its NOLs and certain other tax attributes to reduce potential future income tax obligations, which expires December 4, 2026. The Plan is designed to reduce the likelihood that the Company experiences an "ownership change" by deterring certain acquisitions of Company securities. There is no assurance, however, that the deterrent mechanism in the Plan will be effective, and such acquisitions may still occur. In addition, the Plan may adversely affect the marketability of UAL common stock by discouraging existing or potential investors from acquiring UAL common stock or additional shares of UAL common stock because any non-exempt third party that acquires 4.9% or more of the then-outstanding shares of UAL common stock would suffer substantial dilution of its ownership interest in the Company.</w:t>
      </w:r>
    </w:p>
    <w:p>
      <w:pPr>
        <w:spacing w:after="0" w:line="118" w:lineRule="exact"/>
        <w:rPr>
          <w:sz w:val="20"/>
          <w:szCs w:val="20"/>
          <w:color w:val="auto"/>
        </w:rPr>
      </w:pPr>
    </w:p>
    <w:p>
      <w:pPr>
        <w:spacing w:after="0" w:line="299" w:lineRule="auto"/>
        <w:rPr>
          <w:sz w:val="20"/>
          <w:szCs w:val="20"/>
          <w:color w:val="auto"/>
        </w:rPr>
      </w:pPr>
      <w:r>
        <w:rPr>
          <w:rFonts w:ascii="Arial" w:cs="Arial" w:eastAsia="Arial" w:hAnsi="Arial"/>
          <w:sz w:val="19"/>
          <w:szCs w:val="19"/>
          <w:b w:val="1"/>
          <w:bCs w:val="1"/>
          <w:i w:val="1"/>
          <w:iCs w:val="1"/>
          <w:color w:val="auto"/>
        </w:rPr>
        <w:t>The Company may never realize the full value of its intangible assets or its long-lived assets causing it to record impairments that may negatively affect its financial condition and operating results.</w:t>
      </w:r>
    </w:p>
    <w:p>
      <w:pPr>
        <w:spacing w:after="0" w:line="104" w:lineRule="exact"/>
        <w:rPr>
          <w:sz w:val="20"/>
          <w:szCs w:val="20"/>
          <w:color w:val="auto"/>
        </w:rPr>
      </w:pPr>
    </w:p>
    <w:p>
      <w:pPr>
        <w:ind w:right="60"/>
        <w:spacing w:after="0" w:line="357" w:lineRule="auto"/>
        <w:rPr>
          <w:sz w:val="20"/>
          <w:szCs w:val="20"/>
          <w:color w:val="auto"/>
        </w:rPr>
      </w:pPr>
      <w:r>
        <w:rPr>
          <w:rFonts w:ascii="Arial" w:cs="Arial" w:eastAsia="Arial" w:hAnsi="Arial"/>
          <w:sz w:val="17"/>
          <w:szCs w:val="17"/>
          <w:color w:val="auto"/>
        </w:rPr>
        <w:t>In accordance with applicable accounting standards, the Company is required to test its indefinite-lived intangible assets for impairment on an annual basis, or more frequently where there is an indication of impairment, and certain of its other assets for</w:t>
      </w:r>
    </w:p>
    <w:p>
      <w:pPr>
        <w:sectPr>
          <w:pgSz w:w="11880" w:h="15480" w:orient="portrait"/>
          <w:cols w:equalWidth="0" w:num="1">
            <w:col w:w="9940"/>
          </w:cols>
          <w:pgMar w:left="960" w:top="586" w:right="980" w:bottom="33"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9940"/>
          </w:cols>
          <w:pgMar w:left="960" w:top="586" w:right="980" w:bottom="33" w:gutter="0" w:footer="0" w:header="0"/>
          <w:type w:val="continuous"/>
        </w:sectPr>
      </w:pPr>
    </w:p>
    <w:bookmarkStart w:id="32" w:name="page33"/>
    <w:bookmarkEnd w:id="32"/>
    <w:p>
      <w:pPr>
        <w:ind w:right="40"/>
        <w:spacing w:after="0" w:line="263" w:lineRule="auto"/>
        <w:rPr>
          <w:sz w:val="20"/>
          <w:szCs w:val="20"/>
          <w:color w:val="auto"/>
        </w:rPr>
      </w:pPr>
      <w:r>
        <w:rPr>
          <w:rFonts w:ascii="Arial" w:cs="Arial" w:eastAsia="Arial" w:hAnsi="Arial"/>
          <w:sz w:val="19"/>
          <w:szCs w:val="19"/>
          <w:color w:val="auto"/>
        </w:rPr>
        <w:t>impairment where there is any indication that an asset may be impaired. The Company may be required to recognize losses in the future due to, among other factors, extreme fuel price volatility, tight credit markets, government regulatory changes, decline in the fair values of certain tangible or intangible assets, such as our aircraft, route authorities, airport slots and frequent flyer database, unfavorable trends in historical or forecasted results of operations and cash flows and an uncertain economic environment, as well as other uncertainties. The Company can provide no assurance that a material impairment loss of tangible or intangible assets will not occur in a future period.</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price of our common stock may fluctuate significantly.</w:t>
      </w:r>
    </w:p>
    <w:p>
      <w:pPr>
        <w:spacing w:after="0" w:line="197"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The closing price for our common stock has varied between a high of $116.02 and a low of $56.15 in the year ended December 31, 2025. Volatility in the market price of our common stock may prevent holders from selling shares at or above the prices paid for them. The market price of our common stock could fluctuate significantly for various reasons which include: changes in the prices or availability of oil or jet fuel; our quarterly or annual earnings or those of other companies in our industry; changes in our earnings or recommendations by research analysts who track our common stock or the stock of other airlines; the public's reaction to our press releases, our other public announcements and our filings with the SEC; changes in the competitive landscape for the airline industry, including any changes resulting from industry consolidation whether or not involving the Company; an accident, catastrophe or incident involving an aircraft that the Company operates; mandatory grounding of an aircraft that the Company operates; changes in general conditions in the United States and global economies, financial markets or airline industries, including those resulting from changes in fuel prices or fuel shortages, war, incidents of terrorism, pandemics, geopolitical conflicts or responses to such events; our liquidity position; the sale of substantial amounts of our common stock; and the other risks described in these "Risk Factors."</w:t>
      </w:r>
    </w:p>
    <w:p>
      <w:pPr>
        <w:spacing w:after="0" w:line="125" w:lineRule="exact"/>
        <w:rPr>
          <w:sz w:val="20"/>
          <w:szCs w:val="20"/>
          <w:color w:val="auto"/>
        </w:rPr>
      </w:pPr>
    </w:p>
    <w:p>
      <w:pPr>
        <w:ind w:right="40"/>
        <w:spacing w:after="0" w:line="299" w:lineRule="auto"/>
        <w:rPr>
          <w:sz w:val="20"/>
          <w:szCs w:val="20"/>
          <w:color w:val="auto"/>
        </w:rPr>
      </w:pPr>
      <w:r>
        <w:rPr>
          <w:rFonts w:ascii="Arial" w:cs="Arial" w:eastAsia="Arial" w:hAnsi="Arial"/>
          <w:sz w:val="19"/>
          <w:szCs w:val="19"/>
          <w:b w:val="1"/>
          <w:bCs w:val="1"/>
          <w:i w:val="1"/>
          <w:iCs w:val="1"/>
          <w:color w:val="auto"/>
        </w:rPr>
        <w:t>The Company's operating results fluctuate due to seasonality and other factors associated with the airline industry, many of which are beyond the Company's control.</w:t>
      </w:r>
    </w:p>
    <w:p>
      <w:pPr>
        <w:spacing w:after="0" w:line="104"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color w:val="auto"/>
        </w:rPr>
        <w:t>Due to greater demand for air travel during the spring and summer months, revenues in the airline industry in the second and third quarters of the year are generally stronger than revenues in the first and fourth quarters of the year, which are periods of lower travel demand. The Company's operating results have historically reflected this seasonality and have also been impacted by numerous other factors that are not necessarily seasonal, including, among others, extreme or severe weather, outbreaks of disease, public health issues (such as the COVID-19 pandemic) and associated government restrictions and regulations, ATC congestion, geological events, political instability, terrorism, natural disasters, changes in the competitive environment due to industry consolidation, tax obligations, general economic conditions and other factors, as well as related consumer perceptions. Such factors have adversely affected, and could in the future continue to adversely affect, the Company. As a result, the Company's quarterly operating results are not necessarily indicative of operating results for an entire year and historical operating results in a quarterly or annual period are not necessarily indicative of future operating results.</w:t>
      </w:r>
    </w:p>
    <w:p>
      <w:pPr>
        <w:spacing w:after="0" w:line="109" w:lineRule="exact"/>
        <w:rPr>
          <w:sz w:val="20"/>
          <w:szCs w:val="20"/>
          <w:color w:val="auto"/>
        </w:rPr>
      </w:pPr>
    </w:p>
    <w:p>
      <w:pPr>
        <w:ind w:right="20"/>
        <w:spacing w:after="0" w:line="299" w:lineRule="auto"/>
        <w:rPr>
          <w:sz w:val="20"/>
          <w:szCs w:val="20"/>
          <w:color w:val="auto"/>
        </w:rPr>
      </w:pPr>
      <w:r>
        <w:rPr>
          <w:rFonts w:ascii="Arial" w:cs="Arial" w:eastAsia="Arial" w:hAnsi="Arial"/>
          <w:sz w:val="19"/>
          <w:szCs w:val="19"/>
          <w:b w:val="1"/>
          <w:bCs w:val="1"/>
          <w:i w:val="1"/>
          <w:iCs w:val="1"/>
          <w:color w:val="auto"/>
        </w:rPr>
        <w:t>Increases in insurance costs or inadequate insurance coverage may materially and adversely impact our business, operating results and financial condition.</w:t>
      </w:r>
    </w:p>
    <w:p>
      <w:pPr>
        <w:spacing w:after="0" w:line="104"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The Company maintains insurance policies, including, but not limited to, terrorism, aviation hull and liability, workers' compensation and property and business interruption insurance, but we are not fully insured against all potential hazards and risks incident to our business. If the Company is unable to obtain sufficient insurance with acceptable terms, the costs of such insurance increase materially, or if the coverage obtained is unable to pay or is insufficient relative to actual liability or losses that the Company experiences, whether due to insurance market conditions, policy limitations and exclusions or otherwise, our business, operating results and financial condition could be materially and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cannot guarantee that our share repurchase program will enhance long-term stockholder value.</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part of our capital deployment program, in the fourth quarter of 2024, the Board authorized a share repurchase program. The Company believes the price of its stock should reflect expectations that the share repurchase program will be fully consummated. However, the program does not obligate us to purchase any specific dollar amount or to acquire any specific number of shares of UAL common stock. The specific timing and amount of any share purchases will depend on the capital needs of the business, the market price of UAL common stock, general market conditions, securities law limitations and other factors. Our future repurchases of UAL common stock, if any, may be limited, suspended or discontinued at any time at our discretion and without prior notice, which could adversely affect our stock price. We, therefore, cannot guarantee that the share repurchase program will enhance long-term stockholder value.</w:t>
      </w:r>
    </w:p>
    <w:p>
      <w:pPr>
        <w:spacing w:after="0" w:line="119"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ectPr>
          <w:pgSz w:w="11880" w:h="15480" w:orient="portrait"/>
          <w:cols w:equalWidth="0" w:num="1">
            <w:col w:w="9920"/>
          </w:cols>
          <w:pgMar w:left="960" w:top="586"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9920"/>
          </w:cols>
          <w:pgMar w:left="960" w:top="586" w:right="1000" w:bottom="33" w:gutter="0" w:footer="0" w:header="0"/>
          <w:type w:val="continuous"/>
        </w:sectPr>
      </w:pPr>
    </w:p>
    <w:bookmarkStart w:id="33" w:name="page34"/>
    <w:bookmarkEnd w:id="33"/>
    <w:p>
      <w:pPr>
        <w:spacing w:after="0"/>
        <w:tabs>
          <w:tab w:leader="none" w:pos="1380" w:val="left"/>
        </w:tabs>
        <w:rPr>
          <w:sz w:val="20"/>
          <w:szCs w:val="20"/>
          <w:color w:val="auto"/>
        </w:rPr>
      </w:pPr>
      <w:r>
        <w:rPr>
          <w:rFonts w:ascii="Arial" w:cs="Arial" w:eastAsia="Arial" w:hAnsi="Arial"/>
          <w:sz w:val="19"/>
          <w:szCs w:val="19"/>
          <w:b w:val="1"/>
          <w:bCs w:val="1"/>
          <w:color w:val="auto"/>
        </w:rPr>
        <w:t>ITEM 1C.</w:t>
      </w:r>
      <w:r>
        <w:rPr>
          <w:sz w:val="20"/>
          <w:szCs w:val="20"/>
          <w:color w:val="auto"/>
        </w:rPr>
        <w:tab/>
      </w:r>
      <w:r>
        <w:rPr>
          <w:rFonts w:ascii="Arial" w:cs="Arial" w:eastAsia="Arial" w:hAnsi="Arial"/>
          <w:sz w:val="19"/>
          <w:szCs w:val="19"/>
          <w:b w:val="1"/>
          <w:bCs w:val="1"/>
          <w:color w:val="auto"/>
        </w:rPr>
        <w:t>CYBERSECURITY.</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Board and Management Oversight of Cybersecurity Risks</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considers management of cybersecurity and digital risk as essential for enabling its success. The Audit Committee (the "Audit Committee") of the Board provides oversight of the Company's risk assessment and risk management policies and strategies with respect to significant business risks, including cybersecurity and digital risk. On a regular basis, the Audit Committee reviews reports from the Company's Chief Information Security Officer ("CISO")—as well as its Chief Information Officer, Chief Risk Officer, Chief Legal Officer and Chief Compliance Officer—regarding the Company's processes for assessing, identifying and managing of cybersecurity risks, including when applicable, notable cybersecurity threats or incidents impacting the aviation sector and the Company; results of independent third-party assessments of the Company's cybersecurity program; key metrics, capabilities, resourcing and strategy regarding the Company's cybersecurity program; and updates related to cybersecurity regulatory developments. The Chair of the Audit Committee regularly reports its activities—including those related to cybersecurity risks—to the Board and, as necessary, recommends actions to the Board that the Audit Committee deems appropriate.</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CISO leads the Company's Cybersecurity and Digital Risk ("CDR") organization, which oversees the Company's approach to prevent, detect, mitigate and remediate cybersecurity and digital risk. The Company's current CISO has extensive technology and risk management experience in critical infrastructure sectors, including aviation, and is certified as a boardroom Qualified Technology Expert by the Digital Directors Network. She has served on the U.S. President's National Infrastructure Advisory Council, examining and providing recommendations related to cross-sector critical infrastructure security and resilience. She currently serves on the board of directors of the Internet Security Alliance, is currently a member of the Cybersecurity Council at Airlines for America (and has served as its Chair) and is currently a member of the board of directors of the Aviation Information Sharing and Analysis Center (A-ISAC). The Company's CDR organization includes teams focusing on cyber defense, identity and digital trust, secure product solutions and aircraft cybersecurity operations. These teams include individuals with a variety of cybersecurity expertise, including expertise in penetration testing; application cybersecurity; product cybersecurity; cloud cybersecurity; infrastructure cybersecurity; cybersecurity engineering and architecture; identity and access management; vulnerability and asset management; cybersecurity threat intelligence; cybersecurity regulatory compliance; digital fraud; digital trust; incident response; insider threat assessment; and aircraft cybersecurity.</w:t>
      </w:r>
    </w:p>
    <w:p>
      <w:pPr>
        <w:spacing w:after="0" w:line="121"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The Company's senior leadership—including across the Company's safety, legal, government affairs, operations, aviation security, finance, communications and digital technology organizations as well as others when appropriate—support the CDR organization and contribute to the management of cybersecurity and digital risk by attending regular cybersecurity risk reviews and participating in cybersecurity exercises.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Cybersecurity Risk Management and Strategy</w:t>
      </w:r>
    </w:p>
    <w:p>
      <w:pPr>
        <w:spacing w:after="0" w:line="197"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Managing cybersecurity and digital risk is a significant part of the Company's overall strategy for safely operating its business. The Company has developed a risk-based cybersecurity and digital risk management strategy. This risk-based strategy is informed by guiding principles from industry standard cybersecurity and risk management frameworks—such as those published by the National Institute of Standards and Technology—and industry-recognized practices to protect the confidentiality, integrity and availability of the Company's information technology systems and data.</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also subject to extensive cybersecurity regulation, including but not limited to those regulations overseen by the FAA, TSA, and DOT. This risk-based framework is also integrated into the Company's Enterprise Risk Management ("ERM") process that is subject to oversight by the Board. Cybersecurity risks are one of the key risks regularly evaluated, assessed and monitored as part of the Company's overall ERM process.</w:t>
      </w:r>
    </w:p>
    <w:p>
      <w:pPr>
        <w:spacing w:after="0" w:line="1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As part of its risk-based strategy, the Company maintains appropriate technical and organizational measures and regularly reviews the appropriateness of those controls based on changes to the technical or regulatory environment to protect as well as minimize threats to the Company's information; the information of the Company's customers, suppliers and other third parties; the Company's information systems; the Company's business operations; and the Company's services. The Company also regularly incorporates cybersecurity awareness training into employee communications, engagement and training activities. The Company participates in various information-sharing organizations to timely share and receive threat information, thereby improving the collective defense of the aviation, retail and hospitality and other critical infrastructure sectors. The Company regularly seeks opportunities to improve its capabilities, including through cybersecurity trainings and skill-development programs for its CDR organization members.</w:t>
      </w:r>
    </w:p>
    <w:p>
      <w:pPr>
        <w:spacing w:after="0" w:line="128" w:lineRule="exact"/>
        <w:rPr>
          <w:sz w:val="20"/>
          <w:szCs w:val="20"/>
          <w:color w:val="auto"/>
        </w:rPr>
      </w:pPr>
    </w:p>
    <w:p>
      <w:pPr>
        <w:ind w:right="400"/>
        <w:spacing w:after="0" w:line="309" w:lineRule="auto"/>
        <w:rPr>
          <w:sz w:val="20"/>
          <w:szCs w:val="20"/>
          <w:color w:val="auto"/>
        </w:rPr>
      </w:pPr>
      <w:r>
        <w:rPr>
          <w:rFonts w:ascii="Arial" w:cs="Arial" w:eastAsia="Arial" w:hAnsi="Arial"/>
          <w:sz w:val="17"/>
          <w:szCs w:val="17"/>
          <w:color w:val="auto"/>
        </w:rPr>
        <w:t>The Company utilizes a variety of third parties, as appropriate, in connection with its cybersecurity risk management. The Company employs these third-party cybersecurity companies to add capacity or expertise when necessary. Additionally, internal audits, security maturity assessments, security attestations and certifications, security testing and post-remediation reviews of the Company's cybersecurity program are periodically conducted by independent third-party service provides to</w:t>
      </w:r>
    </w:p>
    <w:p>
      <w:pPr>
        <w:sectPr>
          <w:pgSz w:w="11880" w:h="15480" w:orient="portrait"/>
          <w:cols w:equalWidth="0" w:num="1">
            <w:col w:w="9940"/>
          </w:cols>
          <w:pgMar w:left="960" w:top="579" w:right="980" w:bottom="33" w:gutter="0" w:footer="0" w:header="0"/>
        </w:sect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9940"/>
          </w:cols>
          <w:pgMar w:left="960" w:top="579" w:right="980" w:bottom="33" w:gutter="0" w:footer="0" w:header="0"/>
          <w:type w:val="continuous"/>
        </w:sectPr>
      </w:pPr>
    </w:p>
    <w:bookmarkStart w:id="34" w:name="page35"/>
    <w:bookmarkEnd w:id="34"/>
    <w:p>
      <w:pPr>
        <w:jc w:val="both"/>
        <w:ind w:right="200"/>
        <w:spacing w:after="0" w:line="274" w:lineRule="auto"/>
        <w:rPr>
          <w:sz w:val="20"/>
          <w:szCs w:val="20"/>
          <w:color w:val="auto"/>
        </w:rPr>
      </w:pPr>
      <w:r>
        <w:rPr>
          <w:rFonts w:ascii="Arial" w:cs="Arial" w:eastAsia="Arial" w:hAnsi="Arial"/>
          <w:sz w:val="19"/>
          <w:szCs w:val="19"/>
          <w:color w:val="auto"/>
        </w:rPr>
        <w:t>identify areas of potential weakness and for continued improvement as well as to ensure ongoing compliance with regulatory requirements to which we are subject. In addition, the Company actively engages with intelligence agencies, law enforcement and advocacy and industry groups.</w:t>
      </w:r>
    </w:p>
    <w:p>
      <w:pPr>
        <w:spacing w:after="0" w:line="125"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The Company is subject to cybersecurity risks related to its business partners and third-party service providers, as further detailed under the heading "Increasing privacy, data security and cybersecurity obligations or a significant data breach may adversely affect the Company's business" included as part of the risk factor disclosures in Part I, Item 1A. of this report. To assess these risks, the Company considers the impact of third-party incidents as part of its cybersecurity incident response processes. The Company also conducts evaluations of key suppliers based on risk and seeks to incorporate appropriate security standards to address the risk. In addition, the Company regularly monitors the external cybersecurity posture of select third parties through various service providers.</w:t>
      </w:r>
    </w:p>
    <w:p>
      <w:pPr>
        <w:spacing w:after="0" w:line="135"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The Company strives to design and implement technical and organizational controls comprehensively, consistently and effectively as intended to protect the confidentiality, integrity or availability of systems and data. However, because the Company utilizes a risk-based strategy, based on professional judgment and analysis of the risks, it is possible that the Company may underappreciate or not recognize specific risks and may fail to fully implement the necessary technical and organizational controls. Moreover, even well designed and implemented security controls may not eliminate the occurrence of cybersecurity incidents.</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Cybersecurity Incident Management</w:t>
      </w:r>
    </w:p>
    <w:p>
      <w:pPr>
        <w:spacing w:after="0" w:line="19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CDR organization monitors the Company's information systems to prevent, detect, mitigate and remediate cybersecurity threats. The CDR organization uses a variety of prevention and detection tools and other resources to monitor cybersecurity vulnerabilities and identify potential cybersecurity incidents. When a cybersecurity incident is identified, the CDR organization's incident response team engages with the appropriate subject matter experts, the relevant management of impacted organization(s) and others to analyze, contain, eradicate, mitigate and recover from the incident as applicable. When appropriate, during the incident response process, the CISO, the CDR organization's leadership and the Company's Chief Legal Officer may be informed and consulted and if deemed necessary, incidents may be escalated for review by the Senior Leader Crisis Team, which consists of cross-functional leaders of the Company. The Company maintains a process in which a subgroup of the Company's Disclosure Council makes a recommendation regarding the materiality of certain cybersecurity incidents to the full Disclosure Council and, if determined to be material, subsequently to the Audit Committee. Additionally, the CDR organization has frequent operating rhythms to, among other things, review cybersecurity incidents and track the progress of cybersecurity initiatives.</w:t>
      </w:r>
    </w:p>
    <w:p>
      <w:pPr>
        <w:spacing w:after="0" w:line="133"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 Company faces risks from network disruptions, cybersecurity threats (including as a result of any cybersecurity incident) and other efforts to compromise its services and underlying infrastructure that could have a material adverse effect on or are reasonably likely to materially adversely affect—individually or in the aggregate—its business strategy, results of operations, financial condition, cash flows or reputation. To the Company's knowledge, based on information available as of December 31, 2025 and through the date of this filing, such risks did not have a material adverse effect on the Company in the last three fiscal years. However, from time to time the Company has experienced and expects to continue to face increasing cybersecurity risks as well as potential network disruptions—whether directly or through its supply chain or other channels—in the normal course of its business. For more information about the cybersecurity-related risks that the Company faces, see the risks detailed under the headings "The Company relies heavily on technology and automated systems to operate its business and any significant failure or disruption of, or failure to effectively integrate and implement, these technologies or systems could materially harm its business or business strategy" and "Increasing privacy, data security and cybersecurity obligations or a significant data breach may adversely affect the Company's business" included as part of the Company's risk factor disclosures in Part I, Item 1A. of this Form 10-K.</w:t>
      </w:r>
    </w:p>
    <w:p>
      <w:pPr>
        <w:sectPr>
          <w:pgSz w:w="11880" w:h="15480" w:orient="portrait"/>
          <w:cols w:equalWidth="0" w:num="1">
            <w:col w:w="9960"/>
          </w:cols>
          <w:pgMar w:left="960" w:top="586"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9960"/>
          </w:cols>
          <w:pgMar w:left="960" w:top="586" w:right="960" w:bottom="33" w:gutter="0" w:footer="0" w:header="0"/>
          <w:type w:val="continuous"/>
        </w:sectPr>
      </w:pPr>
    </w:p>
    <w:bookmarkStart w:id="35" w:name="page36"/>
    <w:bookmarkEnd w:id="35"/>
    <w:p>
      <w:pPr>
        <w:spacing w:after="0"/>
        <w:tabs>
          <w:tab w:leader="none" w:pos="1380" w:val="left"/>
        </w:tabs>
        <w:rPr>
          <w:sz w:val="20"/>
          <w:szCs w:val="20"/>
          <w:color w:val="auto"/>
        </w:rPr>
      </w:pPr>
      <w:r>
        <w:rPr>
          <w:rFonts w:ascii="Arial" w:cs="Arial" w:eastAsia="Arial" w:hAnsi="Arial"/>
          <w:sz w:val="19"/>
          <w:szCs w:val="19"/>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Fleet. </w:t>
      </w:r>
      <w:r>
        <w:rPr>
          <w:rFonts w:ascii="Arial" w:cs="Arial" w:eastAsia="Arial" w:hAnsi="Arial"/>
          <w:sz w:val="19"/>
          <w:szCs w:val="19"/>
          <w:color w:val="auto"/>
        </w:rPr>
        <w:t>As of December 31, 2025, United's mainline and regional fleets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Arial" w:cs="Arial" w:eastAsia="Arial" w:hAnsi="Arial"/>
                <w:sz w:val="17"/>
                <w:szCs w:val="17"/>
                <w:b w:val="1"/>
                <w:bCs w:val="1"/>
                <w:color w:val="auto"/>
              </w:rPr>
              <w:t>Seats in</w:t>
            </w:r>
          </w:p>
        </w:tc>
        <w:tc>
          <w:tcPr>
            <w:tcW w:w="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Average Age</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60" w:type="dxa"/>
            <w:vAlign w:val="bottom"/>
            <w:vMerge w:val="restart"/>
          </w:tcPr>
          <w:p>
            <w:pPr>
              <w:ind w:left="1120"/>
              <w:spacing w:after="0"/>
              <w:rPr>
                <w:sz w:val="20"/>
                <w:szCs w:val="20"/>
                <w:color w:val="auto"/>
              </w:rPr>
            </w:pPr>
            <w:r>
              <w:rPr>
                <w:rFonts w:ascii="Arial" w:cs="Arial" w:eastAsia="Arial" w:hAnsi="Arial"/>
                <w:sz w:val="17"/>
                <w:szCs w:val="17"/>
                <w:b w:val="1"/>
                <w:bCs w:val="1"/>
                <w:color w:val="auto"/>
              </w:rPr>
              <w:t>Aircraft Type</w:t>
            </w:r>
          </w:p>
        </w:tc>
        <w:tc>
          <w:tcPr>
            <w:tcW w:w="60" w:type="dxa"/>
            <w:vAlign w:val="bottom"/>
          </w:tcPr>
          <w:p>
            <w:pPr>
              <w:spacing w:after="0"/>
              <w:rPr>
                <w:sz w:val="15"/>
                <w:szCs w:val="15"/>
                <w:color w:val="auto"/>
              </w:rPr>
            </w:pPr>
          </w:p>
        </w:tc>
        <w:tc>
          <w:tcPr>
            <w:tcW w:w="960" w:type="dxa"/>
            <w:vAlign w:val="bottom"/>
            <w:vMerge w:val="restart"/>
          </w:tcPr>
          <w:p>
            <w:pPr>
              <w:jc w:val="right"/>
              <w:ind w:right="193"/>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Owned</w:t>
            </w:r>
          </w:p>
        </w:tc>
        <w:tc>
          <w:tcPr>
            <w:tcW w:w="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Leased</w:t>
            </w:r>
          </w:p>
        </w:tc>
        <w:tc>
          <w:tcPr>
            <w:tcW w:w="60" w:type="dxa"/>
            <w:vAlign w:val="bottom"/>
          </w:tcPr>
          <w:p>
            <w:pPr>
              <w:spacing w:after="0"/>
              <w:rPr>
                <w:sz w:val="15"/>
                <w:szCs w:val="15"/>
                <w:color w:val="auto"/>
              </w:rPr>
            </w:pPr>
          </w:p>
        </w:tc>
        <w:tc>
          <w:tcPr>
            <w:tcW w:w="1220" w:type="dxa"/>
            <w:vAlign w:val="bottom"/>
          </w:tcPr>
          <w:p>
            <w:pPr>
              <w:jc w:val="right"/>
              <w:ind w:right="173"/>
              <w:spacing w:after="0" w:line="175" w:lineRule="exact"/>
              <w:rPr>
                <w:sz w:val="20"/>
                <w:szCs w:val="20"/>
                <w:color w:val="auto"/>
              </w:rPr>
            </w:pPr>
            <w:r>
              <w:rPr>
                <w:rFonts w:ascii="Arial" w:cs="Arial" w:eastAsia="Arial" w:hAnsi="Arial"/>
                <w:sz w:val="17"/>
                <w:szCs w:val="17"/>
                <w:b w:val="1"/>
                <w:bCs w:val="1"/>
                <w:color w:val="auto"/>
              </w:rPr>
              <w:t>Standard</w:t>
            </w:r>
          </w:p>
        </w:tc>
        <w:tc>
          <w:tcPr>
            <w:tcW w:w="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Configuration</w:t>
            </w:r>
          </w:p>
        </w:tc>
        <w:tc>
          <w:tcPr>
            <w:tcW w:w="60" w:type="dxa"/>
            <w:vAlign w:val="bottom"/>
          </w:tcPr>
          <w:p>
            <w:pPr>
              <w:spacing w:after="0"/>
              <w:rPr>
                <w:sz w:val="20"/>
                <w:szCs w:val="20"/>
                <w:color w:val="auto"/>
              </w:rPr>
            </w:pP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(In Years)</w:t>
            </w:r>
          </w:p>
        </w:tc>
        <w:tc>
          <w:tcPr>
            <w:tcW w:w="0" w:type="dxa"/>
            <w:vAlign w:val="bottom"/>
          </w:tcPr>
          <w:p>
            <w:pPr>
              <w:spacing w:after="0"/>
              <w:rPr>
                <w:sz w:val="1"/>
                <w:szCs w:val="1"/>
                <w:color w:val="auto"/>
              </w:rPr>
            </w:pPr>
          </w:p>
        </w:tc>
      </w:tr>
      <w:tr>
        <w:trPr>
          <w:trHeight w:val="171"/>
        </w:trPr>
        <w:tc>
          <w:tcPr>
            <w:tcW w:w="4840" w:type="dxa"/>
            <w:vAlign w:val="bottom"/>
            <w:gridSpan w:val="3"/>
          </w:tcPr>
          <w:p>
            <w:pPr>
              <w:ind w:left="60"/>
              <w:spacing w:after="0" w:line="171" w:lineRule="exact"/>
              <w:rPr>
                <w:sz w:val="20"/>
                <w:szCs w:val="20"/>
                <w:color w:val="auto"/>
              </w:rPr>
            </w:pPr>
            <w:r>
              <w:rPr>
                <w:rFonts w:ascii="Arial" w:cs="Arial" w:eastAsia="Arial" w:hAnsi="Arial"/>
                <w:sz w:val="17"/>
                <w:szCs w:val="17"/>
                <w:b w:val="1"/>
                <w:bCs w:val="1"/>
                <w:color w:val="auto"/>
              </w:rPr>
              <w:t>Mainline:</w:t>
            </w: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6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0" w:type="dxa"/>
            <w:vAlign w:val="bottom"/>
            <w:shd w:val="clear" w:color="auto" w:fill="E6E6E6"/>
          </w:tcPr>
          <w:p>
            <w:pPr>
              <w:spacing w:after="0"/>
              <w:rPr>
                <w:sz w:val="21"/>
                <w:szCs w:val="21"/>
                <w:color w:val="auto"/>
              </w:rPr>
            </w:pPr>
          </w:p>
        </w:tc>
        <w:tc>
          <w:tcPr>
            <w:tcW w:w="4780" w:type="dxa"/>
            <w:vAlign w:val="bottom"/>
            <w:gridSpan w:val="2"/>
            <w:shd w:val="clear" w:color="auto" w:fill="E6E6E6"/>
          </w:tcPr>
          <w:p>
            <w:pPr>
              <w:spacing w:after="0"/>
              <w:rPr>
                <w:sz w:val="20"/>
                <w:szCs w:val="20"/>
                <w:color w:val="auto"/>
              </w:rPr>
            </w:pPr>
            <w:r>
              <w:rPr>
                <w:rFonts w:ascii="Arial" w:cs="Arial" w:eastAsia="Arial" w:hAnsi="Arial"/>
                <w:sz w:val="17"/>
                <w:szCs w:val="17"/>
                <w:color w:val="auto"/>
              </w:rPr>
              <w:t>777-300ER</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22</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22</w:t>
            </w:r>
          </w:p>
        </w:tc>
        <w:tc>
          <w:tcPr>
            <w:tcW w:w="60" w:type="dxa"/>
            <w:vAlign w:val="bottom"/>
            <w:shd w:val="clear" w:color="auto" w:fill="E6E6E6"/>
          </w:tcPr>
          <w:p>
            <w:pPr>
              <w:spacing w:after="0"/>
              <w:rPr>
                <w:sz w:val="21"/>
                <w:szCs w:val="21"/>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350</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40"/>
        </w:trPr>
        <w:tc>
          <w:tcPr>
            <w:tcW w:w="4840" w:type="dxa"/>
            <w:vAlign w:val="bottom"/>
            <w:gridSpan w:val="3"/>
          </w:tcPr>
          <w:p>
            <w:pPr>
              <w:ind w:left="60"/>
              <w:spacing w:after="0"/>
              <w:rPr>
                <w:sz w:val="20"/>
                <w:szCs w:val="20"/>
                <w:color w:val="auto"/>
              </w:rPr>
            </w:pPr>
            <w:r>
              <w:rPr>
                <w:rFonts w:ascii="Arial" w:cs="Arial" w:eastAsia="Arial" w:hAnsi="Arial"/>
                <w:sz w:val="17"/>
                <w:szCs w:val="17"/>
                <w:color w:val="auto"/>
              </w:rPr>
              <w:t>777-200ER</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276-362</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55"/>
        </w:trPr>
        <w:tc>
          <w:tcPr>
            <w:tcW w:w="780" w:type="dxa"/>
            <w:vAlign w:val="bottom"/>
            <w:gridSpan w:val="2"/>
            <w:shd w:val="clear" w:color="auto" w:fill="E6E6E6"/>
          </w:tcPr>
          <w:p>
            <w:pPr>
              <w:ind w:left="60"/>
              <w:spacing w:after="0"/>
              <w:rPr>
                <w:sz w:val="20"/>
                <w:szCs w:val="20"/>
                <w:color w:val="auto"/>
              </w:rPr>
            </w:pPr>
            <w:r>
              <w:rPr>
                <w:rFonts w:ascii="Arial" w:cs="Arial" w:eastAsia="Arial" w:hAnsi="Arial"/>
                <w:sz w:val="17"/>
                <w:szCs w:val="17"/>
                <w:color w:val="auto"/>
              </w:rPr>
              <w:t>777-200</w:t>
            </w:r>
          </w:p>
        </w:tc>
        <w:tc>
          <w:tcPr>
            <w:tcW w:w="4060" w:type="dxa"/>
            <w:vAlign w:val="bottom"/>
            <w:shd w:val="clear" w:color="auto" w:fill="E6E6E6"/>
          </w:tcPr>
          <w:p>
            <w:pPr>
              <w:spacing w:after="0"/>
              <w:rPr>
                <w:sz w:val="22"/>
                <w:szCs w:val="22"/>
                <w:color w:val="auto"/>
              </w:rPr>
            </w:pP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19</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19</w:t>
            </w:r>
          </w:p>
        </w:tc>
        <w:tc>
          <w:tcPr>
            <w:tcW w:w="60" w:type="dxa"/>
            <w:vAlign w:val="bottom"/>
            <w:shd w:val="clear" w:color="auto" w:fill="E6E6E6"/>
          </w:tcPr>
          <w:p>
            <w:pPr>
              <w:spacing w:after="0"/>
              <w:rPr>
                <w:sz w:val="22"/>
                <w:szCs w:val="22"/>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364</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40"/>
        </w:trPr>
        <w:tc>
          <w:tcPr>
            <w:tcW w:w="780" w:type="dxa"/>
            <w:vAlign w:val="bottom"/>
            <w:gridSpan w:val="2"/>
          </w:tcPr>
          <w:p>
            <w:pPr>
              <w:ind w:left="60"/>
              <w:spacing w:after="0"/>
              <w:rPr>
                <w:sz w:val="20"/>
                <w:szCs w:val="20"/>
                <w:color w:val="auto"/>
              </w:rPr>
            </w:pPr>
            <w:r>
              <w:rPr>
                <w:rFonts w:ascii="Arial" w:cs="Arial" w:eastAsia="Arial" w:hAnsi="Arial"/>
                <w:sz w:val="17"/>
                <w:szCs w:val="17"/>
                <w:color w:val="auto"/>
              </w:rPr>
              <w:t>787-10</w:t>
            </w:r>
          </w:p>
        </w:tc>
        <w:tc>
          <w:tcPr>
            <w:tcW w:w="40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318</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55"/>
        </w:trPr>
        <w:tc>
          <w:tcPr>
            <w:tcW w:w="780" w:type="dxa"/>
            <w:vAlign w:val="bottom"/>
            <w:gridSpan w:val="2"/>
            <w:shd w:val="clear" w:color="auto" w:fill="E6E6E6"/>
          </w:tcPr>
          <w:p>
            <w:pPr>
              <w:ind w:left="60"/>
              <w:spacing w:after="0"/>
              <w:rPr>
                <w:sz w:val="20"/>
                <w:szCs w:val="20"/>
                <w:color w:val="auto"/>
              </w:rPr>
            </w:pPr>
            <w:r>
              <w:rPr>
                <w:rFonts w:ascii="Arial" w:cs="Arial" w:eastAsia="Arial" w:hAnsi="Arial"/>
                <w:sz w:val="17"/>
                <w:szCs w:val="17"/>
                <w:color w:val="auto"/>
              </w:rPr>
              <w:t>787-9</w:t>
            </w:r>
          </w:p>
        </w:tc>
        <w:tc>
          <w:tcPr>
            <w:tcW w:w="4060" w:type="dxa"/>
            <w:vAlign w:val="bottom"/>
            <w:shd w:val="clear" w:color="auto" w:fill="E6E6E6"/>
          </w:tcPr>
          <w:p>
            <w:pPr>
              <w:spacing w:after="0"/>
              <w:rPr>
                <w:sz w:val="22"/>
                <w:szCs w:val="22"/>
                <w:color w:val="auto"/>
              </w:rPr>
            </w:pP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48</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48</w:t>
            </w:r>
          </w:p>
        </w:tc>
        <w:tc>
          <w:tcPr>
            <w:tcW w:w="60" w:type="dxa"/>
            <w:vAlign w:val="bottom"/>
            <w:shd w:val="clear" w:color="auto" w:fill="E6E6E6"/>
          </w:tcPr>
          <w:p>
            <w:pPr>
              <w:spacing w:after="0"/>
              <w:rPr>
                <w:sz w:val="22"/>
                <w:szCs w:val="22"/>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257</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40"/>
        </w:trPr>
        <w:tc>
          <w:tcPr>
            <w:tcW w:w="780" w:type="dxa"/>
            <w:vAlign w:val="bottom"/>
            <w:gridSpan w:val="2"/>
          </w:tcPr>
          <w:p>
            <w:pPr>
              <w:ind w:left="60"/>
              <w:spacing w:after="0"/>
              <w:rPr>
                <w:sz w:val="20"/>
                <w:szCs w:val="20"/>
                <w:color w:val="auto"/>
              </w:rPr>
            </w:pPr>
            <w:r>
              <w:rPr>
                <w:rFonts w:ascii="Arial" w:cs="Arial" w:eastAsia="Arial" w:hAnsi="Arial"/>
                <w:sz w:val="17"/>
                <w:szCs w:val="17"/>
                <w:color w:val="auto"/>
              </w:rPr>
              <w:t>787-8</w:t>
            </w:r>
          </w:p>
        </w:tc>
        <w:tc>
          <w:tcPr>
            <w:tcW w:w="40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243</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55"/>
        </w:trPr>
        <w:tc>
          <w:tcPr>
            <w:tcW w:w="4840" w:type="dxa"/>
            <w:vAlign w:val="bottom"/>
            <w:gridSpan w:val="3"/>
            <w:shd w:val="clear" w:color="auto" w:fill="E6E6E6"/>
          </w:tcPr>
          <w:p>
            <w:pPr>
              <w:ind w:left="60"/>
              <w:spacing w:after="0"/>
              <w:rPr>
                <w:sz w:val="20"/>
                <w:szCs w:val="20"/>
                <w:color w:val="auto"/>
              </w:rPr>
            </w:pPr>
            <w:r>
              <w:rPr>
                <w:rFonts w:ascii="Arial" w:cs="Arial" w:eastAsia="Arial" w:hAnsi="Arial"/>
                <w:sz w:val="17"/>
                <w:szCs w:val="17"/>
                <w:color w:val="auto"/>
              </w:rPr>
              <w:t>767-400ER</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16</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16</w:t>
            </w:r>
          </w:p>
        </w:tc>
        <w:tc>
          <w:tcPr>
            <w:tcW w:w="60" w:type="dxa"/>
            <w:vAlign w:val="bottom"/>
            <w:shd w:val="clear" w:color="auto" w:fill="E6E6E6"/>
          </w:tcPr>
          <w:p>
            <w:pPr>
              <w:spacing w:after="0"/>
              <w:rPr>
                <w:sz w:val="22"/>
                <w:szCs w:val="22"/>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231</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40"/>
        </w:trPr>
        <w:tc>
          <w:tcPr>
            <w:tcW w:w="4840" w:type="dxa"/>
            <w:vAlign w:val="bottom"/>
            <w:gridSpan w:val="3"/>
          </w:tcPr>
          <w:p>
            <w:pPr>
              <w:ind w:left="60"/>
              <w:spacing w:after="0"/>
              <w:rPr>
                <w:sz w:val="20"/>
                <w:szCs w:val="20"/>
                <w:color w:val="auto"/>
              </w:rPr>
            </w:pPr>
            <w:r>
              <w:rPr>
                <w:rFonts w:ascii="Arial" w:cs="Arial" w:eastAsia="Arial" w:hAnsi="Arial"/>
                <w:sz w:val="17"/>
                <w:szCs w:val="17"/>
                <w:color w:val="auto"/>
              </w:rPr>
              <w:t>767-300ER</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37</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37</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167-203</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55"/>
        </w:trPr>
        <w:tc>
          <w:tcPr>
            <w:tcW w:w="780" w:type="dxa"/>
            <w:vAlign w:val="bottom"/>
            <w:gridSpan w:val="2"/>
            <w:shd w:val="clear" w:color="auto" w:fill="E6E6E6"/>
          </w:tcPr>
          <w:p>
            <w:pPr>
              <w:ind w:left="60"/>
              <w:spacing w:after="0"/>
              <w:rPr>
                <w:sz w:val="20"/>
                <w:szCs w:val="20"/>
                <w:color w:val="auto"/>
              </w:rPr>
            </w:pPr>
            <w:r>
              <w:rPr>
                <w:rFonts w:ascii="Arial" w:cs="Arial" w:eastAsia="Arial" w:hAnsi="Arial"/>
                <w:sz w:val="17"/>
                <w:szCs w:val="17"/>
                <w:color w:val="auto"/>
              </w:rPr>
              <w:t>757-300</w:t>
            </w:r>
          </w:p>
        </w:tc>
        <w:tc>
          <w:tcPr>
            <w:tcW w:w="4060" w:type="dxa"/>
            <w:vAlign w:val="bottom"/>
            <w:shd w:val="clear" w:color="auto" w:fill="E6E6E6"/>
          </w:tcPr>
          <w:p>
            <w:pPr>
              <w:spacing w:after="0"/>
              <w:rPr>
                <w:sz w:val="22"/>
                <w:szCs w:val="22"/>
                <w:color w:val="auto"/>
              </w:rPr>
            </w:pP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21</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21</w:t>
            </w:r>
          </w:p>
        </w:tc>
        <w:tc>
          <w:tcPr>
            <w:tcW w:w="60" w:type="dxa"/>
            <w:vAlign w:val="bottom"/>
            <w:shd w:val="clear" w:color="auto" w:fill="E6E6E6"/>
          </w:tcPr>
          <w:p>
            <w:pPr>
              <w:spacing w:after="0"/>
              <w:rPr>
                <w:sz w:val="22"/>
                <w:szCs w:val="22"/>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234</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240"/>
        </w:trPr>
        <w:tc>
          <w:tcPr>
            <w:tcW w:w="780" w:type="dxa"/>
            <w:vAlign w:val="bottom"/>
            <w:gridSpan w:val="2"/>
          </w:tcPr>
          <w:p>
            <w:pPr>
              <w:ind w:left="60"/>
              <w:spacing w:after="0"/>
              <w:rPr>
                <w:sz w:val="20"/>
                <w:szCs w:val="20"/>
                <w:color w:val="auto"/>
              </w:rPr>
            </w:pPr>
            <w:r>
              <w:rPr>
                <w:rFonts w:ascii="Arial" w:cs="Arial" w:eastAsia="Arial" w:hAnsi="Arial"/>
                <w:sz w:val="17"/>
                <w:szCs w:val="17"/>
                <w:color w:val="auto"/>
              </w:rPr>
              <w:t>757-200</w:t>
            </w:r>
          </w:p>
        </w:tc>
        <w:tc>
          <w:tcPr>
            <w:tcW w:w="40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39</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176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55"/>
        </w:trPr>
        <w:tc>
          <w:tcPr>
            <w:tcW w:w="4840" w:type="dxa"/>
            <w:vAlign w:val="bottom"/>
            <w:gridSpan w:val="3"/>
            <w:shd w:val="clear" w:color="auto" w:fill="E6E6E6"/>
          </w:tcPr>
          <w:p>
            <w:pPr>
              <w:ind w:left="60"/>
              <w:spacing w:after="0"/>
              <w:rPr>
                <w:sz w:val="20"/>
                <w:szCs w:val="20"/>
                <w:color w:val="auto"/>
              </w:rPr>
            </w:pPr>
            <w:r>
              <w:rPr>
                <w:rFonts w:ascii="Arial" w:cs="Arial" w:eastAsia="Arial" w:hAnsi="Arial"/>
                <w:sz w:val="17"/>
                <w:szCs w:val="17"/>
                <w:color w:val="auto"/>
              </w:rPr>
              <w:t>737 MAX 9</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120</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76</w:t>
            </w:r>
          </w:p>
        </w:tc>
        <w:tc>
          <w:tcPr>
            <w:tcW w:w="76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44</w:t>
            </w:r>
          </w:p>
        </w:tc>
        <w:tc>
          <w:tcPr>
            <w:tcW w:w="128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179</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40"/>
        </w:trPr>
        <w:tc>
          <w:tcPr>
            <w:tcW w:w="4840" w:type="dxa"/>
            <w:vAlign w:val="bottom"/>
            <w:gridSpan w:val="3"/>
          </w:tcPr>
          <w:p>
            <w:pPr>
              <w:ind w:left="60"/>
              <w:spacing w:after="0"/>
              <w:rPr>
                <w:sz w:val="20"/>
                <w:szCs w:val="20"/>
                <w:color w:val="auto"/>
              </w:rPr>
            </w:pPr>
            <w:r>
              <w:rPr>
                <w:rFonts w:ascii="Arial" w:cs="Arial" w:eastAsia="Arial" w:hAnsi="Arial"/>
                <w:sz w:val="17"/>
                <w:szCs w:val="17"/>
                <w:color w:val="auto"/>
              </w:rPr>
              <w:t>737 MAX 8</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123</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107</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166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54"/>
        </w:trPr>
        <w:tc>
          <w:tcPr>
            <w:tcW w:w="4840" w:type="dxa"/>
            <w:vAlign w:val="bottom"/>
            <w:gridSpan w:val="3"/>
            <w:shd w:val="clear" w:color="auto" w:fill="E6E6E6"/>
          </w:tcPr>
          <w:p>
            <w:pPr>
              <w:ind w:left="40"/>
              <w:spacing w:after="0"/>
              <w:rPr>
                <w:sz w:val="20"/>
                <w:szCs w:val="20"/>
                <w:color w:val="auto"/>
              </w:rPr>
            </w:pPr>
            <w:r>
              <w:rPr>
                <w:rFonts w:ascii="Arial" w:cs="Arial" w:eastAsia="Arial" w:hAnsi="Arial"/>
                <w:sz w:val="17"/>
                <w:szCs w:val="17"/>
                <w:color w:val="auto"/>
              </w:rPr>
              <w:t>737-900ER</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136</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136</w:t>
            </w:r>
          </w:p>
        </w:tc>
        <w:tc>
          <w:tcPr>
            <w:tcW w:w="60" w:type="dxa"/>
            <w:vAlign w:val="bottom"/>
            <w:shd w:val="clear" w:color="auto" w:fill="E6E6E6"/>
          </w:tcPr>
          <w:p>
            <w:pPr>
              <w:spacing w:after="0"/>
              <w:rPr>
                <w:sz w:val="22"/>
                <w:szCs w:val="22"/>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179</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40"/>
        </w:trPr>
        <w:tc>
          <w:tcPr>
            <w:tcW w:w="780" w:type="dxa"/>
            <w:vAlign w:val="bottom"/>
            <w:gridSpan w:val="2"/>
          </w:tcPr>
          <w:p>
            <w:pPr>
              <w:ind w:left="40"/>
              <w:spacing w:after="0"/>
              <w:rPr>
                <w:sz w:val="20"/>
                <w:szCs w:val="20"/>
                <w:color w:val="auto"/>
              </w:rPr>
            </w:pPr>
            <w:r>
              <w:rPr>
                <w:rFonts w:ascii="Arial" w:cs="Arial" w:eastAsia="Arial" w:hAnsi="Arial"/>
                <w:sz w:val="17"/>
                <w:szCs w:val="17"/>
                <w:color w:val="auto"/>
              </w:rPr>
              <w:t>737-900</w:t>
            </w:r>
          </w:p>
        </w:tc>
        <w:tc>
          <w:tcPr>
            <w:tcW w:w="40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179</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54"/>
        </w:trPr>
        <w:tc>
          <w:tcPr>
            <w:tcW w:w="780" w:type="dxa"/>
            <w:vAlign w:val="bottom"/>
            <w:gridSpan w:val="2"/>
            <w:shd w:val="clear" w:color="auto" w:fill="E6E6E6"/>
          </w:tcPr>
          <w:p>
            <w:pPr>
              <w:ind w:left="40"/>
              <w:spacing w:after="0"/>
              <w:rPr>
                <w:sz w:val="20"/>
                <w:szCs w:val="20"/>
                <w:color w:val="auto"/>
              </w:rPr>
            </w:pPr>
            <w:r>
              <w:rPr>
                <w:rFonts w:ascii="Arial" w:cs="Arial" w:eastAsia="Arial" w:hAnsi="Arial"/>
                <w:sz w:val="17"/>
                <w:szCs w:val="17"/>
                <w:color w:val="auto"/>
              </w:rPr>
              <w:t>737-800</w:t>
            </w:r>
          </w:p>
        </w:tc>
        <w:tc>
          <w:tcPr>
            <w:tcW w:w="4060" w:type="dxa"/>
            <w:vAlign w:val="bottom"/>
            <w:shd w:val="clear" w:color="auto" w:fill="E6E6E6"/>
          </w:tcPr>
          <w:p>
            <w:pPr>
              <w:spacing w:after="0"/>
              <w:rPr>
                <w:sz w:val="22"/>
                <w:szCs w:val="22"/>
                <w:color w:val="auto"/>
              </w:rPr>
            </w:pP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141</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130</w:t>
            </w:r>
          </w:p>
        </w:tc>
        <w:tc>
          <w:tcPr>
            <w:tcW w:w="76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11</w:t>
            </w:r>
          </w:p>
        </w:tc>
        <w:tc>
          <w:tcPr>
            <w:tcW w:w="128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166</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40"/>
        </w:trPr>
        <w:tc>
          <w:tcPr>
            <w:tcW w:w="780" w:type="dxa"/>
            <w:vAlign w:val="bottom"/>
            <w:gridSpan w:val="2"/>
          </w:tcPr>
          <w:p>
            <w:pPr>
              <w:ind w:left="40"/>
              <w:spacing w:after="0"/>
              <w:rPr>
                <w:sz w:val="20"/>
                <w:szCs w:val="20"/>
                <w:color w:val="auto"/>
              </w:rPr>
            </w:pPr>
            <w:r>
              <w:rPr>
                <w:rFonts w:ascii="Arial" w:cs="Arial" w:eastAsia="Arial" w:hAnsi="Arial"/>
                <w:sz w:val="17"/>
                <w:szCs w:val="17"/>
                <w:color w:val="auto"/>
              </w:rPr>
              <w:t>737-700</w:t>
            </w:r>
          </w:p>
        </w:tc>
        <w:tc>
          <w:tcPr>
            <w:tcW w:w="40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126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54"/>
        </w:trPr>
        <w:tc>
          <w:tcPr>
            <w:tcW w:w="4840" w:type="dxa"/>
            <w:vAlign w:val="bottom"/>
            <w:gridSpan w:val="3"/>
            <w:shd w:val="clear" w:color="auto" w:fill="E6E6E6"/>
          </w:tcPr>
          <w:p>
            <w:pPr>
              <w:ind w:left="40"/>
              <w:spacing w:after="0"/>
              <w:rPr>
                <w:sz w:val="20"/>
                <w:szCs w:val="20"/>
                <w:color w:val="auto"/>
              </w:rPr>
            </w:pPr>
            <w:r>
              <w:rPr>
                <w:rFonts w:ascii="Arial" w:cs="Arial" w:eastAsia="Arial" w:hAnsi="Arial"/>
                <w:sz w:val="17"/>
                <w:szCs w:val="17"/>
                <w:color w:val="auto"/>
              </w:rPr>
              <w:t>A321neo</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59</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51</w:t>
            </w:r>
          </w:p>
        </w:tc>
        <w:tc>
          <w:tcPr>
            <w:tcW w:w="76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8</w:t>
            </w:r>
          </w:p>
        </w:tc>
        <w:tc>
          <w:tcPr>
            <w:tcW w:w="128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200</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41"/>
        </w:trPr>
        <w:tc>
          <w:tcPr>
            <w:tcW w:w="4840" w:type="dxa"/>
            <w:vAlign w:val="bottom"/>
            <w:gridSpan w:val="3"/>
          </w:tcPr>
          <w:p>
            <w:pPr>
              <w:ind w:left="40"/>
              <w:spacing w:after="0"/>
              <w:rPr>
                <w:sz w:val="20"/>
                <w:szCs w:val="20"/>
                <w:color w:val="auto"/>
              </w:rPr>
            </w:pPr>
            <w:r>
              <w:rPr>
                <w:rFonts w:ascii="Arial" w:cs="Arial" w:eastAsia="Arial" w:hAnsi="Arial"/>
                <w:sz w:val="17"/>
                <w:szCs w:val="17"/>
                <w:color w:val="auto"/>
              </w:rPr>
              <w:t>A320-200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68</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68</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150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63"/>
        </w:trPr>
        <w:tc>
          <w:tcPr>
            <w:tcW w:w="4840" w:type="dxa"/>
            <w:vAlign w:val="bottom"/>
            <w:gridSpan w:val="3"/>
            <w:shd w:val="clear" w:color="auto" w:fill="E6E6E6"/>
          </w:tcPr>
          <w:p>
            <w:pPr>
              <w:ind w:left="40"/>
              <w:spacing w:after="0"/>
              <w:rPr>
                <w:sz w:val="20"/>
                <w:szCs w:val="20"/>
                <w:color w:val="auto"/>
              </w:rPr>
            </w:pPr>
            <w:r>
              <w:rPr>
                <w:rFonts w:ascii="Arial" w:cs="Arial" w:eastAsia="Arial" w:hAnsi="Arial"/>
                <w:sz w:val="17"/>
                <w:szCs w:val="17"/>
                <w:color w:val="auto"/>
              </w:rPr>
              <w:t>A319-100</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76</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51</w:t>
            </w:r>
          </w:p>
        </w:tc>
        <w:tc>
          <w:tcPr>
            <w:tcW w:w="76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25</w:t>
            </w:r>
          </w:p>
        </w:tc>
        <w:tc>
          <w:tcPr>
            <w:tcW w:w="128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126</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09"/>
        </w:trPr>
        <w:tc>
          <w:tcPr>
            <w:tcW w:w="60" w:type="dxa"/>
            <w:vAlign w:val="bottom"/>
            <w:tcBorders>
              <w:top w:val="single" w:sz="8" w:color="E6E6E6"/>
            </w:tcBorders>
          </w:tcPr>
          <w:p>
            <w:pPr>
              <w:spacing w:after="0"/>
              <w:rPr>
                <w:sz w:val="18"/>
                <w:szCs w:val="18"/>
                <w:color w:val="auto"/>
              </w:rPr>
            </w:pPr>
          </w:p>
        </w:tc>
        <w:tc>
          <w:tcPr>
            <w:tcW w:w="4780" w:type="dxa"/>
            <w:vAlign w:val="bottom"/>
            <w:tcBorders>
              <w:top w:val="single" w:sz="8" w:color="E6E6E6"/>
            </w:tcBorders>
            <w:gridSpan w:val="2"/>
          </w:tcPr>
          <w:p>
            <w:pPr>
              <w:ind w:left="120"/>
              <w:spacing w:after="0"/>
              <w:rPr>
                <w:sz w:val="20"/>
                <w:szCs w:val="20"/>
                <w:color w:val="auto"/>
              </w:rPr>
            </w:pPr>
            <w:r>
              <w:rPr>
                <w:rFonts w:ascii="Arial" w:cs="Arial" w:eastAsia="Arial" w:hAnsi="Arial"/>
                <w:sz w:val="17"/>
                <w:szCs w:val="17"/>
                <w:color w:val="auto"/>
              </w:rPr>
              <w:t>Total mainline</w:t>
            </w:r>
          </w:p>
        </w:tc>
        <w:tc>
          <w:tcPr>
            <w:tcW w:w="60" w:type="dxa"/>
            <w:vAlign w:val="bottom"/>
            <w:tcBorders>
              <w:top w:val="single" w:sz="8" w:color="E6E6E6"/>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1,066</w:t>
            </w:r>
          </w:p>
        </w:tc>
        <w:tc>
          <w:tcPr>
            <w:tcW w:w="100" w:type="dxa"/>
            <w:vAlign w:val="bottom"/>
            <w:tcBorders>
              <w:top w:val="single" w:sz="8" w:color="E6E6E6"/>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958</w:t>
            </w:r>
          </w:p>
        </w:tc>
        <w:tc>
          <w:tcPr>
            <w:tcW w:w="60" w:type="dxa"/>
            <w:vAlign w:val="bottom"/>
            <w:tcBorders>
              <w:top w:val="single" w:sz="8" w:color="E6E6E6"/>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60" w:type="dxa"/>
            <w:vAlign w:val="bottom"/>
            <w:tcBorders>
              <w:top w:val="single" w:sz="8" w:color="E6E6E6"/>
            </w:tcBorders>
          </w:tcPr>
          <w:p>
            <w:pPr>
              <w:spacing w:after="0"/>
              <w:rPr>
                <w:sz w:val="18"/>
                <w:szCs w:val="18"/>
                <w:color w:val="auto"/>
              </w:rPr>
            </w:pPr>
          </w:p>
        </w:tc>
        <w:tc>
          <w:tcPr>
            <w:tcW w:w="1220" w:type="dxa"/>
            <w:vAlign w:val="bottom"/>
            <w:tcBorders>
              <w:top w:val="single" w:sz="8" w:color="E6E6E6"/>
            </w:tcBorders>
          </w:tcPr>
          <w:p>
            <w:pPr>
              <w:spacing w:after="0"/>
              <w:rPr>
                <w:sz w:val="18"/>
                <w:szCs w:val="18"/>
                <w:color w:val="auto"/>
              </w:rPr>
            </w:pPr>
          </w:p>
        </w:tc>
        <w:tc>
          <w:tcPr>
            <w:tcW w:w="1220" w:type="dxa"/>
            <w:vAlign w:val="bottom"/>
            <w:tcBorders>
              <w:top w:val="single" w:sz="8" w:color="E6E6E6"/>
            </w:tcBorders>
            <w:gridSpan w:val="2"/>
          </w:tcPr>
          <w:p>
            <w:pPr>
              <w:jc w:val="right"/>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3103245</wp:posOffset>
            </wp:positionH>
            <wp:positionV relativeFrom="paragraph">
              <wp:posOffset>-175260</wp:posOffset>
            </wp:positionV>
            <wp:extent cx="161480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1614805" cy="25400"/>
                    </a:xfrm>
                    <a:prstGeom prst="rect">
                      <a:avLst/>
                    </a:prstGeom>
                    <a:noFill/>
                  </pic:spPr>
                </pic:pic>
              </a:graphicData>
            </a:graphic>
          </wp:anchor>
        </w:drawing>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vMerge w:val="restart"/>
          </w:tcPr>
          <w:p>
            <w:pPr>
              <w:jc w:val="right"/>
              <w:ind w:right="73"/>
              <w:spacing w:after="0"/>
              <w:rPr>
                <w:sz w:val="20"/>
                <w:szCs w:val="20"/>
                <w:color w:val="auto"/>
              </w:rPr>
            </w:pPr>
            <w:r>
              <w:rPr>
                <w:rFonts w:ascii="Arial" w:cs="Arial" w:eastAsia="Arial" w:hAnsi="Arial"/>
                <w:sz w:val="17"/>
                <w:szCs w:val="17"/>
                <w:b w:val="1"/>
                <w:bCs w:val="1"/>
                <w:color w:val="auto"/>
              </w:rPr>
              <w:t>Owned or Leased</w:t>
            </w: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1"/>
              </w:rPr>
              <w:t>Regional</w:t>
            </w:r>
          </w:p>
        </w:tc>
        <w:tc>
          <w:tcPr>
            <w:tcW w:w="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Number of</w:t>
            </w:r>
          </w:p>
        </w:tc>
        <w:tc>
          <w:tcPr>
            <w:tcW w:w="6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8"/>
              </w:rPr>
              <w:t>Seats in Standard</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0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Aircraft Type</w:t>
            </w:r>
          </w:p>
        </w:tc>
        <w:tc>
          <w:tcPr>
            <w:tcW w:w="80" w:type="dxa"/>
            <w:vAlign w:val="bottom"/>
          </w:tcPr>
          <w:p>
            <w:pPr>
              <w:spacing w:after="0"/>
              <w:rPr>
                <w:sz w:val="15"/>
                <w:szCs w:val="15"/>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7"/>
                <w:szCs w:val="17"/>
                <w:b w:val="1"/>
                <w:bCs w:val="1"/>
                <w:color w:val="auto"/>
              </w:rPr>
              <w:t>Total</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Owned</w:t>
            </w:r>
          </w:p>
        </w:tc>
        <w:tc>
          <w:tcPr>
            <w:tcW w:w="6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rPr>
              <w:t>Carrier</w:t>
            </w:r>
          </w:p>
        </w:tc>
        <w:tc>
          <w:tcPr>
            <w:tcW w:w="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by Regional Carrier</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Operator</w:t>
            </w:r>
          </w:p>
        </w:tc>
        <w:tc>
          <w:tcPr>
            <w:tcW w:w="60" w:type="dxa"/>
            <w:vAlign w:val="bottom"/>
          </w:tcPr>
          <w:p>
            <w:pPr>
              <w:spacing w:after="0"/>
              <w:rPr>
                <w:sz w:val="20"/>
                <w:szCs w:val="20"/>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Aircraft</w:t>
            </w:r>
          </w:p>
        </w:tc>
        <w:tc>
          <w:tcPr>
            <w:tcW w:w="60" w:type="dxa"/>
            <w:vAlign w:val="bottom"/>
          </w:tcPr>
          <w:p>
            <w:pPr>
              <w:spacing w:after="0"/>
              <w:rPr>
                <w:sz w:val="20"/>
                <w:szCs w:val="20"/>
                <w:color w:val="auto"/>
              </w:rPr>
            </w:pPr>
          </w:p>
        </w:tc>
        <w:tc>
          <w:tcPr>
            <w:tcW w:w="15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Configuration</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7"/>
                <w:szCs w:val="17"/>
                <w:b w:val="1"/>
                <w:bCs w:val="1"/>
                <w:color w:val="auto"/>
              </w:rPr>
              <w:t>Regional:</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6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0" w:type="dxa"/>
            <w:vAlign w:val="bottom"/>
            <w:shd w:val="clear" w:color="auto" w:fill="E6E6E6"/>
          </w:tcPr>
          <w:p>
            <w:pPr>
              <w:spacing w:after="0"/>
              <w:rPr>
                <w:sz w:val="15"/>
                <w:szCs w:val="15"/>
                <w:color w:val="auto"/>
              </w:rPr>
            </w:pPr>
          </w:p>
        </w:tc>
        <w:tc>
          <w:tcPr>
            <w:tcW w:w="2600" w:type="dxa"/>
            <w:vAlign w:val="bottom"/>
            <w:gridSpan w:val="2"/>
            <w:shd w:val="clear" w:color="auto" w:fill="E6E6E6"/>
          </w:tcPr>
          <w:p>
            <w:pPr>
              <w:spacing w:after="0" w:line="180" w:lineRule="exact"/>
              <w:rPr>
                <w:sz w:val="20"/>
                <w:szCs w:val="20"/>
                <w:color w:val="auto"/>
              </w:rPr>
            </w:pPr>
            <w:r>
              <w:rPr>
                <w:rFonts w:ascii="Arial" w:cs="Arial" w:eastAsia="Arial" w:hAnsi="Arial"/>
                <w:sz w:val="17"/>
                <w:szCs w:val="17"/>
                <w:color w:val="auto"/>
              </w:rPr>
              <w:t>E175</w:t>
            </w:r>
          </w:p>
        </w:tc>
        <w:tc>
          <w:tcPr>
            <w:tcW w:w="760" w:type="dxa"/>
            <w:vAlign w:val="bottom"/>
            <w:gridSpan w:val="2"/>
            <w:shd w:val="clear" w:color="auto" w:fill="E6E6E6"/>
          </w:tcPr>
          <w:p>
            <w:pPr>
              <w:jc w:val="right"/>
              <w:spacing w:after="0" w:line="180" w:lineRule="exact"/>
              <w:rPr>
                <w:sz w:val="20"/>
                <w:szCs w:val="20"/>
                <w:color w:val="auto"/>
              </w:rPr>
            </w:pPr>
            <w:r>
              <w:rPr>
                <w:rFonts w:ascii="Arial" w:cs="Arial" w:eastAsia="Arial" w:hAnsi="Arial"/>
                <w:sz w:val="17"/>
                <w:szCs w:val="17"/>
                <w:color w:val="auto"/>
              </w:rPr>
              <w:t>241</w:t>
            </w:r>
          </w:p>
        </w:tc>
        <w:tc>
          <w:tcPr>
            <w:tcW w:w="760" w:type="dxa"/>
            <w:vAlign w:val="bottom"/>
            <w:gridSpan w:val="2"/>
            <w:shd w:val="clear" w:color="auto" w:fill="E6E6E6"/>
          </w:tcPr>
          <w:p>
            <w:pPr>
              <w:jc w:val="right"/>
              <w:spacing w:after="0" w:line="180" w:lineRule="exact"/>
              <w:rPr>
                <w:sz w:val="20"/>
                <w:szCs w:val="20"/>
                <w:color w:val="auto"/>
              </w:rPr>
            </w:pPr>
            <w:r>
              <w:rPr>
                <w:rFonts w:ascii="Arial" w:cs="Arial" w:eastAsia="Arial" w:hAnsi="Arial"/>
                <w:sz w:val="17"/>
                <w:szCs w:val="17"/>
                <w:color w:val="auto"/>
              </w:rPr>
              <w:t>117</w:t>
            </w:r>
          </w:p>
        </w:tc>
        <w:tc>
          <w:tcPr>
            <w:tcW w:w="1700" w:type="dxa"/>
            <w:vAlign w:val="bottom"/>
            <w:gridSpan w:val="2"/>
            <w:shd w:val="clear" w:color="auto" w:fill="E6E6E6"/>
          </w:tcPr>
          <w:p>
            <w:pPr>
              <w:jc w:val="right"/>
              <w:spacing w:after="0" w:line="180" w:lineRule="exact"/>
              <w:rPr>
                <w:sz w:val="20"/>
                <w:szCs w:val="20"/>
                <w:color w:val="auto"/>
              </w:rPr>
            </w:pPr>
            <w:r>
              <w:rPr>
                <w:rFonts w:ascii="Arial" w:cs="Arial" w:eastAsia="Arial" w:hAnsi="Arial"/>
                <w:sz w:val="17"/>
                <w:szCs w:val="17"/>
                <w:color w:val="auto"/>
              </w:rPr>
              <w:t>124</w:t>
            </w:r>
          </w:p>
        </w:tc>
        <w:tc>
          <w:tcPr>
            <w:tcW w:w="60" w:type="dxa"/>
            <w:vAlign w:val="bottom"/>
            <w:shd w:val="clear" w:color="auto" w:fill="E6E6E6"/>
          </w:tcPr>
          <w:p>
            <w:pPr>
              <w:spacing w:after="0"/>
              <w:rPr>
                <w:sz w:val="15"/>
                <w:szCs w:val="15"/>
                <w:color w:val="auto"/>
              </w:rPr>
            </w:pPr>
          </w:p>
        </w:tc>
        <w:tc>
          <w:tcPr>
            <w:tcW w:w="1300" w:type="dxa"/>
            <w:vAlign w:val="bottom"/>
            <w:shd w:val="clear" w:color="auto" w:fill="E6E6E6"/>
          </w:tcPr>
          <w:p>
            <w:pPr>
              <w:ind w:left="160"/>
              <w:spacing w:after="0" w:line="180" w:lineRule="exact"/>
              <w:rPr>
                <w:sz w:val="20"/>
                <w:szCs w:val="20"/>
                <w:color w:val="auto"/>
              </w:rPr>
            </w:pPr>
            <w:r>
              <w:rPr>
                <w:rFonts w:ascii="Arial" w:cs="Arial" w:eastAsia="Arial" w:hAnsi="Arial"/>
                <w:sz w:val="17"/>
                <w:szCs w:val="17"/>
                <w:color w:val="auto"/>
              </w:rPr>
              <w:t>SkyWest</w:t>
            </w:r>
          </w:p>
        </w:tc>
        <w:tc>
          <w:tcPr>
            <w:tcW w:w="1060" w:type="dxa"/>
            <w:vAlign w:val="bottom"/>
            <w:gridSpan w:val="2"/>
            <w:shd w:val="clear" w:color="auto" w:fill="E6E6E6"/>
          </w:tcPr>
          <w:p>
            <w:pPr>
              <w:jc w:val="right"/>
              <w:spacing w:after="0" w:line="180" w:lineRule="exact"/>
              <w:rPr>
                <w:sz w:val="20"/>
                <w:szCs w:val="20"/>
                <w:color w:val="auto"/>
              </w:rPr>
            </w:pPr>
            <w:r>
              <w:rPr>
                <w:rFonts w:ascii="Arial" w:cs="Arial" w:eastAsia="Arial" w:hAnsi="Arial"/>
                <w:sz w:val="17"/>
                <w:szCs w:val="17"/>
                <w:color w:val="auto"/>
              </w:rPr>
              <w:t>119</w:t>
            </w:r>
          </w:p>
        </w:tc>
        <w:tc>
          <w:tcPr>
            <w:tcW w:w="1580" w:type="dxa"/>
            <w:vAlign w:val="bottom"/>
            <w:gridSpan w:val="2"/>
            <w:shd w:val="clear" w:color="auto" w:fill="E6E6E6"/>
          </w:tcPr>
          <w:p>
            <w:pPr>
              <w:jc w:val="right"/>
              <w:spacing w:after="0" w:line="180" w:lineRule="exact"/>
              <w:rPr>
                <w:sz w:val="20"/>
                <w:szCs w:val="20"/>
                <w:color w:val="auto"/>
              </w:rPr>
            </w:pPr>
            <w:r>
              <w:rPr>
                <w:rFonts w:ascii="Arial" w:cs="Arial" w:eastAsia="Arial" w:hAnsi="Arial"/>
                <w:sz w:val="17"/>
                <w:szCs w:val="17"/>
                <w:color w:val="auto"/>
              </w:rPr>
              <w:t>70/76</w:t>
            </w:r>
          </w:p>
        </w:tc>
        <w:tc>
          <w:tcPr>
            <w:tcW w:w="0" w:type="dxa"/>
            <w:vAlign w:val="bottom"/>
          </w:tcPr>
          <w:p>
            <w:pPr>
              <w:spacing w:after="0"/>
              <w:rPr>
                <w:sz w:val="1"/>
                <w:szCs w:val="1"/>
                <w:color w:val="auto"/>
              </w:rPr>
            </w:pPr>
          </w:p>
        </w:tc>
      </w:tr>
      <w:tr>
        <w:trPr>
          <w:trHeight w:val="175"/>
        </w:trPr>
        <w:tc>
          <w:tcPr>
            <w:tcW w:w="60" w:type="dxa"/>
            <w:vAlign w:val="bottom"/>
            <w:shd w:val="clear" w:color="auto" w:fill="E6E6E6"/>
          </w:tcPr>
          <w:p>
            <w:pPr>
              <w:spacing w:after="0"/>
              <w:rPr>
                <w:sz w:val="15"/>
                <w:szCs w:val="15"/>
                <w:color w:val="auto"/>
              </w:rPr>
            </w:pPr>
          </w:p>
        </w:tc>
        <w:tc>
          <w:tcPr>
            <w:tcW w:w="700" w:type="dxa"/>
            <w:vAlign w:val="bottom"/>
            <w:shd w:val="clear" w:color="auto" w:fill="E6E6E6"/>
          </w:tcPr>
          <w:p>
            <w:pPr>
              <w:spacing w:after="0"/>
              <w:rPr>
                <w:sz w:val="15"/>
                <w:szCs w:val="15"/>
                <w:color w:val="auto"/>
              </w:rPr>
            </w:pPr>
          </w:p>
        </w:tc>
        <w:tc>
          <w:tcPr>
            <w:tcW w:w="19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68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68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164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1300" w:type="dxa"/>
            <w:vAlign w:val="bottom"/>
            <w:shd w:val="clear" w:color="auto" w:fill="E6E6E6"/>
          </w:tcPr>
          <w:p>
            <w:pPr>
              <w:ind w:left="160"/>
              <w:spacing w:after="0" w:line="175" w:lineRule="exact"/>
              <w:rPr>
                <w:sz w:val="20"/>
                <w:szCs w:val="20"/>
                <w:color w:val="auto"/>
              </w:rPr>
            </w:pPr>
            <w:r>
              <w:rPr>
                <w:rFonts w:ascii="Arial" w:cs="Arial" w:eastAsia="Arial" w:hAnsi="Arial"/>
                <w:sz w:val="17"/>
                <w:szCs w:val="17"/>
                <w:color w:val="auto"/>
              </w:rPr>
              <w:t>Mesa</w:t>
            </w:r>
          </w:p>
        </w:tc>
        <w:tc>
          <w:tcPr>
            <w:tcW w:w="1060" w:type="dxa"/>
            <w:vAlign w:val="bottom"/>
            <w:gridSpan w:val="2"/>
            <w:shd w:val="clear" w:color="auto" w:fill="E6E6E6"/>
          </w:tcPr>
          <w:p>
            <w:pPr>
              <w:jc w:val="right"/>
              <w:spacing w:after="0" w:line="175" w:lineRule="exact"/>
              <w:rPr>
                <w:sz w:val="20"/>
                <w:szCs w:val="20"/>
                <w:color w:val="auto"/>
              </w:rPr>
            </w:pPr>
            <w:r>
              <w:rPr>
                <w:rFonts w:ascii="Arial" w:cs="Arial" w:eastAsia="Arial" w:hAnsi="Arial"/>
                <w:sz w:val="17"/>
                <w:szCs w:val="17"/>
                <w:color w:val="auto"/>
              </w:rPr>
              <w:t>60</w:t>
            </w:r>
          </w:p>
        </w:tc>
        <w:tc>
          <w:tcPr>
            <w:tcW w:w="60" w:type="dxa"/>
            <w:vAlign w:val="bottom"/>
            <w:shd w:val="clear" w:color="auto" w:fill="E6E6E6"/>
          </w:tcPr>
          <w:p>
            <w:pPr>
              <w:spacing w:after="0"/>
              <w:rPr>
                <w:sz w:val="15"/>
                <w:szCs w:val="15"/>
                <w:color w:val="auto"/>
              </w:rPr>
            </w:pPr>
          </w:p>
        </w:tc>
        <w:tc>
          <w:tcPr>
            <w:tcW w:w="152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0" w:type="dxa"/>
            <w:vAlign w:val="bottom"/>
            <w:shd w:val="clear" w:color="auto" w:fill="E6E6E6"/>
          </w:tcPr>
          <w:p>
            <w:pPr>
              <w:spacing w:after="0"/>
              <w:rPr>
                <w:sz w:val="20"/>
                <w:szCs w:val="20"/>
                <w:color w:val="auto"/>
              </w:rPr>
            </w:pPr>
          </w:p>
        </w:tc>
        <w:tc>
          <w:tcPr>
            <w:tcW w:w="700" w:type="dxa"/>
            <w:vAlign w:val="bottom"/>
            <w:shd w:val="clear" w:color="auto" w:fill="E6E6E6"/>
          </w:tcPr>
          <w:p>
            <w:pPr>
              <w:spacing w:after="0"/>
              <w:rPr>
                <w:sz w:val="20"/>
                <w:szCs w:val="20"/>
                <w:color w:val="auto"/>
              </w:rPr>
            </w:pPr>
          </w:p>
        </w:tc>
        <w:tc>
          <w:tcPr>
            <w:tcW w:w="190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68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6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6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300" w:type="dxa"/>
            <w:vAlign w:val="bottom"/>
            <w:shd w:val="clear" w:color="auto" w:fill="E6E6E6"/>
          </w:tcPr>
          <w:p>
            <w:pPr>
              <w:ind w:left="160"/>
              <w:spacing w:after="0"/>
              <w:rPr>
                <w:sz w:val="20"/>
                <w:szCs w:val="20"/>
                <w:color w:val="auto"/>
              </w:rPr>
            </w:pPr>
            <w:r>
              <w:rPr>
                <w:rFonts w:ascii="Arial" w:cs="Arial" w:eastAsia="Arial" w:hAnsi="Arial"/>
                <w:sz w:val="17"/>
                <w:szCs w:val="17"/>
                <w:color w:val="auto"/>
              </w:rPr>
              <w:t>Republic</w:t>
            </w:r>
          </w:p>
        </w:tc>
        <w:tc>
          <w:tcPr>
            <w:tcW w:w="106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62</w:t>
            </w:r>
          </w:p>
        </w:tc>
        <w:tc>
          <w:tcPr>
            <w:tcW w:w="60" w:type="dxa"/>
            <w:vAlign w:val="bottom"/>
            <w:shd w:val="clear" w:color="auto" w:fill="E6E6E6"/>
          </w:tcPr>
          <w:p>
            <w:pPr>
              <w:spacing w:after="0"/>
              <w:rPr>
                <w:sz w:val="20"/>
                <w:szCs w:val="20"/>
                <w:color w:val="auto"/>
              </w:rPr>
            </w:pPr>
          </w:p>
        </w:tc>
        <w:tc>
          <w:tcPr>
            <w:tcW w:w="15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660" w:type="dxa"/>
            <w:vAlign w:val="bottom"/>
            <w:gridSpan w:val="3"/>
          </w:tcPr>
          <w:p>
            <w:pPr>
              <w:ind w:left="60"/>
              <w:spacing w:after="0"/>
              <w:rPr>
                <w:sz w:val="20"/>
                <w:szCs w:val="20"/>
                <w:color w:val="auto"/>
              </w:rPr>
            </w:pPr>
            <w:r>
              <w:rPr>
                <w:rFonts w:ascii="Arial" w:cs="Arial" w:eastAsia="Arial" w:hAnsi="Arial"/>
                <w:sz w:val="17"/>
                <w:szCs w:val="17"/>
                <w:color w:val="auto"/>
              </w:rPr>
              <w:t>E170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23"/>
                <w:szCs w:val="23"/>
                <w:color w:val="auto"/>
              </w:rPr>
            </w:pPr>
          </w:p>
        </w:tc>
        <w:tc>
          <w:tcPr>
            <w:tcW w:w="1300" w:type="dxa"/>
            <w:vAlign w:val="bottom"/>
          </w:tcPr>
          <w:p>
            <w:pPr>
              <w:ind w:left="160"/>
              <w:spacing w:after="0"/>
              <w:rPr>
                <w:sz w:val="20"/>
                <w:szCs w:val="20"/>
                <w:color w:val="auto"/>
              </w:rPr>
            </w:pPr>
            <w:r>
              <w:rPr>
                <w:rFonts w:ascii="Arial" w:cs="Arial" w:eastAsia="Arial" w:hAnsi="Arial"/>
                <w:sz w:val="17"/>
                <w:szCs w:val="17"/>
                <w:color w:val="auto"/>
              </w:rPr>
              <w:t>Republic</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51"/>
        </w:trPr>
        <w:tc>
          <w:tcPr>
            <w:tcW w:w="2660" w:type="dxa"/>
            <w:vAlign w:val="bottom"/>
            <w:gridSpan w:val="3"/>
            <w:shd w:val="clear" w:color="auto" w:fill="E6E6E6"/>
          </w:tcPr>
          <w:p>
            <w:pPr>
              <w:ind w:left="40"/>
              <w:spacing w:after="0"/>
              <w:rPr>
                <w:sz w:val="20"/>
                <w:szCs w:val="20"/>
                <w:color w:val="auto"/>
              </w:rPr>
            </w:pPr>
            <w:r>
              <w:rPr>
                <w:rFonts w:ascii="Arial" w:cs="Arial" w:eastAsia="Arial" w:hAnsi="Arial"/>
                <w:sz w:val="17"/>
                <w:szCs w:val="17"/>
                <w:color w:val="auto"/>
              </w:rPr>
              <w:t>CRJ700</w:t>
            </w:r>
          </w:p>
        </w:tc>
        <w:tc>
          <w:tcPr>
            <w:tcW w:w="76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E6E6E6"/>
          </w:tcPr>
          <w:p>
            <w:pPr>
              <w:spacing w:after="0"/>
              <w:rPr>
                <w:sz w:val="21"/>
                <w:szCs w:val="21"/>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10</w:t>
            </w:r>
          </w:p>
        </w:tc>
        <w:tc>
          <w:tcPr>
            <w:tcW w:w="60" w:type="dxa"/>
            <w:vAlign w:val="bottom"/>
            <w:shd w:val="clear" w:color="auto" w:fill="E6E6E6"/>
          </w:tcPr>
          <w:p>
            <w:pPr>
              <w:spacing w:after="0"/>
              <w:rPr>
                <w:sz w:val="21"/>
                <w:szCs w:val="21"/>
                <w:color w:val="auto"/>
              </w:rPr>
            </w:pPr>
          </w:p>
        </w:tc>
        <w:tc>
          <w:tcPr>
            <w:tcW w:w="1300" w:type="dxa"/>
            <w:vAlign w:val="bottom"/>
            <w:shd w:val="clear" w:color="auto" w:fill="E6E6E6"/>
          </w:tcPr>
          <w:p>
            <w:pPr>
              <w:ind w:left="160"/>
              <w:spacing w:after="0"/>
              <w:rPr>
                <w:sz w:val="20"/>
                <w:szCs w:val="20"/>
                <w:color w:val="auto"/>
              </w:rPr>
            </w:pPr>
            <w:r>
              <w:rPr>
                <w:rFonts w:ascii="Arial" w:cs="Arial" w:eastAsia="Arial" w:hAnsi="Arial"/>
                <w:sz w:val="17"/>
                <w:szCs w:val="17"/>
                <w:color w:val="auto"/>
              </w:rPr>
              <w:t>SkyWest</w:t>
            </w:r>
          </w:p>
        </w:tc>
        <w:tc>
          <w:tcPr>
            <w:tcW w:w="106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10</w:t>
            </w:r>
          </w:p>
        </w:tc>
        <w:tc>
          <w:tcPr>
            <w:tcW w:w="158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81"/>
        </w:trPr>
        <w:tc>
          <w:tcPr>
            <w:tcW w:w="2660" w:type="dxa"/>
            <w:vAlign w:val="bottom"/>
            <w:gridSpan w:val="3"/>
          </w:tcPr>
          <w:p>
            <w:pPr>
              <w:ind w:left="40"/>
              <w:spacing w:after="0" w:line="180" w:lineRule="exact"/>
              <w:rPr>
                <w:sz w:val="20"/>
                <w:szCs w:val="20"/>
                <w:color w:val="auto"/>
              </w:rPr>
            </w:pPr>
            <w:r>
              <w:rPr>
                <w:rFonts w:ascii="Arial" w:cs="Arial" w:eastAsia="Arial" w:hAnsi="Arial"/>
                <w:sz w:val="17"/>
                <w:szCs w:val="17"/>
                <w:color w:val="auto"/>
              </w:rPr>
              <w:t>CRJ550</w:t>
            </w:r>
          </w:p>
        </w:tc>
        <w:tc>
          <w:tcPr>
            <w:tcW w:w="760" w:type="dxa"/>
            <w:vAlign w:val="bottom"/>
            <w:gridSpan w:val="2"/>
          </w:tcPr>
          <w:p>
            <w:pPr>
              <w:jc w:val="right"/>
              <w:spacing w:after="0" w:line="180" w:lineRule="exact"/>
              <w:rPr>
                <w:sz w:val="20"/>
                <w:szCs w:val="20"/>
                <w:color w:val="auto"/>
              </w:rPr>
            </w:pPr>
            <w:r>
              <w:rPr>
                <w:rFonts w:ascii="Arial" w:cs="Arial" w:eastAsia="Arial" w:hAnsi="Arial"/>
                <w:sz w:val="17"/>
                <w:szCs w:val="17"/>
                <w:color w:val="auto"/>
              </w:rPr>
              <w:t>80</w:t>
            </w:r>
          </w:p>
        </w:tc>
        <w:tc>
          <w:tcPr>
            <w:tcW w:w="760" w:type="dxa"/>
            <w:vAlign w:val="bottom"/>
            <w:gridSpan w:val="2"/>
          </w:tcPr>
          <w:p>
            <w:pPr>
              <w:jc w:val="right"/>
              <w:spacing w:after="0" w:line="180" w:lineRule="exact"/>
              <w:rPr>
                <w:sz w:val="20"/>
                <w:szCs w:val="20"/>
                <w:color w:val="auto"/>
              </w:rPr>
            </w:pPr>
            <w:r>
              <w:rPr>
                <w:rFonts w:ascii="Arial" w:cs="Arial" w:eastAsia="Arial" w:hAnsi="Arial"/>
                <w:sz w:val="17"/>
                <w:szCs w:val="17"/>
                <w:color w:val="auto"/>
              </w:rPr>
              <w:t>20</w:t>
            </w:r>
          </w:p>
        </w:tc>
        <w:tc>
          <w:tcPr>
            <w:tcW w:w="1700" w:type="dxa"/>
            <w:vAlign w:val="bottom"/>
            <w:gridSpan w:val="2"/>
          </w:tcPr>
          <w:p>
            <w:pPr>
              <w:jc w:val="right"/>
              <w:spacing w:after="0" w:line="180" w:lineRule="exact"/>
              <w:rPr>
                <w:sz w:val="20"/>
                <w:szCs w:val="20"/>
                <w:color w:val="auto"/>
              </w:rPr>
            </w:pPr>
            <w:r>
              <w:rPr>
                <w:rFonts w:ascii="Arial" w:cs="Arial" w:eastAsia="Arial" w:hAnsi="Arial"/>
                <w:sz w:val="17"/>
                <w:szCs w:val="17"/>
                <w:color w:val="auto"/>
              </w:rPr>
              <w:t>60</w:t>
            </w:r>
          </w:p>
        </w:tc>
        <w:tc>
          <w:tcPr>
            <w:tcW w:w="60" w:type="dxa"/>
            <w:vAlign w:val="bottom"/>
          </w:tcPr>
          <w:p>
            <w:pPr>
              <w:spacing w:after="0"/>
              <w:rPr>
                <w:sz w:val="15"/>
                <w:szCs w:val="15"/>
                <w:color w:val="auto"/>
              </w:rPr>
            </w:pPr>
          </w:p>
        </w:tc>
        <w:tc>
          <w:tcPr>
            <w:tcW w:w="1300" w:type="dxa"/>
            <w:vAlign w:val="bottom"/>
          </w:tcPr>
          <w:p>
            <w:pPr>
              <w:ind w:left="160"/>
              <w:spacing w:after="0" w:line="180" w:lineRule="exact"/>
              <w:rPr>
                <w:sz w:val="20"/>
                <w:szCs w:val="20"/>
                <w:color w:val="auto"/>
              </w:rPr>
            </w:pPr>
            <w:r>
              <w:rPr>
                <w:rFonts w:ascii="Arial" w:cs="Arial" w:eastAsia="Arial" w:hAnsi="Arial"/>
                <w:sz w:val="17"/>
                <w:szCs w:val="17"/>
                <w:color w:val="auto"/>
              </w:rPr>
              <w:t>GoJet</w:t>
            </w:r>
          </w:p>
        </w:tc>
        <w:tc>
          <w:tcPr>
            <w:tcW w:w="1060" w:type="dxa"/>
            <w:vAlign w:val="bottom"/>
            <w:gridSpan w:val="2"/>
          </w:tcPr>
          <w:p>
            <w:pPr>
              <w:jc w:val="right"/>
              <w:spacing w:after="0" w:line="180" w:lineRule="exact"/>
              <w:rPr>
                <w:sz w:val="20"/>
                <w:szCs w:val="20"/>
                <w:color w:val="auto"/>
              </w:rPr>
            </w:pPr>
            <w:r>
              <w:rPr>
                <w:rFonts w:ascii="Arial" w:cs="Arial" w:eastAsia="Arial" w:hAnsi="Arial"/>
                <w:sz w:val="17"/>
                <w:szCs w:val="17"/>
                <w:color w:val="auto"/>
              </w:rPr>
              <w:t>54</w:t>
            </w:r>
          </w:p>
        </w:tc>
        <w:tc>
          <w:tcPr>
            <w:tcW w:w="1580" w:type="dxa"/>
            <w:vAlign w:val="bottom"/>
            <w:gridSpan w:val="2"/>
          </w:tcPr>
          <w:p>
            <w:pPr>
              <w:jc w:val="right"/>
              <w:spacing w:after="0" w:line="180"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7"/>
                <w:szCs w:val="17"/>
                <w:color w:val="auto"/>
              </w:rPr>
              <w:t>SkyWest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660" w:type="dxa"/>
            <w:vAlign w:val="bottom"/>
            <w:gridSpan w:val="3"/>
            <w:shd w:val="clear" w:color="auto" w:fill="E6E6E6"/>
          </w:tcPr>
          <w:p>
            <w:pPr>
              <w:ind w:left="40"/>
              <w:spacing w:after="0"/>
              <w:rPr>
                <w:sz w:val="20"/>
                <w:szCs w:val="20"/>
                <w:color w:val="auto"/>
              </w:rPr>
            </w:pPr>
            <w:r>
              <w:rPr>
                <w:rFonts w:ascii="Arial" w:cs="Arial" w:eastAsia="Arial" w:hAnsi="Arial"/>
                <w:sz w:val="17"/>
                <w:szCs w:val="17"/>
                <w:color w:val="auto"/>
              </w:rPr>
              <w:t>CRJ200</w:t>
            </w:r>
          </w:p>
        </w:tc>
        <w:tc>
          <w:tcPr>
            <w:tcW w:w="76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30</w:t>
            </w:r>
          </w:p>
        </w:tc>
        <w:tc>
          <w:tcPr>
            <w:tcW w:w="60" w:type="dxa"/>
            <w:vAlign w:val="bottom"/>
            <w:shd w:val="clear" w:color="auto" w:fill="E6E6E6"/>
          </w:tcPr>
          <w:p>
            <w:pPr>
              <w:spacing w:after="0"/>
              <w:rPr>
                <w:sz w:val="22"/>
                <w:szCs w:val="22"/>
                <w:color w:val="auto"/>
              </w:rPr>
            </w:pPr>
          </w:p>
        </w:tc>
        <w:tc>
          <w:tcPr>
            <w:tcW w:w="1300" w:type="dxa"/>
            <w:vAlign w:val="bottom"/>
            <w:shd w:val="clear" w:color="auto" w:fill="E6E6E6"/>
          </w:tcPr>
          <w:p>
            <w:pPr>
              <w:ind w:left="160"/>
              <w:spacing w:after="0"/>
              <w:rPr>
                <w:sz w:val="20"/>
                <w:szCs w:val="20"/>
                <w:color w:val="auto"/>
              </w:rPr>
            </w:pPr>
            <w:r>
              <w:rPr>
                <w:rFonts w:ascii="Arial" w:cs="Arial" w:eastAsia="Arial" w:hAnsi="Arial"/>
                <w:sz w:val="17"/>
                <w:szCs w:val="17"/>
                <w:color w:val="auto"/>
              </w:rPr>
              <w:t>SkyWest</w:t>
            </w:r>
          </w:p>
        </w:tc>
        <w:tc>
          <w:tcPr>
            <w:tcW w:w="106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30</w:t>
            </w:r>
          </w:p>
        </w:tc>
        <w:tc>
          <w:tcPr>
            <w:tcW w:w="158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E6E6E6"/>
            </w:tcBorders>
            <w:gridSpan w:val="3"/>
          </w:tcPr>
          <w:p>
            <w:pPr>
              <w:ind w:left="40"/>
              <w:spacing w:after="0"/>
              <w:rPr>
                <w:sz w:val="20"/>
                <w:szCs w:val="20"/>
                <w:color w:val="auto"/>
              </w:rPr>
            </w:pPr>
            <w:r>
              <w:rPr>
                <w:rFonts w:ascii="Arial" w:cs="Arial" w:eastAsia="Arial" w:hAnsi="Arial"/>
                <w:sz w:val="17"/>
                <w:szCs w:val="17"/>
                <w:color w:val="auto"/>
              </w:rPr>
              <w:t>ERJ145XR</w:t>
            </w:r>
          </w:p>
        </w:tc>
        <w:tc>
          <w:tcPr>
            <w:tcW w:w="80" w:type="dxa"/>
            <w:vAlign w:val="bottom"/>
            <w:tcBorders>
              <w:bottom w:val="single" w:sz="8" w:color="E6E6E6"/>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80" w:type="dxa"/>
            <w:vAlign w:val="bottom"/>
            <w:tcBorders>
              <w:bottom w:val="single" w:sz="8" w:color="E6E6E6"/>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60" w:type="dxa"/>
            <w:vAlign w:val="bottom"/>
            <w:tcBorders>
              <w:bottom w:val="single" w:sz="8" w:color="E6E6E6"/>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E6E6E6"/>
            </w:tcBorders>
          </w:tcPr>
          <w:p>
            <w:pPr>
              <w:spacing w:after="0"/>
              <w:rPr>
                <w:sz w:val="20"/>
                <w:szCs w:val="20"/>
                <w:color w:val="auto"/>
              </w:rPr>
            </w:pPr>
          </w:p>
        </w:tc>
        <w:tc>
          <w:tcPr>
            <w:tcW w:w="1300" w:type="dxa"/>
            <w:vAlign w:val="bottom"/>
            <w:tcBorders>
              <w:bottom w:val="single" w:sz="8" w:color="E6E6E6"/>
            </w:tcBorders>
          </w:tcPr>
          <w:p>
            <w:pPr>
              <w:ind w:left="160"/>
              <w:spacing w:after="0"/>
              <w:rPr>
                <w:sz w:val="20"/>
                <w:szCs w:val="20"/>
                <w:color w:val="auto"/>
              </w:rPr>
            </w:pPr>
            <w:r>
              <w:rPr>
                <w:rFonts w:ascii="Arial" w:cs="Arial" w:eastAsia="Arial" w:hAnsi="Arial"/>
                <w:sz w:val="17"/>
                <w:szCs w:val="17"/>
                <w:color w:val="auto"/>
              </w:rPr>
              <w:t>CommuteAir</w:t>
            </w:r>
          </w:p>
        </w:tc>
        <w:tc>
          <w:tcPr>
            <w:tcW w:w="1060" w:type="dxa"/>
            <w:vAlign w:val="bottom"/>
            <w:tcBorders>
              <w:bottom w:val="single" w:sz="8" w:color="E6E6E6"/>
            </w:tcBorders>
            <w:gridSpan w:val="2"/>
          </w:tcPr>
          <w:p>
            <w:pPr>
              <w:jc w:val="right"/>
              <w:spacing w:after="0"/>
              <w:rPr>
                <w:sz w:val="20"/>
                <w:szCs w:val="20"/>
                <w:color w:val="auto"/>
              </w:rPr>
            </w:pPr>
            <w:r>
              <w:rPr>
                <w:rFonts w:ascii="Arial" w:cs="Arial" w:eastAsia="Arial" w:hAnsi="Arial"/>
                <w:sz w:val="17"/>
                <w:szCs w:val="17"/>
                <w:color w:val="auto"/>
              </w:rPr>
              <w:t>59</w:t>
            </w:r>
          </w:p>
        </w:tc>
        <w:tc>
          <w:tcPr>
            <w:tcW w:w="1580" w:type="dxa"/>
            <w:vAlign w:val="bottom"/>
            <w:tcBorders>
              <w:bottom w:val="single" w:sz="8" w:color="E6E6E6"/>
            </w:tcBorders>
            <w:gridSpan w:val="2"/>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71"/>
        </w:trPr>
        <w:tc>
          <w:tcPr>
            <w:tcW w:w="60" w:type="dxa"/>
            <w:vAlign w:val="bottom"/>
            <w:tcBorders>
              <w:bottom w:val="single" w:sz="8" w:color="E6E6E6"/>
            </w:tcBorders>
            <w:shd w:val="clear" w:color="auto" w:fill="E6E6E6"/>
          </w:tcPr>
          <w:p>
            <w:pPr>
              <w:spacing w:after="0"/>
              <w:rPr>
                <w:sz w:val="23"/>
                <w:szCs w:val="23"/>
                <w:color w:val="auto"/>
              </w:rPr>
            </w:pPr>
          </w:p>
        </w:tc>
        <w:tc>
          <w:tcPr>
            <w:tcW w:w="2600" w:type="dxa"/>
            <w:vAlign w:val="bottom"/>
            <w:tcBorders>
              <w:bottom w:val="single" w:sz="8" w:color="E6E6E6"/>
            </w:tcBorders>
            <w:gridSpan w:val="2"/>
            <w:shd w:val="clear" w:color="auto" w:fill="E6E6E6"/>
          </w:tcPr>
          <w:p>
            <w:pPr>
              <w:ind w:left="120"/>
              <w:spacing w:after="0"/>
              <w:rPr>
                <w:sz w:val="20"/>
                <w:szCs w:val="20"/>
                <w:color w:val="auto"/>
              </w:rPr>
            </w:pPr>
            <w:r>
              <w:rPr>
                <w:rFonts w:ascii="Arial" w:cs="Arial" w:eastAsia="Arial" w:hAnsi="Arial"/>
                <w:sz w:val="17"/>
                <w:szCs w:val="17"/>
                <w:color w:val="auto"/>
              </w:rPr>
              <w:t>Total regional</w:t>
            </w:r>
          </w:p>
        </w:tc>
        <w:tc>
          <w:tcPr>
            <w:tcW w:w="80" w:type="dxa"/>
            <w:vAlign w:val="bottom"/>
            <w:tcBorders>
              <w:bottom w:val="single" w:sz="8" w:color="E6E6E6"/>
            </w:tcBorders>
            <w:shd w:val="clear" w:color="auto" w:fill="E6E6E6"/>
          </w:tcPr>
          <w:p>
            <w:pPr>
              <w:spacing w:after="0"/>
              <w:rPr>
                <w:sz w:val="23"/>
                <w:szCs w:val="23"/>
                <w:color w:val="auto"/>
              </w:rPr>
            </w:pPr>
          </w:p>
        </w:tc>
        <w:tc>
          <w:tcPr>
            <w:tcW w:w="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424</w:t>
            </w:r>
          </w:p>
        </w:tc>
        <w:tc>
          <w:tcPr>
            <w:tcW w:w="80" w:type="dxa"/>
            <w:vAlign w:val="bottom"/>
            <w:tcBorders>
              <w:bottom w:val="single" w:sz="8" w:color="E6E6E6"/>
            </w:tcBorders>
            <w:shd w:val="clear" w:color="auto" w:fill="E6E6E6"/>
          </w:tcPr>
          <w:p>
            <w:pPr>
              <w:spacing w:after="0"/>
              <w:rPr>
                <w:sz w:val="23"/>
                <w:szCs w:val="23"/>
                <w:color w:val="auto"/>
              </w:rPr>
            </w:pPr>
          </w:p>
        </w:tc>
        <w:tc>
          <w:tcPr>
            <w:tcW w:w="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196</w:t>
            </w:r>
          </w:p>
        </w:tc>
        <w:tc>
          <w:tcPr>
            <w:tcW w:w="60" w:type="dxa"/>
            <w:vAlign w:val="bottom"/>
            <w:tcBorders>
              <w:bottom w:val="single" w:sz="8" w:color="E6E6E6"/>
            </w:tcBorders>
            <w:shd w:val="clear" w:color="auto" w:fill="E6E6E6"/>
          </w:tcPr>
          <w:p>
            <w:pPr>
              <w:spacing w:after="0"/>
              <w:rPr>
                <w:sz w:val="23"/>
                <w:szCs w:val="23"/>
                <w:color w:val="auto"/>
              </w:rPr>
            </w:pPr>
          </w:p>
        </w:tc>
        <w:tc>
          <w:tcPr>
            <w:tcW w:w="1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228</w:t>
            </w:r>
          </w:p>
        </w:tc>
        <w:tc>
          <w:tcPr>
            <w:tcW w:w="60" w:type="dxa"/>
            <w:vAlign w:val="bottom"/>
            <w:tcBorders>
              <w:bottom w:val="single" w:sz="8" w:color="E6E6E6"/>
            </w:tcBorders>
            <w:shd w:val="clear" w:color="auto" w:fill="E6E6E6"/>
          </w:tcPr>
          <w:p>
            <w:pPr>
              <w:spacing w:after="0"/>
              <w:rPr>
                <w:sz w:val="23"/>
                <w:szCs w:val="23"/>
                <w:color w:val="auto"/>
              </w:rPr>
            </w:pPr>
          </w:p>
        </w:tc>
        <w:tc>
          <w:tcPr>
            <w:tcW w:w="130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152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-203200</wp:posOffset>
            </wp:positionV>
            <wp:extent cx="202120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2021205" cy="25400"/>
                    </a:xfrm>
                    <a:prstGeom prst="rect">
                      <a:avLst/>
                    </a:prstGeom>
                    <a:noFill/>
                  </pic:spPr>
                </pic:pic>
              </a:graphicData>
            </a:graphic>
          </wp:anchor>
        </w:drawing>
        <w:drawing>
          <wp:anchor simplePos="0" relativeHeight="251657728" behindDoc="1" locked="0" layoutInCell="0" allowOverlap="1">
            <wp:simplePos x="0" y="0"/>
            <wp:positionH relativeFrom="column">
              <wp:posOffset>1749425</wp:posOffset>
            </wp:positionH>
            <wp:positionV relativeFrom="paragraph">
              <wp:posOffset>-18415</wp:posOffset>
            </wp:positionV>
            <wp:extent cx="202120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2021205" cy="2540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aircraft presented in the table above, United owned the following regional aircraft as of December 31, 2025:</w:t>
      </w:r>
    </w:p>
    <w:p>
      <w:pPr>
        <w:spacing w:after="0" w:line="123" w:lineRule="exact"/>
        <w:rPr>
          <w:sz w:val="20"/>
          <w:szCs w:val="20"/>
          <w:color w:val="auto"/>
        </w:rPr>
      </w:pPr>
    </w:p>
    <w:p>
      <w:pPr>
        <w:ind w:left="120" w:hanging="117"/>
        <w:spacing w:after="0"/>
        <w:tabs>
          <w:tab w:leader="none" w:pos="1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29 ERJ145XRs that are temporarily grounded; and</w:t>
      </w:r>
    </w:p>
    <w:p>
      <w:pPr>
        <w:spacing w:after="0" w:line="14" w:lineRule="exact"/>
        <w:rPr>
          <w:rFonts w:ascii="Arial" w:cs="Arial" w:eastAsia="Arial" w:hAnsi="Arial"/>
          <w:sz w:val="19"/>
          <w:szCs w:val="19"/>
          <w:color w:val="auto"/>
        </w:rPr>
      </w:pPr>
    </w:p>
    <w:p>
      <w:pPr>
        <w:ind w:left="120" w:hanging="117"/>
        <w:spacing w:after="0"/>
        <w:tabs>
          <w:tab w:leader="none" w:pos="1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Two CRJ700s awaiting conversion to CRJ550s.</w:t>
      </w:r>
    </w:p>
    <w:p>
      <w:pPr>
        <w:sectPr>
          <w:pgSz w:w="11880" w:h="15480" w:orient="portrait"/>
          <w:cols w:equalWidth="0" w:num="1">
            <w:col w:w="9920"/>
          </w:cols>
          <w:pgMar w:left="960" w:top="579"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9920"/>
          </w:cols>
          <w:pgMar w:left="960" w:top="579" w:right="1000" w:bottom="33" w:gutter="0" w:footer="0" w:header="0"/>
          <w:type w:val="continuous"/>
        </w:sectPr>
      </w:pPr>
    </w:p>
    <w:bookmarkStart w:id="36" w:name="page37"/>
    <w:bookmarkEnd w:id="36"/>
    <w:p>
      <w:pPr>
        <w:ind w:right="280"/>
        <w:spacing w:after="0" w:line="288" w:lineRule="auto"/>
        <w:rPr>
          <w:sz w:val="20"/>
          <w:szCs w:val="20"/>
          <w:color w:val="auto"/>
        </w:rPr>
      </w:pPr>
      <w:r>
        <w:rPr>
          <w:rFonts w:ascii="Arial" w:cs="Arial" w:eastAsia="Arial" w:hAnsi="Arial"/>
          <w:sz w:val="19"/>
          <w:szCs w:val="19"/>
          <w:b w:val="1"/>
          <w:bCs w:val="1"/>
          <w:i w:val="1"/>
          <w:iCs w:val="1"/>
          <w:color w:val="auto"/>
        </w:rPr>
        <w:t xml:space="preserve">Firm Order and Option Aircraft. </w:t>
      </w:r>
      <w:r>
        <w:rPr>
          <w:rFonts w:ascii="Arial" w:cs="Arial" w:eastAsia="Arial" w:hAnsi="Arial"/>
          <w:sz w:val="19"/>
          <w:szCs w:val="19"/>
          <w:color w:val="auto"/>
        </w:rPr>
        <w:t>As of December 31, 2025, United had firm commitments to purchase aircraft from Boeing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Airbus presented in the table below:</w:t>
      </w: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260"/>
        </w:trPr>
        <w:tc>
          <w:tcPr>
            <w:tcW w:w="13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5"/>
          </w:tcPr>
          <w:p>
            <w:pPr>
              <w:jc w:val="right"/>
              <w:ind w:right="203"/>
              <w:spacing w:after="0"/>
              <w:rPr>
                <w:sz w:val="20"/>
                <w:szCs w:val="20"/>
                <w:color w:val="auto"/>
              </w:rPr>
            </w:pPr>
            <w:r>
              <w:rPr>
                <w:rFonts w:ascii="Arial" w:cs="Arial" w:eastAsia="Arial" w:hAnsi="Arial"/>
                <w:sz w:val="19"/>
                <w:szCs w:val="19"/>
                <w:b w:val="1"/>
                <w:bCs w:val="1"/>
                <w:color w:val="auto"/>
              </w:rPr>
              <w:t>Contractual Aircraft Deliveries</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5"/>
          </w:tcPr>
          <w:p>
            <w:pPr>
              <w:ind w:left="300"/>
              <w:spacing w:after="0"/>
              <w:rPr>
                <w:sz w:val="20"/>
                <w:szCs w:val="20"/>
                <w:color w:val="auto"/>
              </w:rPr>
            </w:pPr>
            <w:r>
              <w:rPr>
                <w:rFonts w:ascii="Arial" w:cs="Arial" w:eastAsia="Arial" w:hAnsi="Arial"/>
                <w:sz w:val="19"/>
                <w:szCs w:val="19"/>
                <w:b w:val="1"/>
                <w:bCs w:val="1"/>
                <w:color w:val="auto"/>
              </w:rPr>
              <w:t>Expected Aircraft Deliveries (b)</w:t>
            </w:r>
          </w:p>
        </w:tc>
        <w:tc>
          <w:tcPr>
            <w:tcW w:w="0" w:type="dxa"/>
            <w:vAlign w:val="bottom"/>
          </w:tcPr>
          <w:p>
            <w:pPr>
              <w:spacing w:after="0"/>
              <w:rPr>
                <w:sz w:val="1"/>
                <w:szCs w:val="1"/>
                <w:color w:val="auto"/>
              </w:rPr>
            </w:pPr>
          </w:p>
        </w:tc>
      </w:tr>
      <w:tr>
        <w:trPr>
          <w:trHeight w:val="177"/>
        </w:trPr>
        <w:tc>
          <w:tcPr>
            <w:tcW w:w="1380" w:type="dxa"/>
            <w:vAlign w:val="bottom"/>
            <w:vMerge w:val="restart"/>
          </w:tcPr>
          <w:p>
            <w:pPr>
              <w:ind w:left="120"/>
              <w:spacing w:after="0"/>
              <w:rPr>
                <w:sz w:val="20"/>
                <w:szCs w:val="20"/>
                <w:color w:val="auto"/>
              </w:rPr>
            </w:pPr>
            <w:r>
              <w:rPr>
                <w:rFonts w:ascii="Arial" w:cs="Arial" w:eastAsia="Arial" w:hAnsi="Arial"/>
                <w:sz w:val="19"/>
                <w:szCs w:val="19"/>
                <w:b w:val="1"/>
                <w:bCs w:val="1"/>
                <w:color w:val="auto"/>
              </w:rPr>
              <w:t>Aircraft Type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Pr>
          <w:p>
            <w:pPr>
              <w:jc w:val="right"/>
              <w:ind w:right="83"/>
              <w:spacing w:after="0" w:line="176" w:lineRule="exact"/>
              <w:rPr>
                <w:sz w:val="20"/>
                <w:szCs w:val="20"/>
                <w:color w:val="auto"/>
              </w:rPr>
            </w:pPr>
            <w:r>
              <w:rPr>
                <w:rFonts w:ascii="Arial" w:cs="Arial" w:eastAsia="Arial" w:hAnsi="Arial"/>
                <w:sz w:val="19"/>
                <w:szCs w:val="19"/>
                <w:b w:val="1"/>
                <w:bCs w:val="1"/>
                <w:color w:val="auto"/>
              </w:rPr>
              <w:t>Number of Firm</w:t>
            </w:r>
          </w:p>
        </w:tc>
        <w:tc>
          <w:tcPr>
            <w:tcW w:w="80" w:type="dxa"/>
            <w:vAlign w:val="bottom"/>
            <w:gridSpan w:val="2"/>
            <w:vMerge w:val="restart"/>
          </w:tcPr>
          <w:p>
            <w:pPr>
              <w:spacing w:after="0"/>
              <w:rPr>
                <w:sz w:val="15"/>
                <w:szCs w:val="15"/>
                <w:color w:val="auto"/>
              </w:rPr>
            </w:pPr>
          </w:p>
        </w:tc>
        <w:tc>
          <w:tcPr>
            <w:tcW w:w="1020" w:type="dxa"/>
            <w:vAlign w:val="bottom"/>
            <w:vMerge w:val="restart"/>
          </w:tcPr>
          <w:p>
            <w:pPr>
              <w:jc w:val="right"/>
              <w:ind w:right="223"/>
              <w:spacing w:after="0"/>
              <w:rPr>
                <w:sz w:val="20"/>
                <w:szCs w:val="20"/>
                <w:color w:val="auto"/>
              </w:rPr>
            </w:pPr>
            <w:r>
              <w:rPr>
                <w:rFonts w:ascii="Arial" w:cs="Arial" w:eastAsia="Arial" w:hAnsi="Arial"/>
                <w:sz w:val="19"/>
                <w:szCs w:val="19"/>
                <w:b w:val="1"/>
                <w:bCs w:val="1"/>
                <w:color w:val="auto"/>
              </w:rPr>
              <w:t>2026</w:t>
            </w:r>
          </w:p>
        </w:tc>
        <w:tc>
          <w:tcPr>
            <w:tcW w:w="60" w:type="dxa"/>
            <w:vAlign w:val="bottom"/>
            <w:vMerge w:val="restart"/>
          </w:tcPr>
          <w:p>
            <w:pPr>
              <w:spacing w:after="0"/>
              <w:rPr>
                <w:sz w:val="15"/>
                <w:szCs w:val="15"/>
                <w:color w:val="auto"/>
              </w:rPr>
            </w:pPr>
          </w:p>
        </w:tc>
        <w:tc>
          <w:tcPr>
            <w:tcW w:w="1040" w:type="dxa"/>
            <w:vAlign w:val="bottom"/>
            <w:vMerge w:val="restart"/>
          </w:tcPr>
          <w:p>
            <w:pPr>
              <w:jc w:val="right"/>
              <w:ind w:right="223"/>
              <w:spacing w:after="0"/>
              <w:rPr>
                <w:sz w:val="20"/>
                <w:szCs w:val="20"/>
                <w:color w:val="auto"/>
              </w:rPr>
            </w:pPr>
            <w:r>
              <w:rPr>
                <w:rFonts w:ascii="Arial" w:cs="Arial" w:eastAsia="Arial" w:hAnsi="Arial"/>
                <w:sz w:val="19"/>
                <w:szCs w:val="19"/>
                <w:b w:val="1"/>
                <w:bCs w:val="1"/>
                <w:color w:val="auto"/>
              </w:rPr>
              <w:t>2027</w:t>
            </w:r>
          </w:p>
        </w:tc>
        <w:tc>
          <w:tcPr>
            <w:tcW w:w="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After 2027</w:t>
            </w:r>
          </w:p>
        </w:tc>
        <w:tc>
          <w:tcPr>
            <w:tcW w:w="80" w:type="dxa"/>
            <w:vAlign w:val="bottom"/>
            <w:gridSpan w:val="2"/>
            <w:vMerge w:val="restart"/>
          </w:tcPr>
          <w:p>
            <w:pPr>
              <w:spacing w:after="0"/>
              <w:rPr>
                <w:sz w:val="15"/>
                <w:szCs w:val="15"/>
                <w:color w:val="auto"/>
              </w:rPr>
            </w:pPr>
          </w:p>
        </w:tc>
        <w:tc>
          <w:tcPr>
            <w:tcW w:w="1020" w:type="dxa"/>
            <w:vAlign w:val="bottom"/>
            <w:vMerge w:val="restart"/>
          </w:tcPr>
          <w:p>
            <w:pPr>
              <w:ind w:left="300"/>
              <w:spacing w:after="0"/>
              <w:rPr>
                <w:sz w:val="20"/>
                <w:szCs w:val="20"/>
                <w:color w:val="auto"/>
              </w:rPr>
            </w:pPr>
            <w:r>
              <w:rPr>
                <w:rFonts w:ascii="Arial" w:cs="Arial" w:eastAsia="Arial" w:hAnsi="Arial"/>
                <w:sz w:val="19"/>
                <w:szCs w:val="19"/>
                <w:b w:val="1"/>
                <w:bCs w:val="1"/>
                <w:color w:val="auto"/>
              </w:rPr>
              <w:t>2026</w:t>
            </w:r>
          </w:p>
        </w:tc>
        <w:tc>
          <w:tcPr>
            <w:tcW w:w="60" w:type="dxa"/>
            <w:vAlign w:val="bottom"/>
            <w:vMerge w:val="restart"/>
          </w:tcPr>
          <w:p>
            <w:pPr>
              <w:spacing w:after="0"/>
              <w:rPr>
                <w:sz w:val="15"/>
                <w:szCs w:val="15"/>
                <w:color w:val="auto"/>
              </w:rPr>
            </w:pPr>
          </w:p>
        </w:tc>
        <w:tc>
          <w:tcPr>
            <w:tcW w:w="1020" w:type="dxa"/>
            <w:vAlign w:val="bottom"/>
            <w:vMerge w:val="restart"/>
          </w:tcPr>
          <w:p>
            <w:pPr>
              <w:jc w:val="right"/>
              <w:ind w:right="223"/>
              <w:spacing w:after="0"/>
              <w:rPr>
                <w:sz w:val="20"/>
                <w:szCs w:val="20"/>
                <w:color w:val="auto"/>
              </w:rPr>
            </w:pPr>
            <w:r>
              <w:rPr>
                <w:rFonts w:ascii="Arial" w:cs="Arial" w:eastAsia="Arial" w:hAnsi="Arial"/>
                <w:sz w:val="19"/>
                <w:szCs w:val="19"/>
                <w:b w:val="1"/>
                <w:bCs w:val="1"/>
                <w:color w:val="auto"/>
              </w:rPr>
              <w:t>2027</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After 2027</w:t>
            </w:r>
          </w:p>
        </w:tc>
        <w:tc>
          <w:tcPr>
            <w:tcW w:w="0" w:type="dxa"/>
            <w:vAlign w:val="bottom"/>
          </w:tcPr>
          <w:p>
            <w:pPr>
              <w:spacing w:after="0"/>
              <w:rPr>
                <w:sz w:val="1"/>
                <w:szCs w:val="1"/>
                <w:color w:val="auto"/>
              </w:rPr>
            </w:pPr>
          </w:p>
        </w:tc>
      </w:tr>
      <w:tr>
        <w:trPr>
          <w:trHeight w:val="255"/>
        </w:trPr>
        <w:tc>
          <w:tcPr>
            <w:tcW w:w="13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72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b w:val="1"/>
                <w:bCs w:val="1"/>
                <w:color w:val="auto"/>
              </w:rPr>
              <w:t>Commitments (a)</w:t>
            </w:r>
          </w:p>
        </w:tc>
        <w:tc>
          <w:tcPr>
            <w:tcW w:w="80" w:type="dxa"/>
            <w:vAlign w:val="bottom"/>
            <w:tcBorders>
              <w:bottom w:val="single" w:sz="8" w:color="E6E6E6"/>
            </w:tcBorders>
            <w:gridSpan w:val="2"/>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gridSpan w:val="2"/>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E6E6E6"/>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1380" w:type="dxa"/>
            <w:vAlign w:val="bottom"/>
            <w:shd w:val="clear" w:color="auto" w:fill="E6E6E6"/>
          </w:tcPr>
          <w:p>
            <w:pPr>
              <w:ind w:left="60"/>
              <w:spacing w:after="0"/>
              <w:rPr>
                <w:sz w:val="20"/>
                <w:szCs w:val="20"/>
                <w:color w:val="auto"/>
              </w:rPr>
            </w:pPr>
            <w:r>
              <w:rPr>
                <w:rFonts w:ascii="Arial" w:cs="Arial" w:eastAsia="Arial" w:hAnsi="Arial"/>
                <w:sz w:val="19"/>
                <w:szCs w:val="19"/>
                <w:color w:val="auto"/>
              </w:rPr>
              <w:t>787</w:t>
            </w:r>
          </w:p>
        </w:tc>
        <w:tc>
          <w:tcPr>
            <w:tcW w:w="1800" w:type="dxa"/>
            <w:vAlign w:val="bottom"/>
            <w:gridSpan w:val="4"/>
            <w:shd w:val="clear" w:color="auto" w:fill="E6E6E6"/>
          </w:tcPr>
          <w:p>
            <w:pPr>
              <w:jc w:val="right"/>
              <w:spacing w:after="0"/>
              <w:rPr>
                <w:sz w:val="20"/>
                <w:szCs w:val="20"/>
                <w:color w:val="auto"/>
              </w:rPr>
            </w:pPr>
            <w:r>
              <w:rPr>
                <w:rFonts w:ascii="Arial" w:cs="Arial" w:eastAsia="Arial" w:hAnsi="Arial"/>
                <w:sz w:val="19"/>
                <w:szCs w:val="19"/>
                <w:color w:val="auto"/>
              </w:rPr>
              <w:t>150</w:t>
            </w:r>
          </w:p>
        </w:tc>
        <w:tc>
          <w:tcPr>
            <w:tcW w:w="1100" w:type="dxa"/>
            <w:vAlign w:val="bottom"/>
            <w:gridSpan w:val="3"/>
            <w:shd w:val="clear" w:color="auto" w:fill="E6E6E6"/>
          </w:tcPr>
          <w:p>
            <w:pPr>
              <w:jc w:val="right"/>
              <w:spacing w:after="0"/>
              <w:rPr>
                <w:sz w:val="20"/>
                <w:szCs w:val="20"/>
                <w:color w:val="auto"/>
              </w:rPr>
            </w:pPr>
            <w:r>
              <w:rPr>
                <w:rFonts w:ascii="Arial" w:cs="Arial" w:eastAsia="Arial" w:hAnsi="Arial"/>
                <w:sz w:val="19"/>
                <w:szCs w:val="19"/>
                <w:color w:val="auto"/>
              </w:rPr>
              <w:t>48</w:t>
            </w:r>
          </w:p>
        </w:tc>
        <w:tc>
          <w:tcPr>
            <w:tcW w:w="11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9</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93</w:t>
            </w:r>
          </w:p>
        </w:tc>
        <w:tc>
          <w:tcPr>
            <w:tcW w:w="1100" w:type="dxa"/>
            <w:vAlign w:val="bottom"/>
            <w:gridSpan w:val="3"/>
            <w:shd w:val="clear" w:color="auto" w:fill="E6E6E6"/>
          </w:tcPr>
          <w:p>
            <w:pPr>
              <w:jc w:val="right"/>
              <w:spacing w:after="0"/>
              <w:rPr>
                <w:sz w:val="20"/>
                <w:szCs w:val="20"/>
                <w:color w:val="auto"/>
              </w:rPr>
            </w:pPr>
            <w:r>
              <w:rPr>
                <w:rFonts w:ascii="Arial" w:cs="Arial" w:eastAsia="Arial" w:hAnsi="Arial"/>
                <w:sz w:val="19"/>
                <w:szCs w:val="19"/>
                <w:color w:val="auto"/>
              </w:rPr>
              <w:t>20</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26</w:t>
            </w:r>
          </w:p>
        </w:tc>
        <w:tc>
          <w:tcPr>
            <w:tcW w:w="11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104</w:t>
            </w:r>
          </w:p>
        </w:tc>
        <w:tc>
          <w:tcPr>
            <w:tcW w:w="0" w:type="dxa"/>
            <w:vAlign w:val="bottom"/>
          </w:tcPr>
          <w:p>
            <w:pPr>
              <w:spacing w:after="0"/>
              <w:rPr>
                <w:sz w:val="1"/>
                <w:szCs w:val="1"/>
                <w:color w:val="auto"/>
              </w:rPr>
            </w:pPr>
          </w:p>
        </w:tc>
      </w:tr>
      <w:tr>
        <w:trPr>
          <w:trHeight w:val="270"/>
        </w:trPr>
        <w:tc>
          <w:tcPr>
            <w:tcW w:w="1380" w:type="dxa"/>
            <w:vAlign w:val="bottom"/>
          </w:tcPr>
          <w:p>
            <w:pPr>
              <w:ind w:left="60"/>
              <w:spacing w:after="0"/>
              <w:rPr>
                <w:sz w:val="20"/>
                <w:szCs w:val="20"/>
                <w:color w:val="auto"/>
              </w:rPr>
            </w:pPr>
            <w:r>
              <w:rPr>
                <w:rFonts w:ascii="Arial" w:cs="Arial" w:eastAsia="Arial" w:hAnsi="Arial"/>
                <w:sz w:val="19"/>
                <w:szCs w:val="19"/>
                <w:color w:val="auto"/>
              </w:rPr>
              <w:t>737 MAX 9</w:t>
            </w:r>
          </w:p>
        </w:tc>
        <w:tc>
          <w:tcPr>
            <w:tcW w:w="1800" w:type="dxa"/>
            <w:vAlign w:val="bottom"/>
            <w:gridSpan w:val="4"/>
          </w:tcPr>
          <w:p>
            <w:pPr>
              <w:jc w:val="right"/>
              <w:spacing w:after="0"/>
              <w:rPr>
                <w:sz w:val="20"/>
                <w:szCs w:val="20"/>
                <w:color w:val="auto"/>
              </w:rPr>
            </w:pPr>
            <w:r>
              <w:rPr>
                <w:rFonts w:ascii="Arial" w:cs="Arial" w:eastAsia="Arial" w:hAnsi="Arial"/>
                <w:sz w:val="19"/>
                <w:szCs w:val="19"/>
                <w:color w:val="auto"/>
              </w:rPr>
              <w:t>103</w:t>
            </w:r>
          </w:p>
        </w:tc>
        <w:tc>
          <w:tcPr>
            <w:tcW w:w="1100" w:type="dxa"/>
            <w:vAlign w:val="bottom"/>
            <w:gridSpan w:val="3"/>
          </w:tcPr>
          <w:p>
            <w:pPr>
              <w:jc w:val="right"/>
              <w:spacing w:after="0"/>
              <w:rPr>
                <w:sz w:val="20"/>
                <w:szCs w:val="20"/>
                <w:color w:val="auto"/>
              </w:rPr>
            </w:pPr>
            <w:r>
              <w:rPr>
                <w:rFonts w:ascii="Arial" w:cs="Arial" w:eastAsia="Arial" w:hAnsi="Arial"/>
                <w:sz w:val="19"/>
                <w:szCs w:val="19"/>
                <w:color w:val="auto"/>
              </w:rPr>
              <w:t>103</w:t>
            </w:r>
          </w:p>
        </w:tc>
        <w:tc>
          <w:tcPr>
            <w:tcW w:w="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w:t>
            </w:r>
          </w:p>
        </w:tc>
        <w:tc>
          <w:tcPr>
            <w:tcW w:w="1100" w:type="dxa"/>
            <w:vAlign w:val="bottom"/>
            <w:gridSpan w:val="3"/>
          </w:tcPr>
          <w:p>
            <w:pPr>
              <w:jc w:val="right"/>
              <w:spacing w:after="0"/>
              <w:rPr>
                <w:sz w:val="20"/>
                <w:szCs w:val="20"/>
                <w:color w:val="auto"/>
              </w:rPr>
            </w:pPr>
            <w:r>
              <w:rPr>
                <w:rFonts w:ascii="Arial" w:cs="Arial" w:eastAsia="Arial" w:hAnsi="Arial"/>
                <w:sz w:val="19"/>
                <w:szCs w:val="19"/>
                <w:color w:val="auto"/>
              </w:rPr>
              <w:t>76</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27</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83"/>
        </w:trPr>
        <w:tc>
          <w:tcPr>
            <w:tcW w:w="1380" w:type="dxa"/>
            <w:vAlign w:val="bottom"/>
            <w:shd w:val="clear" w:color="auto" w:fill="E6E6E6"/>
          </w:tcPr>
          <w:p>
            <w:pPr>
              <w:ind w:left="60"/>
              <w:spacing w:after="0"/>
              <w:rPr>
                <w:sz w:val="20"/>
                <w:szCs w:val="20"/>
                <w:color w:val="auto"/>
              </w:rPr>
            </w:pPr>
            <w:r>
              <w:rPr>
                <w:rFonts w:ascii="Arial" w:cs="Arial" w:eastAsia="Arial" w:hAnsi="Arial"/>
                <w:sz w:val="19"/>
                <w:szCs w:val="19"/>
                <w:color w:val="auto"/>
              </w:rPr>
              <w:t>737 MAX 10</w:t>
            </w:r>
          </w:p>
        </w:tc>
        <w:tc>
          <w:tcPr>
            <w:tcW w:w="1800" w:type="dxa"/>
            <w:vAlign w:val="bottom"/>
            <w:gridSpan w:val="4"/>
            <w:shd w:val="clear" w:color="auto" w:fill="E6E6E6"/>
          </w:tcPr>
          <w:p>
            <w:pPr>
              <w:jc w:val="right"/>
              <w:spacing w:after="0"/>
              <w:rPr>
                <w:sz w:val="20"/>
                <w:szCs w:val="20"/>
                <w:color w:val="auto"/>
              </w:rPr>
            </w:pPr>
            <w:r>
              <w:rPr>
                <w:rFonts w:ascii="Arial" w:cs="Arial" w:eastAsia="Arial" w:hAnsi="Arial"/>
                <w:sz w:val="19"/>
                <w:szCs w:val="19"/>
                <w:color w:val="auto"/>
              </w:rPr>
              <w:t>167</w:t>
            </w:r>
          </w:p>
        </w:tc>
        <w:tc>
          <w:tcPr>
            <w:tcW w:w="1100" w:type="dxa"/>
            <w:vAlign w:val="bottom"/>
            <w:gridSpan w:val="3"/>
            <w:shd w:val="clear" w:color="auto" w:fill="E6E6E6"/>
          </w:tcPr>
          <w:p>
            <w:pPr>
              <w:jc w:val="right"/>
              <w:spacing w:after="0"/>
              <w:rPr>
                <w:sz w:val="20"/>
                <w:szCs w:val="20"/>
                <w:color w:val="auto"/>
              </w:rPr>
            </w:pPr>
            <w:r>
              <w:rPr>
                <w:rFonts w:ascii="Arial" w:cs="Arial" w:eastAsia="Arial" w:hAnsi="Arial"/>
                <w:sz w:val="19"/>
                <w:szCs w:val="19"/>
                <w:color w:val="auto"/>
              </w:rPr>
              <w:t>3</w:t>
            </w:r>
          </w:p>
        </w:tc>
        <w:tc>
          <w:tcPr>
            <w:tcW w:w="11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44</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120</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21</w:t>
            </w:r>
          </w:p>
        </w:tc>
        <w:tc>
          <w:tcPr>
            <w:tcW w:w="11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146</w:t>
            </w:r>
          </w:p>
        </w:tc>
        <w:tc>
          <w:tcPr>
            <w:tcW w:w="0" w:type="dxa"/>
            <w:vAlign w:val="bottom"/>
          </w:tcPr>
          <w:p>
            <w:pPr>
              <w:spacing w:after="0"/>
              <w:rPr>
                <w:sz w:val="1"/>
                <w:szCs w:val="1"/>
                <w:color w:val="auto"/>
              </w:rPr>
            </w:pPr>
          </w:p>
        </w:tc>
      </w:tr>
      <w:tr>
        <w:trPr>
          <w:trHeight w:val="270"/>
        </w:trPr>
        <w:tc>
          <w:tcPr>
            <w:tcW w:w="1380" w:type="dxa"/>
            <w:vAlign w:val="bottom"/>
          </w:tcPr>
          <w:p>
            <w:pPr>
              <w:ind w:left="60"/>
              <w:spacing w:after="0"/>
              <w:rPr>
                <w:sz w:val="20"/>
                <w:szCs w:val="20"/>
                <w:color w:val="auto"/>
              </w:rPr>
            </w:pPr>
            <w:r>
              <w:rPr>
                <w:rFonts w:ascii="Arial" w:cs="Arial" w:eastAsia="Arial" w:hAnsi="Arial"/>
                <w:sz w:val="19"/>
                <w:szCs w:val="19"/>
                <w:color w:val="auto"/>
              </w:rPr>
              <w:t>A321neo</w:t>
            </w:r>
          </w:p>
        </w:tc>
        <w:tc>
          <w:tcPr>
            <w:tcW w:w="1800" w:type="dxa"/>
            <w:vAlign w:val="bottom"/>
            <w:gridSpan w:val="4"/>
          </w:tcPr>
          <w:p>
            <w:pPr>
              <w:jc w:val="right"/>
              <w:spacing w:after="0"/>
              <w:rPr>
                <w:sz w:val="20"/>
                <w:szCs w:val="20"/>
                <w:color w:val="auto"/>
              </w:rPr>
            </w:pPr>
            <w:r>
              <w:rPr>
                <w:rFonts w:ascii="Arial" w:cs="Arial" w:eastAsia="Arial" w:hAnsi="Arial"/>
                <w:sz w:val="19"/>
                <w:szCs w:val="19"/>
                <w:color w:val="auto"/>
              </w:rPr>
              <w:t>119</w:t>
            </w:r>
          </w:p>
        </w:tc>
        <w:tc>
          <w:tcPr>
            <w:tcW w:w="1100" w:type="dxa"/>
            <w:vAlign w:val="bottom"/>
            <w:gridSpan w:val="3"/>
          </w:tcPr>
          <w:p>
            <w:pPr>
              <w:jc w:val="right"/>
              <w:spacing w:after="0"/>
              <w:rPr>
                <w:sz w:val="20"/>
                <w:szCs w:val="20"/>
                <w:color w:val="auto"/>
              </w:rPr>
            </w:pPr>
            <w:r>
              <w:rPr>
                <w:rFonts w:ascii="Arial" w:cs="Arial" w:eastAsia="Arial" w:hAnsi="Arial"/>
                <w:sz w:val="19"/>
                <w:szCs w:val="19"/>
                <w:color w:val="auto"/>
              </w:rPr>
              <w:t>18</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100</w:t>
            </w:r>
          </w:p>
        </w:tc>
        <w:tc>
          <w:tcPr>
            <w:tcW w:w="1100" w:type="dxa"/>
            <w:vAlign w:val="bottom"/>
            <w:gridSpan w:val="3"/>
          </w:tcPr>
          <w:p>
            <w:pPr>
              <w:jc w:val="right"/>
              <w:spacing w:after="0"/>
              <w:rPr>
                <w:sz w:val="20"/>
                <w:szCs w:val="20"/>
                <w:color w:val="auto"/>
              </w:rPr>
            </w:pPr>
            <w:r>
              <w:rPr>
                <w:rFonts w:ascii="Arial" w:cs="Arial" w:eastAsia="Arial" w:hAnsi="Arial"/>
                <w:sz w:val="19"/>
                <w:szCs w:val="19"/>
                <w:color w:val="auto"/>
              </w:rPr>
              <w:t>16</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3</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83"/>
        </w:trPr>
        <w:tc>
          <w:tcPr>
            <w:tcW w:w="1380" w:type="dxa"/>
            <w:vAlign w:val="bottom"/>
            <w:shd w:val="clear" w:color="auto" w:fill="E6E6E6"/>
          </w:tcPr>
          <w:p>
            <w:pPr>
              <w:ind w:left="60"/>
              <w:spacing w:after="0"/>
              <w:rPr>
                <w:sz w:val="20"/>
                <w:szCs w:val="20"/>
                <w:color w:val="auto"/>
              </w:rPr>
            </w:pPr>
            <w:r>
              <w:rPr>
                <w:rFonts w:ascii="Arial" w:cs="Arial" w:eastAsia="Arial" w:hAnsi="Arial"/>
                <w:sz w:val="19"/>
                <w:szCs w:val="19"/>
                <w:color w:val="auto"/>
              </w:rPr>
              <w:t>A321XLR</w:t>
            </w:r>
          </w:p>
        </w:tc>
        <w:tc>
          <w:tcPr>
            <w:tcW w:w="1800" w:type="dxa"/>
            <w:vAlign w:val="bottom"/>
            <w:gridSpan w:val="4"/>
            <w:shd w:val="clear" w:color="auto" w:fill="E6E6E6"/>
          </w:tcPr>
          <w:p>
            <w:pPr>
              <w:jc w:val="right"/>
              <w:spacing w:after="0"/>
              <w:rPr>
                <w:sz w:val="20"/>
                <w:szCs w:val="20"/>
                <w:color w:val="auto"/>
              </w:rPr>
            </w:pPr>
            <w:r>
              <w:rPr>
                <w:rFonts w:ascii="Arial" w:cs="Arial" w:eastAsia="Arial" w:hAnsi="Arial"/>
                <w:sz w:val="19"/>
                <w:szCs w:val="19"/>
                <w:color w:val="auto"/>
              </w:rPr>
              <w:t>50</w:t>
            </w:r>
          </w:p>
        </w:tc>
        <w:tc>
          <w:tcPr>
            <w:tcW w:w="1100" w:type="dxa"/>
            <w:vAlign w:val="bottom"/>
            <w:gridSpan w:val="3"/>
            <w:shd w:val="clear" w:color="auto" w:fill="E6E6E6"/>
          </w:tcPr>
          <w:p>
            <w:pPr>
              <w:jc w:val="right"/>
              <w:spacing w:after="0"/>
              <w:rPr>
                <w:sz w:val="20"/>
                <w:szCs w:val="20"/>
                <w:color w:val="auto"/>
              </w:rPr>
            </w:pPr>
            <w:r>
              <w:rPr>
                <w:rFonts w:ascii="Arial" w:cs="Arial" w:eastAsia="Arial" w:hAnsi="Arial"/>
                <w:sz w:val="19"/>
                <w:szCs w:val="19"/>
                <w:color w:val="auto"/>
              </w:rPr>
              <w:t>8</w:t>
            </w:r>
          </w:p>
        </w:tc>
        <w:tc>
          <w:tcPr>
            <w:tcW w:w="11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26</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16</w:t>
            </w:r>
          </w:p>
        </w:tc>
        <w:tc>
          <w:tcPr>
            <w:tcW w:w="1100" w:type="dxa"/>
            <w:vAlign w:val="bottom"/>
            <w:gridSpan w:val="3"/>
            <w:shd w:val="clear" w:color="auto" w:fill="E6E6E6"/>
          </w:tcPr>
          <w:p>
            <w:pPr>
              <w:jc w:val="right"/>
              <w:spacing w:after="0"/>
              <w:rPr>
                <w:sz w:val="20"/>
                <w:szCs w:val="20"/>
                <w:color w:val="auto"/>
              </w:rPr>
            </w:pPr>
            <w:r>
              <w:rPr>
                <w:rFonts w:ascii="Arial" w:cs="Arial" w:eastAsia="Arial" w:hAnsi="Arial"/>
                <w:sz w:val="19"/>
                <w:szCs w:val="19"/>
                <w:color w:val="auto"/>
              </w:rPr>
              <w:t>8</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16</w:t>
            </w:r>
          </w:p>
        </w:tc>
        <w:tc>
          <w:tcPr>
            <w:tcW w:w="11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264"/>
        </w:trPr>
        <w:tc>
          <w:tcPr>
            <w:tcW w:w="1380" w:type="dxa"/>
            <w:vAlign w:val="bottom"/>
          </w:tcPr>
          <w:p>
            <w:pPr>
              <w:ind w:left="60"/>
              <w:spacing w:after="0"/>
              <w:rPr>
                <w:sz w:val="20"/>
                <w:szCs w:val="20"/>
                <w:color w:val="auto"/>
              </w:rPr>
            </w:pPr>
            <w:r>
              <w:rPr>
                <w:rFonts w:ascii="Arial" w:cs="Arial" w:eastAsia="Arial" w:hAnsi="Arial"/>
                <w:sz w:val="19"/>
                <w:szCs w:val="19"/>
                <w:color w:val="auto"/>
              </w:rPr>
              <w:t>A350</w:t>
            </w:r>
          </w:p>
        </w:tc>
        <w:tc>
          <w:tcPr>
            <w:tcW w:w="1800" w:type="dxa"/>
            <w:vAlign w:val="bottom"/>
            <w:gridSpan w:val="4"/>
          </w:tcPr>
          <w:p>
            <w:pPr>
              <w:jc w:val="right"/>
              <w:spacing w:after="0"/>
              <w:rPr>
                <w:sz w:val="20"/>
                <w:szCs w:val="20"/>
                <w:color w:val="auto"/>
              </w:rPr>
            </w:pPr>
            <w:r>
              <w:rPr>
                <w:rFonts w:ascii="Arial" w:cs="Arial" w:eastAsia="Arial" w:hAnsi="Arial"/>
                <w:sz w:val="19"/>
                <w:szCs w:val="19"/>
                <w:color w:val="auto"/>
              </w:rPr>
              <w:t>45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45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-1057275</wp:posOffset>
            </wp:positionV>
            <wp:extent cx="624459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624459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52070</wp:posOffset>
                </wp:positionH>
                <wp:positionV relativeFrom="paragraph">
                  <wp:posOffset>7620</wp:posOffset>
                </wp:positionV>
                <wp:extent cx="202374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374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pt,0.6pt" to="163.45pt,0.6pt" o:allowincell="f" strokecolor="#000000" strokeweight="0.97pt"/>
            </w:pict>
          </mc:Fallback>
        </mc:AlternateContent>
      </w:r>
    </w:p>
    <w:p>
      <w:pPr>
        <w:spacing w:after="0" w:line="7" w:lineRule="exact"/>
        <w:rPr>
          <w:sz w:val="20"/>
          <w:szCs w:val="20"/>
          <w:color w:val="auto"/>
        </w:rPr>
      </w:pPr>
    </w:p>
    <w:p>
      <w:pPr>
        <w:ind w:left="340" w:hanging="206"/>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United also has options and purchase rights for additional aircraft.</w:t>
      </w:r>
    </w:p>
    <w:p>
      <w:pPr>
        <w:spacing w:after="0" w:line="48" w:lineRule="exact"/>
        <w:rPr>
          <w:rFonts w:ascii="Arial" w:cs="Arial" w:eastAsia="Arial" w:hAnsi="Arial"/>
          <w:sz w:val="16"/>
          <w:szCs w:val="16"/>
          <w:color w:val="auto"/>
        </w:rPr>
      </w:pPr>
    </w:p>
    <w:p>
      <w:pPr>
        <w:ind w:left="360" w:hanging="226"/>
        <w:spacing w:after="0"/>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Expected aircraft deliveries reflect adjustments communicated by Boeing and Airbus or estimated by United.</w:t>
      </w:r>
    </w:p>
    <w:p>
      <w:pPr>
        <w:spacing w:after="0" w:line="246"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The aircraft listed in the table above are scheduled for delivery through 2034. The amount and timing of the Company's future capital commitments could change to the extent that: (i) the Company and the aircraft manufacturers, with whom the Company has existing orders for new aircraft, agree to modify (or further modify) the contracts governing those orders; (ii) rights are exercised pursuant to the relevant agreements to cancel deliveries or modify the timing of deliveries; or (iii) the aircraft manufacturers are unable to deliver in accordance with the terms of those orders.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color w:val="auto"/>
        </w:rPr>
        <w:t>See Note 12 to the financial statements included in Part II, Item 8 of this report for additional information.</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b w:val="1"/>
          <w:bCs w:val="1"/>
          <w:i w:val="1"/>
          <w:iCs w:val="1"/>
          <w:color w:val="auto"/>
        </w:rPr>
        <w:t xml:space="preserve">Facilities. </w:t>
      </w:r>
      <w:r>
        <w:rPr>
          <w:rFonts w:ascii="Arial" w:cs="Arial" w:eastAsia="Arial" w:hAnsi="Arial"/>
          <w:sz w:val="18"/>
          <w:szCs w:val="18"/>
          <w:color w:val="auto"/>
        </w:rPr>
        <w:t>United has major terminal facility leases at SFO, IAD, ORD, LAX, DEN, EWR, IAH and GUM. United leases gates,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hangar sites, terminal buildings and other airport facilities in the municipalities it serves with lease expiration dates ranging from 2026 through 2057. Substantially all of these facilities are leased on a net-rental basis, resulting in the Company having financial responsibility for maintenance, insurance and other facility-related expenses and services.</w:t>
      </w:r>
    </w:p>
    <w:p>
      <w:pPr>
        <w:spacing w:after="0" w:line="114" w:lineRule="exact"/>
        <w:rPr>
          <w:sz w:val="20"/>
          <w:szCs w:val="20"/>
          <w:color w:val="auto"/>
        </w:rPr>
      </w:pPr>
    </w:p>
    <w:p>
      <w:pPr>
        <w:jc w:val="both"/>
        <w:ind w:right="120"/>
        <w:spacing w:after="0" w:line="274" w:lineRule="auto"/>
        <w:rPr>
          <w:sz w:val="20"/>
          <w:szCs w:val="20"/>
          <w:color w:val="auto"/>
        </w:rPr>
      </w:pPr>
      <w:r>
        <w:rPr>
          <w:rFonts w:ascii="Arial" w:cs="Arial" w:eastAsia="Arial" w:hAnsi="Arial"/>
          <w:sz w:val="19"/>
          <w:szCs w:val="19"/>
          <w:color w:val="auto"/>
        </w:rPr>
        <w:t>United also maintains administrative, catering, cargo, training, maintenance and other facilities to support its operations in the cities it serves. United's leases for its principal executive office and operations center in downtown Chicago and administrative offices in downtown Houston expire from 2029 through 2033.</w:t>
      </w:r>
    </w:p>
    <w:p>
      <w:pPr>
        <w:spacing w:after="0" w:line="118"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9"/>
          <w:szCs w:val="19"/>
          <w:b w:val="1"/>
          <w:bCs w:val="1"/>
          <w:color w:val="auto"/>
        </w:rPr>
        <w:t>LEGAL PROCEEDINGS.</w:t>
      </w:r>
    </w:p>
    <w:p>
      <w:pPr>
        <w:spacing w:after="0" w:line="19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is involved, both as a plaintiff and a defendant, in various legal proceedings, including, without limitation, litigation, arbitration and other claims, and investigations, inspections, subpoenas, audits, inquiries and similar actions involving its passengers, customers, suppliers, employees and stockholders, as well as government agencies, among others, arising in the ordinary course of business and that have not been fully resolved. Legal proceedings, in general, and securities, class action and multi-district litigation, in particular, can be expensive and disruptive. Some of these suits may purport or may be determined to be class actions and/or involve parties seeking large and/or indeterminate amounts, including punitive or exemplary damages, and may remain unresolved for several years. Additionally, from time to time, the Company becomes aware of potential non-compliance with applicable environmental regulations, which have either been identified by the Company (through internal compliance programs such as its environmental compliance audits) or through notice from a governmental entity. In some instances, these matters could potentially become the subject of an administrative or judicial proceeding and could potentially involve monetary sanctions.</w:t>
      </w:r>
    </w:p>
    <w:p>
      <w:pPr>
        <w:spacing w:after="0" w:line="12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Management believes, after considering a number of factors, including (but not limited to) the information currently available, the views of legal counsel, the nature of contingencies to which the Company is subject and prior experience, that its defenses and assertions in pending legal proceedings have merit and, except as otherwise specifically noted below, the ultimate disposition of any pending matter will not materially affect the Company's financial position, results of operations or cash flows. However, the ultimate resolutions of the Company's legal proceedings and other contingencies are inherently unpredictable and subject to significant uncertainties. There can be no assurance that there will not be an increase in the scope of one or more of these pending matters or any other or future lawsuits, claims, government investigations or other legal proceedings will not be material to the Company's financial position, results of operations or cash flows for a particular period. As such, the Company's financial condition and results of operations could be adversely affected in any particular period by the unfavorable resolution of one or more of these matters.</w:t>
      </w:r>
    </w:p>
    <w:p>
      <w:pPr>
        <w:sectPr>
          <w:pgSz w:w="11880" w:h="15480" w:orient="portrait"/>
          <w:cols w:equalWidth="0" w:num="1">
            <w:col w:w="9960"/>
          </w:cols>
          <w:pgMar w:left="960" w:top="581"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9960"/>
          </w:cols>
          <w:pgMar w:left="960" w:top="581" w:right="960" w:bottom="33" w:gutter="0" w:footer="0" w:header="0"/>
          <w:type w:val="continuous"/>
        </w:sectPr>
      </w:pPr>
    </w:p>
    <w:bookmarkStart w:id="37" w:name="page38"/>
    <w:bookmarkEnd w:id="37"/>
    <w:p>
      <w:pPr>
        <w:spacing w:after="0"/>
        <w:rPr>
          <w:sz w:val="20"/>
          <w:szCs w:val="20"/>
          <w:color w:val="auto"/>
        </w:rPr>
      </w:pPr>
      <w:r>
        <w:rPr>
          <w:rFonts w:ascii="Arial" w:cs="Arial" w:eastAsia="Arial" w:hAnsi="Arial"/>
          <w:sz w:val="19"/>
          <w:szCs w:val="19"/>
          <w:b w:val="1"/>
          <w:bCs w:val="1"/>
          <w:u w:val="single" w:color="auto"/>
          <w:color w:val="auto"/>
        </w:rPr>
        <w:t>Antitrust Litigation</w:t>
      </w:r>
    </w:p>
    <w:p>
      <w:pPr>
        <w:spacing w:after="0" w:line="196"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On June 30, 2015, UAL received a Civil Investigative Demand ("CID") from the Antitrust Division of the DOJ seeking documents and information from the Company in connection with a DOJ investigation related to statements and decisions about airline capacity. The Company has completed its response to the CID. Beginning on July 1, 2015, subsequent to the announcement of the CID, UAL and United were named as defendants in multiple class action lawsuits that asserted claims under the Sherman Antitrust Act, which have been consolidated in the United States District Court for the District of Columbia. The complaints generally allege collusion among U.S. airlines on capacity impacting airfares and seek treble damages. The Company is vigorously defending against the class action lawsuits.</w:t>
      </w:r>
    </w:p>
    <w:p>
      <w:pPr>
        <w:spacing w:after="0" w:line="200" w:lineRule="exact"/>
        <w:rPr>
          <w:sz w:val="20"/>
          <w:szCs w:val="20"/>
          <w:color w:val="auto"/>
        </w:rPr>
      </w:pPr>
    </w:p>
    <w:p>
      <w:pPr>
        <w:spacing w:after="0" w:line="336"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w:t>
      </w:r>
    </w:p>
    <w:p>
      <w:pPr>
        <w:spacing w:after="0" w:line="189" w:lineRule="exact"/>
        <w:rPr>
          <w:sz w:val="20"/>
          <w:szCs w:val="20"/>
          <w:color w:val="auto"/>
        </w:rPr>
      </w:pPr>
    </w:p>
    <w:p>
      <w:pPr>
        <w:ind w:left="1400" w:right="320" w:hanging="1396"/>
        <w:spacing w:after="0" w:line="298" w:lineRule="auto"/>
        <w:tabs>
          <w:tab w:leader="none" w:pos="138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9"/>
          <w:szCs w:val="19"/>
          <w:b w:val="1"/>
          <w:bCs w:val="1"/>
          <w:color w:val="auto"/>
        </w:rPr>
        <w:t>MARKET FOR REGISTRANT'S COMMON EQUITY, RELATED STOCKHOLDER MATTERS AND ISSUER PURCHASES OF EQUITY SECURITIES.</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Information for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UAL's common stock is listed on the Nasdaq Global Select Market ("Nasdaq") under the symbol "UAL."</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Holders of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As of February 5, 2026, there were 4,218 holders of record of UAL common stock.</w:t>
      </w:r>
    </w:p>
    <w:p>
      <w:pPr>
        <w:spacing w:after="0" w:line="189" w:lineRule="exact"/>
        <w:rPr>
          <w:sz w:val="20"/>
          <w:szCs w:val="20"/>
          <w:color w:val="auto"/>
        </w:rPr>
      </w:pPr>
    </w:p>
    <w:p>
      <w:pPr>
        <w:ind w:right="160"/>
        <w:spacing w:after="0" w:line="296" w:lineRule="auto"/>
        <w:rPr>
          <w:sz w:val="20"/>
          <w:szCs w:val="20"/>
          <w:color w:val="auto"/>
        </w:rPr>
      </w:pPr>
      <w:r>
        <w:rPr>
          <w:rFonts w:ascii="Arial" w:cs="Arial" w:eastAsia="Arial" w:hAnsi="Arial"/>
          <w:sz w:val="18"/>
          <w:szCs w:val="18"/>
          <w:color w:val="auto"/>
        </w:rPr>
        <w:t>The number of record holders is based upon the actual number of holders registered on our books at such date based on information provided by Computershare Investor Services, our transfer agent, and does not include holders of shares in "street name" or other holders identified in security position listings maintained by depository trust companies.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 Policy</w:t>
      </w:r>
    </w:p>
    <w:p>
      <w:pPr>
        <w:spacing w:after="0" w:line="196" w:lineRule="exact"/>
        <w:rPr>
          <w:sz w:val="20"/>
          <w:szCs w:val="20"/>
          <w:color w:val="auto"/>
        </w:rPr>
      </w:pPr>
    </w:p>
    <w:p>
      <w:pPr>
        <w:ind w:right="200"/>
        <w:spacing w:after="0" w:line="268" w:lineRule="auto"/>
        <w:rPr>
          <w:sz w:val="20"/>
          <w:szCs w:val="20"/>
          <w:color w:val="auto"/>
        </w:rPr>
      </w:pPr>
      <w:r>
        <w:rPr>
          <w:rFonts w:ascii="Arial" w:cs="Arial" w:eastAsia="Arial" w:hAnsi="Arial"/>
          <w:sz w:val="19"/>
          <w:szCs w:val="19"/>
          <w:color w:val="auto"/>
        </w:rPr>
        <w:t>There were no cash dividend payments during the year ended December 31, 2025 and we do not expect to pay cash dividends in the foreseeable future. Future decisions to pay cash dividends continue to be at the discretion of the Board and will be dependent on our profitability expectations, net income, operating performance, financial condition, capital expenditure requirements and other factors that the Board considers relevant.</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Purchases of Equity Securities by the Issuer and Affiliated Purchasers</w:t>
      </w:r>
    </w:p>
    <w:p>
      <w:pPr>
        <w:spacing w:after="0" w:line="196" w:lineRule="exact"/>
        <w:rPr>
          <w:sz w:val="20"/>
          <w:szCs w:val="20"/>
          <w:color w:val="auto"/>
        </w:rPr>
      </w:pPr>
    </w:p>
    <w:p>
      <w:pPr>
        <w:ind w:right="140"/>
        <w:spacing w:after="0" w:line="294" w:lineRule="auto"/>
        <w:rPr>
          <w:sz w:val="20"/>
          <w:szCs w:val="20"/>
          <w:color w:val="auto"/>
        </w:rPr>
      </w:pPr>
      <w:r>
        <w:rPr>
          <w:rFonts w:ascii="Arial" w:cs="Arial" w:eastAsia="Arial" w:hAnsi="Arial"/>
          <w:sz w:val="19"/>
          <w:szCs w:val="19"/>
          <w:color w:val="auto"/>
        </w:rPr>
        <w:t>The following table presents information with respect to the Company's repurchases of UAL common stock during the quarter ended December 31,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center"/>
              <w:ind w:right="63"/>
              <w:spacing w:after="0"/>
              <w:rPr>
                <w:sz w:val="20"/>
                <w:szCs w:val="20"/>
                <w:color w:val="auto"/>
              </w:rPr>
            </w:pPr>
            <w:r>
              <w:rPr>
                <w:rFonts w:ascii="Arial" w:cs="Arial" w:eastAsia="Arial" w:hAnsi="Arial"/>
                <w:sz w:val="19"/>
                <w:szCs w:val="19"/>
                <w:b w:val="1"/>
                <w:bCs w:val="1"/>
                <w:color w:val="auto"/>
                <w:w w:val="94"/>
              </w:rPr>
              <w:t>(a)</w:t>
            </w:r>
          </w:p>
        </w:tc>
        <w:tc>
          <w:tcPr>
            <w:tcW w:w="0" w:type="dxa"/>
            <w:vAlign w:val="bottom"/>
          </w:tcPr>
          <w:p>
            <w:pPr>
              <w:spacing w:after="0"/>
              <w:rPr>
                <w:sz w:val="1"/>
                <w:szCs w:val="1"/>
                <w:color w:val="auto"/>
              </w:rPr>
            </w:pPr>
          </w:p>
        </w:tc>
      </w:tr>
      <w:tr>
        <w:trPr>
          <w:trHeight w:val="194"/>
        </w:trPr>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gridSpan w:val="2"/>
          </w:tcPr>
          <w:p>
            <w:pPr>
              <w:jc w:val="center"/>
              <w:spacing w:after="0" w:line="194" w:lineRule="exact"/>
              <w:rPr>
                <w:sz w:val="20"/>
                <w:szCs w:val="20"/>
                <w:color w:val="auto"/>
              </w:rPr>
            </w:pPr>
            <w:r>
              <w:rPr>
                <w:rFonts w:ascii="Arial" w:cs="Arial" w:eastAsia="Arial" w:hAnsi="Arial"/>
                <w:sz w:val="19"/>
                <w:szCs w:val="19"/>
                <w:b w:val="1"/>
                <w:bCs w:val="1"/>
                <w:color w:val="auto"/>
                <w:w w:val="96"/>
              </w:rPr>
              <w:t>Maximum number (or</w:t>
            </w:r>
          </w:p>
        </w:tc>
        <w:tc>
          <w:tcPr>
            <w:tcW w:w="0" w:type="dxa"/>
            <w:vAlign w:val="bottom"/>
          </w:tcPr>
          <w:p>
            <w:pPr>
              <w:spacing w:after="0"/>
              <w:rPr>
                <w:sz w:val="1"/>
                <w:szCs w:val="1"/>
                <w:color w:val="auto"/>
              </w:rPr>
            </w:pPr>
          </w:p>
        </w:tc>
      </w:tr>
      <w:tr>
        <w:trPr>
          <w:trHeight w:val="194"/>
        </w:trPr>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3"/>
              </w:rPr>
              <w:t>Total number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jc w:val="center"/>
              <w:ind w:right="83"/>
              <w:spacing w:after="0" w:line="194" w:lineRule="exact"/>
              <w:rPr>
                <w:sz w:val="20"/>
                <w:szCs w:val="20"/>
                <w:color w:val="auto"/>
              </w:rPr>
            </w:pPr>
            <w:r>
              <w:rPr>
                <w:rFonts w:ascii="Arial" w:cs="Arial" w:eastAsia="Arial" w:hAnsi="Arial"/>
                <w:sz w:val="19"/>
                <w:szCs w:val="19"/>
                <w:b w:val="1"/>
                <w:bCs w:val="1"/>
                <w:color w:val="auto"/>
                <w:w w:val="94"/>
              </w:rPr>
              <w:t>approximate dollar</w:t>
            </w:r>
          </w:p>
        </w:tc>
        <w:tc>
          <w:tcPr>
            <w:tcW w:w="0" w:type="dxa"/>
            <w:vAlign w:val="bottom"/>
          </w:tcPr>
          <w:p>
            <w:pPr>
              <w:spacing w:after="0"/>
              <w:rPr>
                <w:sz w:val="1"/>
                <w:szCs w:val="1"/>
                <w:color w:val="auto"/>
              </w:rPr>
            </w:pPr>
          </w:p>
        </w:tc>
      </w:tr>
      <w:tr>
        <w:trPr>
          <w:trHeight w:val="194"/>
        </w:trPr>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4"/>
              </w:rPr>
              <w:t>(a)</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jc w:val="center"/>
              <w:ind w:right="63"/>
              <w:spacing w:after="0" w:line="194" w:lineRule="exact"/>
              <w:rPr>
                <w:sz w:val="20"/>
                <w:szCs w:val="20"/>
                <w:color w:val="auto"/>
              </w:rPr>
            </w:pPr>
            <w:r>
              <w:rPr>
                <w:rFonts w:ascii="Arial" w:cs="Arial" w:eastAsia="Arial" w:hAnsi="Arial"/>
                <w:sz w:val="19"/>
                <w:szCs w:val="19"/>
                <w:b w:val="1"/>
                <w:bCs w:val="1"/>
                <w:color w:val="auto"/>
                <w:w w:val="90"/>
              </w:rPr>
              <w:t>value) of shares (or</w:t>
            </w:r>
          </w:p>
        </w:tc>
        <w:tc>
          <w:tcPr>
            <w:tcW w:w="0" w:type="dxa"/>
            <w:vAlign w:val="bottom"/>
          </w:tcPr>
          <w:p>
            <w:pPr>
              <w:spacing w:after="0"/>
              <w:rPr>
                <w:sz w:val="1"/>
                <w:szCs w:val="1"/>
                <w:color w:val="auto"/>
              </w:rPr>
            </w:pPr>
          </w:p>
        </w:tc>
      </w:tr>
      <w:tr>
        <w:trPr>
          <w:trHeight w:val="194"/>
        </w:trPr>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vMerge w:val="restart"/>
          </w:tcPr>
          <w:p>
            <w:pPr>
              <w:jc w:val="center"/>
              <w:ind w:right="63"/>
              <w:spacing w:after="0"/>
              <w:rPr>
                <w:sz w:val="20"/>
                <w:szCs w:val="20"/>
                <w:color w:val="auto"/>
              </w:rPr>
            </w:pPr>
            <w:r>
              <w:rPr>
                <w:rFonts w:ascii="Arial" w:cs="Arial" w:eastAsia="Arial" w:hAnsi="Arial"/>
                <w:sz w:val="19"/>
                <w:szCs w:val="19"/>
                <w:b w:val="1"/>
                <w:bCs w:val="1"/>
                <w:color w:val="auto"/>
                <w:w w:val="98"/>
              </w:rPr>
              <w:t>(b)</w:t>
            </w:r>
          </w:p>
        </w:tc>
        <w:tc>
          <w:tcPr>
            <w:tcW w:w="60" w:type="dxa"/>
            <w:vAlign w:val="bottom"/>
          </w:tcPr>
          <w:p>
            <w:pPr>
              <w:spacing w:after="0"/>
              <w:rPr>
                <w:sz w:val="16"/>
                <w:szCs w:val="16"/>
                <w:color w:val="auto"/>
              </w:rPr>
            </w:pPr>
          </w:p>
        </w:tc>
        <w:tc>
          <w:tcPr>
            <w:tcW w:w="1980" w:type="dxa"/>
            <w:vAlign w:val="bottom"/>
          </w:tcPr>
          <w:p>
            <w:pPr>
              <w:jc w:val="center"/>
              <w:spacing w:after="0" w:line="194" w:lineRule="exact"/>
              <w:rPr>
                <w:sz w:val="20"/>
                <w:szCs w:val="20"/>
                <w:color w:val="auto"/>
              </w:rPr>
            </w:pPr>
            <w:r>
              <w:rPr>
                <w:rFonts w:ascii="Arial" w:cs="Arial" w:eastAsia="Arial" w:hAnsi="Arial"/>
                <w:sz w:val="19"/>
                <w:szCs w:val="19"/>
                <w:b w:val="1"/>
                <w:bCs w:val="1"/>
                <w:color w:val="auto"/>
                <w:w w:val="89"/>
              </w:rPr>
              <w:t>shares (or units)</w:t>
            </w:r>
          </w:p>
        </w:tc>
        <w:tc>
          <w:tcPr>
            <w:tcW w:w="60" w:type="dxa"/>
            <w:vAlign w:val="bottom"/>
          </w:tcPr>
          <w:p>
            <w:pPr>
              <w:spacing w:after="0"/>
              <w:rPr>
                <w:sz w:val="16"/>
                <w:szCs w:val="16"/>
                <w:color w:val="auto"/>
              </w:rPr>
            </w:pPr>
          </w:p>
        </w:tc>
        <w:tc>
          <w:tcPr>
            <w:tcW w:w="1980" w:type="dxa"/>
            <w:vAlign w:val="bottom"/>
            <w:gridSpan w:val="2"/>
          </w:tcPr>
          <w:p>
            <w:pPr>
              <w:jc w:val="center"/>
              <w:spacing w:after="0" w:line="194" w:lineRule="exact"/>
              <w:rPr>
                <w:sz w:val="20"/>
                <w:szCs w:val="20"/>
                <w:color w:val="auto"/>
              </w:rPr>
            </w:pPr>
            <w:r>
              <w:rPr>
                <w:rFonts w:ascii="Arial" w:cs="Arial" w:eastAsia="Arial" w:hAnsi="Arial"/>
                <w:sz w:val="19"/>
                <w:szCs w:val="19"/>
                <w:b w:val="1"/>
                <w:bCs w:val="1"/>
                <w:color w:val="auto"/>
                <w:w w:val="92"/>
              </w:rPr>
              <w:t>units) that may yet be</w:t>
            </w:r>
          </w:p>
        </w:tc>
        <w:tc>
          <w:tcPr>
            <w:tcW w:w="0" w:type="dxa"/>
            <w:vAlign w:val="bottom"/>
          </w:tcPr>
          <w:p>
            <w:pPr>
              <w:spacing w:after="0"/>
              <w:rPr>
                <w:sz w:val="1"/>
                <w:szCs w:val="1"/>
                <w:color w:val="auto"/>
              </w:rPr>
            </w:pPr>
          </w:p>
        </w:tc>
      </w:tr>
      <w:tr>
        <w:trPr>
          <w:trHeight w:val="194"/>
        </w:trPr>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tcPr>
          <w:p>
            <w:pPr>
              <w:jc w:val="center"/>
              <w:spacing w:after="0" w:line="194" w:lineRule="exact"/>
              <w:rPr>
                <w:sz w:val="20"/>
                <w:szCs w:val="20"/>
                <w:color w:val="auto"/>
              </w:rPr>
            </w:pPr>
            <w:r>
              <w:rPr>
                <w:rFonts w:ascii="Arial" w:cs="Arial" w:eastAsia="Arial" w:hAnsi="Arial"/>
                <w:sz w:val="19"/>
                <w:szCs w:val="19"/>
                <w:b w:val="1"/>
                <w:bCs w:val="1"/>
                <w:color w:val="auto"/>
                <w:w w:val="94"/>
              </w:rPr>
              <w:t>Total number of</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tcPr>
          <w:p>
            <w:pPr>
              <w:jc w:val="center"/>
              <w:spacing w:after="0" w:line="194" w:lineRule="exact"/>
              <w:rPr>
                <w:sz w:val="20"/>
                <w:szCs w:val="20"/>
                <w:color w:val="auto"/>
              </w:rPr>
            </w:pPr>
            <w:r>
              <w:rPr>
                <w:rFonts w:ascii="Arial" w:cs="Arial" w:eastAsia="Arial" w:hAnsi="Arial"/>
                <w:sz w:val="19"/>
                <w:szCs w:val="19"/>
                <w:b w:val="1"/>
                <w:bCs w:val="1"/>
                <w:color w:val="auto"/>
                <w:w w:val="90"/>
              </w:rPr>
              <w:t>purchased as part of</w:t>
            </w:r>
          </w:p>
        </w:tc>
        <w:tc>
          <w:tcPr>
            <w:tcW w:w="60" w:type="dxa"/>
            <w:vAlign w:val="bottom"/>
          </w:tcPr>
          <w:p>
            <w:pPr>
              <w:spacing w:after="0"/>
              <w:rPr>
                <w:sz w:val="16"/>
                <w:szCs w:val="16"/>
                <w:color w:val="auto"/>
              </w:rPr>
            </w:pPr>
          </w:p>
        </w:tc>
        <w:tc>
          <w:tcPr>
            <w:tcW w:w="1980" w:type="dxa"/>
            <w:vAlign w:val="bottom"/>
            <w:gridSpan w:val="2"/>
          </w:tcPr>
          <w:p>
            <w:pPr>
              <w:jc w:val="center"/>
              <w:spacing w:after="0" w:line="194" w:lineRule="exact"/>
              <w:rPr>
                <w:sz w:val="20"/>
                <w:szCs w:val="20"/>
                <w:color w:val="auto"/>
              </w:rPr>
            </w:pPr>
            <w:r>
              <w:rPr>
                <w:rFonts w:ascii="Arial" w:cs="Arial" w:eastAsia="Arial" w:hAnsi="Arial"/>
                <w:sz w:val="19"/>
                <w:szCs w:val="19"/>
                <w:b w:val="1"/>
                <w:bCs w:val="1"/>
                <w:color w:val="auto"/>
                <w:w w:val="90"/>
              </w:rPr>
              <w:t>purchased under the</w:t>
            </w:r>
          </w:p>
        </w:tc>
        <w:tc>
          <w:tcPr>
            <w:tcW w:w="0" w:type="dxa"/>
            <w:vAlign w:val="bottom"/>
          </w:tcPr>
          <w:p>
            <w:pPr>
              <w:spacing w:after="0"/>
              <w:rPr>
                <w:sz w:val="1"/>
                <w:szCs w:val="1"/>
                <w:color w:val="auto"/>
              </w:rPr>
            </w:pPr>
          </w:p>
        </w:tc>
      </w:tr>
      <w:tr>
        <w:trPr>
          <w:trHeight w:val="194"/>
        </w:trPr>
        <w:tc>
          <w:tcPr>
            <w:tcW w:w="1800" w:type="dxa"/>
            <w:vAlign w:val="bottom"/>
            <w:vMerge w:val="restart"/>
          </w:tcPr>
          <w:p>
            <w:pPr>
              <w:ind w:left="640"/>
              <w:spacing w:after="0"/>
              <w:rPr>
                <w:sz w:val="20"/>
                <w:szCs w:val="20"/>
                <w:color w:val="auto"/>
              </w:rPr>
            </w:pPr>
            <w:r>
              <w:rPr>
                <w:rFonts w:ascii="Arial" w:cs="Arial" w:eastAsia="Arial" w:hAnsi="Arial"/>
                <w:sz w:val="19"/>
                <w:szCs w:val="19"/>
                <w:b w:val="1"/>
                <w:bCs w:val="1"/>
                <w:color w:val="auto"/>
              </w:rPr>
              <w:t>Period</w:t>
            </w:r>
          </w:p>
        </w:tc>
        <w:tc>
          <w:tcPr>
            <w:tcW w:w="60" w:type="dxa"/>
            <w:vAlign w:val="bottom"/>
          </w:tcPr>
          <w:p>
            <w:pPr>
              <w:spacing w:after="0"/>
              <w:rPr>
                <w:sz w:val="16"/>
                <w:szCs w:val="16"/>
                <w:color w:val="auto"/>
              </w:rPr>
            </w:pPr>
          </w:p>
        </w:tc>
        <w:tc>
          <w:tcPr>
            <w:tcW w:w="1980" w:type="dxa"/>
            <w:vAlign w:val="bottom"/>
          </w:tcPr>
          <w:p>
            <w:pPr>
              <w:jc w:val="center"/>
              <w:spacing w:after="0" w:line="194" w:lineRule="exact"/>
              <w:rPr>
                <w:sz w:val="20"/>
                <w:szCs w:val="20"/>
                <w:color w:val="auto"/>
              </w:rPr>
            </w:pPr>
            <w:r>
              <w:rPr>
                <w:rFonts w:ascii="Arial" w:cs="Arial" w:eastAsia="Arial" w:hAnsi="Arial"/>
                <w:sz w:val="19"/>
                <w:szCs w:val="19"/>
                <w:b w:val="1"/>
                <w:bCs w:val="1"/>
                <w:color w:val="auto"/>
                <w:w w:val="89"/>
              </w:rPr>
              <w:t>shares (or units)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jc w:val="center"/>
              <w:ind w:right="83"/>
              <w:spacing w:after="0" w:line="194" w:lineRule="exact"/>
              <w:rPr>
                <w:sz w:val="20"/>
                <w:szCs w:val="20"/>
                <w:color w:val="auto"/>
              </w:rPr>
            </w:pPr>
            <w:r>
              <w:rPr>
                <w:rFonts w:ascii="Arial" w:cs="Arial" w:eastAsia="Arial" w:hAnsi="Arial"/>
                <w:sz w:val="19"/>
                <w:szCs w:val="19"/>
                <w:b w:val="1"/>
                <w:bCs w:val="1"/>
                <w:color w:val="auto"/>
                <w:w w:val="92"/>
              </w:rPr>
              <w:t>Average price paid</w:t>
            </w:r>
          </w:p>
        </w:tc>
        <w:tc>
          <w:tcPr>
            <w:tcW w:w="60" w:type="dxa"/>
            <w:vAlign w:val="bottom"/>
          </w:tcPr>
          <w:p>
            <w:pPr>
              <w:spacing w:after="0"/>
              <w:rPr>
                <w:sz w:val="16"/>
                <w:szCs w:val="16"/>
                <w:color w:val="auto"/>
              </w:rPr>
            </w:pPr>
          </w:p>
        </w:tc>
        <w:tc>
          <w:tcPr>
            <w:tcW w:w="1980" w:type="dxa"/>
            <w:vAlign w:val="bottom"/>
          </w:tcPr>
          <w:p>
            <w:pPr>
              <w:jc w:val="center"/>
              <w:spacing w:after="0" w:line="194" w:lineRule="exact"/>
              <w:rPr>
                <w:sz w:val="20"/>
                <w:szCs w:val="20"/>
                <w:color w:val="auto"/>
              </w:rPr>
            </w:pPr>
            <w:r>
              <w:rPr>
                <w:rFonts w:ascii="Arial" w:cs="Arial" w:eastAsia="Arial" w:hAnsi="Arial"/>
                <w:sz w:val="19"/>
                <w:szCs w:val="19"/>
                <w:b w:val="1"/>
                <w:bCs w:val="1"/>
                <w:color w:val="auto"/>
                <w:w w:val="90"/>
              </w:rPr>
              <w:t>publicly announced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jc w:val="center"/>
              <w:ind w:right="63"/>
              <w:spacing w:after="0" w:line="194" w:lineRule="exact"/>
              <w:rPr>
                <w:sz w:val="20"/>
                <w:szCs w:val="20"/>
                <w:color w:val="auto"/>
              </w:rPr>
            </w:pPr>
            <w:r>
              <w:rPr>
                <w:rFonts w:ascii="Arial" w:cs="Arial" w:eastAsia="Arial" w:hAnsi="Arial"/>
                <w:sz w:val="19"/>
                <w:szCs w:val="19"/>
                <w:b w:val="1"/>
                <w:bCs w:val="1"/>
                <w:color w:val="auto"/>
                <w:w w:val="92"/>
              </w:rPr>
              <w:t>plans or programs</w:t>
            </w:r>
          </w:p>
        </w:tc>
        <w:tc>
          <w:tcPr>
            <w:tcW w:w="0" w:type="dxa"/>
            <w:vAlign w:val="bottom"/>
          </w:tcPr>
          <w:p>
            <w:pPr>
              <w:spacing w:after="0"/>
              <w:rPr>
                <w:sz w:val="1"/>
                <w:szCs w:val="1"/>
                <w:color w:val="auto"/>
              </w:rPr>
            </w:pPr>
          </w:p>
        </w:tc>
      </w:tr>
      <w:tr>
        <w:trPr>
          <w:trHeight w:val="255"/>
        </w:trPr>
        <w:tc>
          <w:tcPr>
            <w:tcW w:w="18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purchased</w:t>
            </w:r>
          </w:p>
        </w:tc>
        <w:tc>
          <w:tcPr>
            <w:tcW w:w="6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63"/>
              <w:spacing w:after="0"/>
              <w:rPr>
                <w:sz w:val="20"/>
                <w:szCs w:val="20"/>
                <w:color w:val="auto"/>
              </w:rPr>
            </w:pPr>
            <w:r>
              <w:rPr>
                <w:rFonts w:ascii="Arial" w:cs="Arial" w:eastAsia="Arial" w:hAnsi="Arial"/>
                <w:sz w:val="19"/>
                <w:szCs w:val="19"/>
                <w:b w:val="1"/>
                <w:bCs w:val="1"/>
                <w:color w:val="auto"/>
                <w:w w:val="93"/>
              </w:rPr>
              <w:t>per share (or unit)</w:t>
            </w:r>
          </w:p>
        </w:tc>
        <w:tc>
          <w:tcPr>
            <w:tcW w:w="60" w:type="dxa"/>
            <w:vAlign w:val="bottom"/>
            <w:tcBorders>
              <w:bottom w:val="single" w:sz="8" w:color="E6E6E6"/>
            </w:tcBorders>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plans or programs</w:t>
            </w:r>
          </w:p>
        </w:tc>
        <w:tc>
          <w:tcPr>
            <w:tcW w:w="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ind w:right="83"/>
              <w:spacing w:after="0"/>
              <w:rPr>
                <w:sz w:val="20"/>
                <w:szCs w:val="20"/>
                <w:color w:val="auto"/>
              </w:rPr>
            </w:pPr>
            <w:r>
              <w:rPr>
                <w:rFonts w:ascii="Arial" w:cs="Arial" w:eastAsia="Arial" w:hAnsi="Arial"/>
                <w:sz w:val="19"/>
                <w:szCs w:val="19"/>
                <w:b w:val="1"/>
                <w:bCs w:val="1"/>
                <w:color w:val="auto"/>
                <w:w w:val="93"/>
              </w:rPr>
              <w:t>(in millions)</w:t>
            </w:r>
          </w:p>
        </w:tc>
        <w:tc>
          <w:tcPr>
            <w:tcW w:w="0" w:type="dxa"/>
            <w:vAlign w:val="bottom"/>
          </w:tcPr>
          <w:p>
            <w:pPr>
              <w:spacing w:after="0"/>
              <w:rPr>
                <w:sz w:val="1"/>
                <w:szCs w:val="1"/>
                <w:color w:val="auto"/>
              </w:rPr>
            </w:pPr>
          </w:p>
        </w:tc>
      </w:tr>
      <w:tr>
        <w:trPr>
          <w:trHeight w:val="266"/>
        </w:trPr>
        <w:tc>
          <w:tcPr>
            <w:tcW w:w="1800" w:type="dxa"/>
            <w:vAlign w:val="bottom"/>
            <w:shd w:val="clear" w:color="auto" w:fill="E6E6E6"/>
          </w:tcPr>
          <w:p>
            <w:pPr>
              <w:ind w:left="60"/>
              <w:spacing w:after="0"/>
              <w:rPr>
                <w:sz w:val="20"/>
                <w:szCs w:val="20"/>
                <w:color w:val="auto"/>
              </w:rPr>
            </w:pPr>
            <w:r>
              <w:rPr>
                <w:rFonts w:ascii="Arial" w:cs="Arial" w:eastAsia="Arial" w:hAnsi="Arial"/>
                <w:sz w:val="19"/>
                <w:szCs w:val="19"/>
                <w:color w:val="auto"/>
              </w:rPr>
              <w:t>October 1 - 31</w:t>
            </w:r>
          </w:p>
        </w:tc>
        <w:tc>
          <w:tcPr>
            <w:tcW w:w="20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75,844</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color w:val="auto"/>
              </w:rPr>
              <w:t>$</w:t>
            </w:r>
          </w:p>
        </w:tc>
        <w:tc>
          <w:tcPr>
            <w:tcW w:w="18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96.89</w:t>
            </w:r>
          </w:p>
        </w:tc>
        <w:tc>
          <w:tcPr>
            <w:tcW w:w="20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75,844</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803</w:t>
            </w:r>
          </w:p>
        </w:tc>
        <w:tc>
          <w:tcPr>
            <w:tcW w:w="0" w:type="dxa"/>
            <w:vAlign w:val="bottom"/>
          </w:tcPr>
          <w:p>
            <w:pPr>
              <w:spacing w:after="0"/>
              <w:rPr>
                <w:sz w:val="1"/>
                <w:szCs w:val="1"/>
                <w:color w:val="auto"/>
              </w:rPr>
            </w:pPr>
          </w:p>
        </w:tc>
      </w:tr>
      <w:tr>
        <w:trPr>
          <w:trHeight w:val="270"/>
        </w:trPr>
        <w:tc>
          <w:tcPr>
            <w:tcW w:w="1800" w:type="dxa"/>
            <w:vAlign w:val="bottom"/>
          </w:tcPr>
          <w:p>
            <w:pPr>
              <w:ind w:left="60"/>
              <w:spacing w:after="0"/>
              <w:rPr>
                <w:sz w:val="20"/>
                <w:szCs w:val="20"/>
                <w:color w:val="auto"/>
              </w:rPr>
            </w:pPr>
            <w:r>
              <w:rPr>
                <w:rFonts w:ascii="Arial" w:cs="Arial" w:eastAsia="Arial" w:hAnsi="Arial"/>
                <w:sz w:val="19"/>
                <w:szCs w:val="19"/>
                <w:color w:val="auto"/>
              </w:rPr>
              <w:t>November 1 - 30</w:t>
            </w:r>
          </w:p>
        </w:tc>
        <w:tc>
          <w:tcPr>
            <w:tcW w:w="2040" w:type="dxa"/>
            <w:vAlign w:val="bottom"/>
            <w:gridSpan w:val="2"/>
          </w:tcPr>
          <w:p>
            <w:pPr>
              <w:jc w:val="right"/>
              <w:spacing w:after="0"/>
              <w:rPr>
                <w:sz w:val="20"/>
                <w:szCs w:val="20"/>
                <w:color w:val="auto"/>
              </w:rPr>
            </w:pPr>
            <w:r>
              <w:rPr>
                <w:rFonts w:ascii="Arial" w:cs="Arial" w:eastAsia="Arial" w:hAnsi="Arial"/>
                <w:sz w:val="19"/>
                <w:szCs w:val="19"/>
                <w:color w:val="auto"/>
              </w:rPr>
              <w:t>149,835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9"/>
                <w:szCs w:val="19"/>
                <w:color w:val="auto"/>
              </w:rPr>
              <w:t>94.91</w:t>
            </w:r>
          </w:p>
        </w:tc>
        <w:tc>
          <w:tcPr>
            <w:tcW w:w="2040" w:type="dxa"/>
            <w:vAlign w:val="bottom"/>
            <w:gridSpan w:val="2"/>
          </w:tcPr>
          <w:p>
            <w:pPr>
              <w:jc w:val="right"/>
              <w:spacing w:after="0"/>
              <w:rPr>
                <w:sz w:val="20"/>
                <w:szCs w:val="20"/>
                <w:color w:val="auto"/>
              </w:rPr>
            </w:pPr>
            <w:r>
              <w:rPr>
                <w:rFonts w:ascii="Arial" w:cs="Arial" w:eastAsia="Arial" w:hAnsi="Arial"/>
                <w:sz w:val="19"/>
                <w:szCs w:val="19"/>
                <w:color w:val="auto"/>
              </w:rPr>
              <w:t>149,835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9"/>
                <w:szCs w:val="19"/>
                <w:color w:val="auto"/>
              </w:rPr>
              <w:t>789</w:t>
            </w:r>
          </w:p>
        </w:tc>
        <w:tc>
          <w:tcPr>
            <w:tcW w:w="0" w:type="dxa"/>
            <w:vAlign w:val="bottom"/>
          </w:tcPr>
          <w:p>
            <w:pPr>
              <w:spacing w:after="0"/>
              <w:rPr>
                <w:sz w:val="1"/>
                <w:szCs w:val="1"/>
                <w:color w:val="auto"/>
              </w:rPr>
            </w:pPr>
          </w:p>
        </w:tc>
      </w:tr>
      <w:tr>
        <w:trPr>
          <w:trHeight w:val="292"/>
        </w:trPr>
        <w:tc>
          <w:tcPr>
            <w:tcW w:w="18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December 1 - 31</w:t>
            </w:r>
          </w:p>
        </w:tc>
        <w:tc>
          <w:tcPr>
            <w:tcW w:w="60" w:type="dxa"/>
            <w:vAlign w:val="bottom"/>
            <w:tcBorders>
              <w:bottom w:val="single" w:sz="8" w:color="E6E6E6"/>
            </w:tcBorders>
            <w:shd w:val="clear" w:color="auto" w:fill="E6E6E6"/>
          </w:tcPr>
          <w:p>
            <w:pPr>
              <w:spacing w:after="0"/>
              <w:rPr>
                <w:sz w:val="24"/>
                <w:szCs w:val="24"/>
                <w:color w:val="auto"/>
              </w:rPr>
            </w:pPr>
          </w:p>
        </w:tc>
        <w:tc>
          <w:tcPr>
            <w:tcW w:w="1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58,919</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1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107.61</w:t>
            </w:r>
          </w:p>
        </w:tc>
        <w:tc>
          <w:tcPr>
            <w:tcW w:w="60" w:type="dxa"/>
            <w:vAlign w:val="bottom"/>
            <w:tcBorders>
              <w:bottom w:val="single" w:sz="8" w:color="E6E6E6"/>
            </w:tcBorders>
            <w:shd w:val="clear" w:color="auto" w:fill="E6E6E6"/>
          </w:tcPr>
          <w:p>
            <w:pPr>
              <w:spacing w:after="0"/>
              <w:rPr>
                <w:sz w:val="24"/>
                <w:szCs w:val="24"/>
                <w:color w:val="auto"/>
              </w:rPr>
            </w:pPr>
          </w:p>
        </w:tc>
        <w:tc>
          <w:tcPr>
            <w:tcW w:w="1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58,919</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782</w:t>
            </w:r>
          </w:p>
        </w:tc>
        <w:tc>
          <w:tcPr>
            <w:tcW w:w="0" w:type="dxa"/>
            <w:vAlign w:val="bottom"/>
          </w:tcPr>
          <w:p>
            <w:pPr>
              <w:spacing w:after="0"/>
              <w:rPr>
                <w:sz w:val="1"/>
                <w:szCs w:val="1"/>
                <w:color w:val="auto"/>
              </w:rPr>
            </w:pPr>
          </w:p>
        </w:tc>
      </w:tr>
      <w:tr>
        <w:trPr>
          <w:trHeight w:val="257"/>
        </w:trPr>
        <w:tc>
          <w:tcPr>
            <w:tcW w:w="180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Total</w:t>
            </w:r>
          </w:p>
        </w:tc>
        <w:tc>
          <w:tcPr>
            <w:tcW w:w="60" w:type="dxa"/>
            <w:vAlign w:val="bottom"/>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284,598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284,598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1172210</wp:posOffset>
            </wp:positionH>
            <wp:positionV relativeFrom="paragraph">
              <wp:posOffset>-732790</wp:posOffset>
            </wp:positionV>
            <wp:extent cx="516318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5163185" cy="25400"/>
                    </a:xfrm>
                    <a:prstGeom prst="rect">
                      <a:avLst/>
                    </a:prstGeom>
                    <a:noFill/>
                  </pic:spPr>
                </pic:pic>
              </a:graphicData>
            </a:graphic>
          </wp:anchor>
        </w:drawing>
        <w:drawing>
          <wp:anchor simplePos="0" relativeHeight="251657728" behindDoc="1" locked="0" layoutInCell="0" allowOverlap="1">
            <wp:simplePos x="0" y="0"/>
            <wp:positionH relativeFrom="column">
              <wp:posOffset>1172210</wp:posOffset>
            </wp:positionH>
            <wp:positionV relativeFrom="paragraph">
              <wp:posOffset>-206375</wp:posOffset>
            </wp:positionV>
            <wp:extent cx="12820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1282065" cy="2540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-206375</wp:posOffset>
            </wp:positionV>
            <wp:extent cx="12820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1282065" cy="25400"/>
                    </a:xfrm>
                    <a:prstGeom prst="rect">
                      <a:avLst/>
                    </a:prstGeom>
                    <a:noFill/>
                  </pic:spPr>
                </pic:pic>
              </a:graphicData>
            </a:graphic>
          </wp:anchor>
        </w:drawing>
      </w:r>
    </w:p>
    <w:p>
      <w:pPr>
        <w:spacing w:after="0" w:line="15" w:lineRule="exact"/>
        <w:rPr>
          <w:sz w:val="20"/>
          <w:szCs w:val="20"/>
          <w:color w:val="auto"/>
        </w:rPr>
      </w:pPr>
    </w:p>
    <w:p>
      <w:pPr>
        <w:ind w:left="60" w:right="160" w:hanging="6"/>
        <w:spacing w:after="0" w:line="238"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October 15, 2024, the Company announced that its Board authorized a new share repurchase program with no stated expiration, allowing for purchases of up to $1.5 billion in the aggregate of outstanding UAL common stock and Warrants, subject to a limit of $500 million in the aggregate through 2024. As of February 5, 2026, the dollar value of the shares that may yet be purchased under the program is approximately $0.8 billion. See Note 3 to the financial statements included in Part II, Item 8 of this report for additional information on the share repurchase program.</w:t>
      </w:r>
    </w:p>
    <w:p>
      <w:pPr>
        <w:spacing w:after="0" w:line="26" w:lineRule="exact"/>
        <w:rPr>
          <w:rFonts w:ascii="Arial" w:cs="Arial" w:eastAsia="Arial" w:hAnsi="Arial"/>
          <w:sz w:val="18"/>
          <w:szCs w:val="18"/>
          <w:color w:val="auto"/>
        </w:rPr>
      </w:pPr>
    </w:p>
    <w:p>
      <w:pPr>
        <w:ind w:left="320" w:hanging="266"/>
        <w:spacing w:after="0"/>
        <w:tabs>
          <w:tab w:leader="none" w:pos="3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Average price paid per share is calculated on a settlement basis and excludes commission and taxes.</w:t>
      </w:r>
    </w:p>
    <w:p>
      <w:pPr>
        <w:sectPr>
          <w:pgSz w:w="11880" w:h="15480" w:orient="portrait"/>
          <w:cols w:equalWidth="0" w:num="1">
            <w:col w:w="9960"/>
          </w:cols>
          <w:pgMar w:left="960" w:top="579" w:right="960" w:bottom="33"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9960"/>
          </w:cols>
          <w:pgMar w:left="960" w:top="579" w:right="960" w:bottom="33" w:gutter="0" w:footer="0" w:header="0"/>
          <w:type w:val="continuous"/>
        </w:sectPr>
      </w:pPr>
    </w:p>
    <w:bookmarkStart w:id="38" w:name="page39"/>
    <w:bookmarkEnd w:id="38"/>
    <w:p>
      <w:pPr>
        <w:spacing w:after="0"/>
        <w:rPr>
          <w:sz w:val="20"/>
          <w:szCs w:val="20"/>
          <w:color w:val="auto"/>
        </w:rPr>
      </w:pPr>
      <w:r>
        <w:rPr>
          <w:rFonts w:ascii="Arial" w:cs="Arial" w:eastAsia="Arial" w:hAnsi="Arial"/>
          <w:sz w:val="19"/>
          <w:szCs w:val="19"/>
          <w:b w:val="1"/>
          <w:bCs w:val="1"/>
          <w:color w:val="auto"/>
        </w:rPr>
        <w:t>Recent Sale of Unregistered Securities and Use of Proceeds</w:t>
      </w:r>
    </w:p>
    <w:p>
      <w:pPr>
        <w:spacing w:after="0" w:line="196" w:lineRule="exact"/>
        <w:rPr>
          <w:sz w:val="20"/>
          <w:szCs w:val="20"/>
          <w:color w:val="auto"/>
        </w:rPr>
      </w:pPr>
    </w:p>
    <w:p>
      <w:pPr>
        <w:ind w:right="420"/>
        <w:spacing w:after="0" w:line="294" w:lineRule="auto"/>
        <w:rPr>
          <w:sz w:val="20"/>
          <w:szCs w:val="20"/>
          <w:color w:val="auto"/>
        </w:rPr>
      </w:pPr>
      <w:r>
        <w:rPr>
          <w:rFonts w:ascii="Arial" w:cs="Arial" w:eastAsia="Arial" w:hAnsi="Arial"/>
          <w:sz w:val="19"/>
          <w:szCs w:val="19"/>
          <w:color w:val="auto"/>
        </w:rPr>
        <w:t>The Company did not sell any securities that were not registered under the Securities Act during the period covered by this report that have not been previously disclosed on a Form 10-Q or Form 8-K.</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Performance Graph</w:t>
      </w:r>
    </w:p>
    <w:p>
      <w:pPr>
        <w:spacing w:after="0" w:line="196"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The following graph compares the cumulative total stockholder return during the period from December 31, 2020 to December 31, 2025 of UAL common stock to the Standard and Poor's 500 Index ("SPX") and the NYSE Arca Airline Index ("XAL"). The comparison assumes $100 was invested on December 31, 2020 in UAL common stock and in each of the foregoing indices and assumes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6320790" cy="2978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6320790" cy="297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200"/>
        <w:spacing w:after="0" w:line="251" w:lineRule="auto"/>
        <w:rPr>
          <w:sz w:val="20"/>
          <w:szCs w:val="20"/>
          <w:color w:val="auto"/>
        </w:rPr>
      </w:pPr>
      <w:r>
        <w:rPr>
          <w:rFonts w:ascii="Arial" w:cs="Arial" w:eastAsia="Arial" w:hAnsi="Arial"/>
          <w:sz w:val="16"/>
          <w:szCs w:val="16"/>
          <w:b w:val="1"/>
          <w:bCs w:val="1"/>
          <w:i w:val="1"/>
          <w:iCs w:val="1"/>
          <w:color w:val="auto"/>
        </w:rPr>
        <w:t xml:space="preserve">Note: </w:t>
      </w:r>
      <w:r>
        <w:rPr>
          <w:rFonts w:ascii="Arial" w:cs="Arial" w:eastAsia="Arial" w:hAnsi="Arial"/>
          <w:sz w:val="16"/>
          <w:szCs w:val="16"/>
          <w:color w:val="auto"/>
        </w:rPr>
        <w:t>The stock price performance shown in the graph above should not be considered indicative of potential future stock price performance. The foregoing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graph is being furnished as part of this report solely in accordance with the requirement under Rule 14a-3(b)(9) to furnish our stockholders with such information, and therefore, shall not be deemed to be filed or incorporated by reference into any filings by the Company under the Securities Act or the Exchange Act.</w:t>
      </w:r>
    </w:p>
    <w:p>
      <w:pPr>
        <w:spacing w:after="0" w:line="133"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9"/>
          <w:szCs w:val="19"/>
          <w:b w:val="1"/>
          <w:bCs w:val="1"/>
          <w:color w:val="auto"/>
        </w:rPr>
        <w:t>[RESERVED]</w:t>
      </w:r>
    </w:p>
    <w:p>
      <w:pPr>
        <w:spacing w:after="0" w:line="200" w:lineRule="exact"/>
        <w:rPr>
          <w:sz w:val="20"/>
          <w:szCs w:val="20"/>
          <w:color w:val="auto"/>
        </w:rPr>
      </w:pPr>
    </w:p>
    <w:p>
      <w:pPr>
        <w:spacing w:after="0" w:line="272" w:lineRule="exact"/>
        <w:rPr>
          <w:sz w:val="20"/>
          <w:szCs w:val="20"/>
          <w:color w:val="auto"/>
        </w:rPr>
      </w:pPr>
    </w:p>
    <w:p>
      <w:pPr>
        <w:ind w:right="140"/>
        <w:spacing w:after="0" w:line="298" w:lineRule="auto"/>
        <w:rPr>
          <w:sz w:val="20"/>
          <w:szCs w:val="20"/>
          <w:color w:val="auto"/>
        </w:rPr>
      </w:pPr>
      <w:r>
        <w:rPr>
          <w:rFonts w:ascii="Arial" w:cs="Arial" w:eastAsia="Arial" w:hAnsi="Arial"/>
          <w:sz w:val="19"/>
          <w:szCs w:val="19"/>
          <w:b w:val="1"/>
          <w:bCs w:val="1"/>
          <w:color w:val="auto"/>
        </w:rPr>
        <w:t>ITEM 7. MANAGEMENT'S DISCUSSION AND ANALYSIS OF FINANCIAL CONDITION AND RESULTS OF OPERATIONS.</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Management's discussion and analysis of financial condition and results of operations is provided as a supplement to and should be read in conjunction with the consolidated financial statements and related notes included elsewhere in this Form 10-K and the description of our business and reportable segments in Part I, Item 1. Business of this Form 10-K to enhance the understanding of our results of operations, financial condition and cash flows.</w:t>
      </w:r>
    </w:p>
    <w:p>
      <w:pPr>
        <w:spacing w:after="0" w:line="130" w:lineRule="exact"/>
        <w:rPr>
          <w:sz w:val="20"/>
          <w:szCs w:val="20"/>
          <w:color w:val="auto"/>
        </w:rPr>
      </w:pPr>
    </w:p>
    <w:p>
      <w:pPr>
        <w:ind w:right="120"/>
        <w:spacing w:after="0" w:line="268" w:lineRule="auto"/>
        <w:rPr>
          <w:sz w:val="20"/>
          <w:szCs w:val="20"/>
          <w:color w:val="auto"/>
        </w:rPr>
      </w:pPr>
      <w:r>
        <w:rPr>
          <w:rFonts w:ascii="Arial" w:cs="Arial" w:eastAsia="Arial" w:hAnsi="Arial"/>
          <w:sz w:val="19"/>
          <w:szCs w:val="19"/>
          <w:color w:val="auto"/>
        </w:rPr>
        <w:t>This section generally discusses 2025 and 2024 items and year-to-year comparisons between 2025 and 2024. Discussions of 2023 items and year-to-year comparisons between 2024 and 2023 are not included in this Form 10-K and can be found in "Management's Discussion and Analysis of Financial Condition and Results of Operations" in Part II, Item 7 of the Company's 2024 Annual Report.</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Executive Summary</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Overview</w:t>
      </w:r>
    </w:p>
    <w:p>
      <w:pPr>
        <w:spacing w:after="0" w:line="197"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United Airlines Holdings, Inc. (together with its consolidated subsidiaries, "UAL" or the "Company") is a holding company and its wholly-owned subsidiary is United Airlines, Inc. (together with its consolidated subsidiaries, "United").</w:t>
      </w:r>
    </w:p>
    <w:p>
      <w:pPr>
        <w:sectPr>
          <w:pgSz w:w="11880" w:h="15480" w:orient="portrait"/>
          <w:cols w:equalWidth="0" w:num="1">
            <w:col w:w="9960"/>
          </w:cols>
          <w:pgMar w:left="960" w:top="579"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9960"/>
          </w:cols>
          <w:pgMar w:left="960" w:top="579" w:right="960" w:bottom="33" w:gutter="0" w:footer="0" w:header="0"/>
          <w:type w:val="continuous"/>
        </w:sectPr>
      </w:pPr>
    </w:p>
    <w:bookmarkStart w:id="39" w:name="page40"/>
    <w:bookmarkEnd w:id="39"/>
    <w:p>
      <w:pPr>
        <w:ind w:right="100"/>
        <w:spacing w:after="0" w:line="262" w:lineRule="auto"/>
        <w:rPr>
          <w:sz w:val="20"/>
          <w:szCs w:val="20"/>
          <w:color w:val="auto"/>
        </w:rPr>
      </w:pPr>
      <w:r>
        <w:rPr>
          <w:rFonts w:ascii="Arial" w:cs="Arial" w:eastAsia="Arial" w:hAnsi="Arial"/>
          <w:sz w:val="19"/>
          <w:szCs w:val="19"/>
          <w:color w:val="auto"/>
        </w:rPr>
        <w:t>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135" w:lineRule="exact"/>
        <w:rPr>
          <w:sz w:val="20"/>
          <w:szCs w:val="20"/>
          <w:color w:val="auto"/>
        </w:rPr>
      </w:pPr>
    </w:p>
    <w:p>
      <w:pPr>
        <w:ind w:right="20"/>
        <w:spacing w:after="0" w:line="309" w:lineRule="auto"/>
        <w:rPr>
          <w:sz w:val="20"/>
          <w:szCs w:val="20"/>
          <w:color w:val="auto"/>
        </w:rPr>
      </w:pPr>
      <w:r>
        <w:rPr>
          <w:rFonts w:ascii="Arial" w:cs="Arial" w:eastAsia="Arial" w:hAnsi="Arial"/>
          <w:sz w:val="17"/>
          <w:szCs w:val="17"/>
          <w:color w:val="auto"/>
        </w:rPr>
        <w:t>Our current expectations described below are forward-looking statements and our actual results and timing may vary materially based on various factors that include, but are not limited to, those discussed below under "Strategy," "Economic and Market Factors," "Governmental Actions," "Cautionary Statement Regarding Forward-Looking Statements" and in Part I, Item 1A. Risk Factors, of this Form 10-K. The results presented in this report are not necessarily indicative of future operating results.</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Strategy</w:t>
      </w:r>
    </w:p>
    <w:p>
      <w:pPr>
        <w:spacing w:after="0" w:line="197"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Our shared purpose is "Connecting People. Uniting the World." We have the most comprehensive route network among North American carriers, including U.S. mainland hubs in Chicago, Denver, Houston, Los Angeles, New York/Newark, San Francisco and Washington, D.C.</w:t>
      </w:r>
    </w:p>
    <w:p>
      <w:pPr>
        <w:spacing w:after="0" w:line="125"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We are the largest airline measured by available seat miles in the world, helping to connect around 181 million passengers to more than 380 destinations across six continents. The Company remains focused on delivering on four strategic pillars, which it believes has helped, and will continue, to differentiate United from the rest of the industry:</w:t>
      </w:r>
    </w:p>
    <w:p>
      <w:pPr>
        <w:spacing w:after="0" w:line="125" w:lineRule="exact"/>
        <w:rPr>
          <w:sz w:val="20"/>
          <w:szCs w:val="20"/>
          <w:color w:val="auto"/>
        </w:rPr>
      </w:pPr>
    </w:p>
    <w:p>
      <w:pPr>
        <w:ind w:left="700" w:right="40" w:hanging="348"/>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United Next:</w:t>
      </w:r>
      <w:r>
        <w:rPr>
          <w:rFonts w:ascii="Arial" w:cs="Arial" w:eastAsia="Arial" w:hAnsi="Arial"/>
          <w:sz w:val="18"/>
          <w:szCs w:val="18"/>
          <w:color w:val="auto"/>
        </w:rPr>
        <w:t xml:space="preserve"> In 2025 we continued to make progress with our United Next plan to align our network and product with the potential of our hubs while remaining focused on protecting the safety of our employees and customers and providing a superior customer experience. United Next aims to increase customer choice and win brand-loyal customers by offering a diversity of products ranging from Basic Economy to Polaris and growing our leading global network, which the Company expects will lead to diverse revenue streams for the Company. As part of our United Next growth plan, we expect to take delivery of over 630 new narrow- and widebody aircraft by the end of 2034. The new aircraft that the Company has taken delivery of to date have increased our gauge, scale, and connectivity, as well as improved the Company's fuel efficiency. Other key highlights of our United Next plan include:</w:t>
      </w:r>
    </w:p>
    <w:p>
      <w:pPr>
        <w:spacing w:after="0" w:line="126"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9"/>
          <w:szCs w:val="19"/>
          <w:color w:val="auto"/>
        </w:rPr>
        <w:t>–   increasing our employee headcount by more than 38,000 employees since 2020;</w:t>
      </w:r>
    </w:p>
    <w:p>
      <w:pPr>
        <w:spacing w:after="0" w:line="188" w:lineRule="exact"/>
        <w:rPr>
          <w:rFonts w:ascii="Arial" w:cs="Arial" w:eastAsia="Arial" w:hAnsi="Arial"/>
          <w:sz w:val="18"/>
          <w:szCs w:val="18"/>
          <w:color w:val="auto"/>
        </w:rPr>
      </w:pPr>
    </w:p>
    <w:p>
      <w:pPr>
        <w:ind w:left="1400" w:right="160" w:hanging="349"/>
        <w:spacing w:after="0" w:line="294" w:lineRule="auto"/>
        <w:rPr>
          <w:rFonts w:ascii="Arial" w:cs="Arial" w:eastAsia="Arial" w:hAnsi="Arial"/>
          <w:sz w:val="18"/>
          <w:szCs w:val="18"/>
          <w:color w:val="auto"/>
        </w:rPr>
      </w:pPr>
      <w:r>
        <w:rPr>
          <w:rFonts w:ascii="Arial" w:cs="Arial" w:eastAsia="Arial" w:hAnsi="Arial"/>
          <w:sz w:val="19"/>
          <w:szCs w:val="19"/>
          <w:color w:val="auto"/>
        </w:rPr>
        <w:t>– surpassing 530 new and retrofit aircraft featuring our signature interior with bigger bins, seatback screens at every seat and Bluetooth connectivity;</w:t>
      </w:r>
    </w:p>
    <w:p>
      <w:pPr>
        <w:spacing w:after="0" w:line="105" w:lineRule="exact"/>
        <w:rPr>
          <w:rFonts w:ascii="Arial" w:cs="Arial" w:eastAsia="Arial" w:hAnsi="Arial"/>
          <w:sz w:val="18"/>
          <w:szCs w:val="18"/>
          <w:color w:val="auto"/>
        </w:rPr>
      </w:pPr>
    </w:p>
    <w:p>
      <w:pPr>
        <w:ind w:left="1400" w:right="280" w:hanging="349"/>
        <w:spacing w:after="0" w:line="323" w:lineRule="auto"/>
        <w:rPr>
          <w:rFonts w:ascii="Arial" w:cs="Arial" w:eastAsia="Arial" w:hAnsi="Arial"/>
          <w:sz w:val="18"/>
          <w:szCs w:val="18"/>
          <w:color w:val="auto"/>
        </w:rPr>
      </w:pPr>
      <w:r>
        <w:rPr>
          <w:rFonts w:ascii="Arial" w:cs="Arial" w:eastAsia="Arial" w:hAnsi="Arial"/>
          <w:sz w:val="18"/>
          <w:szCs w:val="18"/>
          <w:color w:val="auto"/>
        </w:rPr>
        <w:t>– expanding our leading global network to destinations like Nuuk, Greenland; Ulaanbaatar, Mongolia; Faro, Portugal; Puerto Escondido, Mexico; Palermo, Italy; Bilbao, Spain; and Madeira Island, Portugal;</w:t>
      </w:r>
    </w:p>
    <w:p>
      <w:pPr>
        <w:spacing w:after="0" w:line="83" w:lineRule="exact"/>
        <w:rPr>
          <w:rFonts w:ascii="Arial" w:cs="Arial" w:eastAsia="Arial" w:hAnsi="Arial"/>
          <w:sz w:val="18"/>
          <w:szCs w:val="18"/>
          <w:color w:val="auto"/>
        </w:rPr>
      </w:pPr>
    </w:p>
    <w:p>
      <w:pPr>
        <w:ind w:left="1400" w:right="380" w:hanging="349"/>
        <w:spacing w:after="0" w:line="294" w:lineRule="auto"/>
        <w:rPr>
          <w:rFonts w:ascii="Arial" w:cs="Arial" w:eastAsia="Arial" w:hAnsi="Arial"/>
          <w:sz w:val="18"/>
          <w:szCs w:val="18"/>
          <w:color w:val="auto"/>
        </w:rPr>
      </w:pPr>
      <w:r>
        <w:rPr>
          <w:rFonts w:ascii="Arial" w:cs="Arial" w:eastAsia="Arial" w:hAnsi="Arial"/>
          <w:sz w:val="19"/>
          <w:szCs w:val="19"/>
          <w:color w:val="auto"/>
        </w:rPr>
        <w:t>– launching Kinective Media</w:t>
      </w:r>
      <w:r>
        <w:rPr>
          <w:rFonts w:ascii="Arial" w:cs="Arial" w:eastAsia="Arial" w:hAnsi="Arial"/>
          <w:sz w:val="12"/>
          <w:szCs w:val="12"/>
          <w:color w:val="auto"/>
        </w:rPr>
        <w:t>SM</w:t>
      </w:r>
      <w:r>
        <w:rPr>
          <w:rFonts w:ascii="Arial" w:cs="Arial" w:eastAsia="Arial" w:hAnsi="Arial"/>
          <w:sz w:val="19"/>
          <w:szCs w:val="19"/>
          <w:color w:val="auto"/>
        </w:rPr>
        <w:t xml:space="preserve"> (the first media network that uses insights from travel behaviors to connect customers to personalized advertising, experiences and offers from leading brands);</w:t>
      </w:r>
    </w:p>
    <w:p>
      <w:pPr>
        <w:spacing w:after="0" w:line="105" w:lineRule="exact"/>
        <w:rPr>
          <w:rFonts w:ascii="Arial" w:cs="Arial" w:eastAsia="Arial" w:hAnsi="Arial"/>
          <w:sz w:val="18"/>
          <w:szCs w:val="18"/>
          <w:color w:val="auto"/>
        </w:rPr>
      </w:pPr>
    </w:p>
    <w:p>
      <w:pPr>
        <w:ind w:left="1400" w:right="240" w:hanging="349"/>
        <w:spacing w:after="0" w:line="294" w:lineRule="auto"/>
        <w:rPr>
          <w:rFonts w:ascii="Arial" w:cs="Arial" w:eastAsia="Arial" w:hAnsi="Arial"/>
          <w:sz w:val="18"/>
          <w:szCs w:val="18"/>
          <w:color w:val="auto"/>
        </w:rPr>
      </w:pPr>
      <w:r>
        <w:rPr>
          <w:rFonts w:ascii="Arial" w:cs="Arial" w:eastAsia="Arial" w:hAnsi="Arial"/>
          <w:sz w:val="19"/>
          <w:szCs w:val="19"/>
          <w:color w:val="auto"/>
        </w:rPr>
        <w:t>– bringing Starlink's Wi-Fi service (the world's fastest, most reliable Wi-Fi in the sky) to our United Express regional aircraft and beginning installation on our mainline aircraft; and</w:t>
      </w:r>
    </w:p>
    <w:p>
      <w:pPr>
        <w:spacing w:after="0" w:line="105"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   making significant technology changes that empower our employees and improve the customer experience.</w:t>
      </w:r>
    </w:p>
    <w:p>
      <w:pPr>
        <w:spacing w:after="0" w:line="200" w:lineRule="exact"/>
        <w:rPr>
          <w:rFonts w:ascii="Arial" w:cs="Arial" w:eastAsia="Arial" w:hAnsi="Arial"/>
          <w:sz w:val="18"/>
          <w:szCs w:val="18"/>
          <w:color w:val="auto"/>
        </w:rPr>
      </w:pPr>
    </w:p>
    <w:p>
      <w:pPr>
        <w:ind w:left="700" w:right="80" w:hanging="348"/>
        <w:spacing w:after="0" w:line="265" w:lineRule="auto"/>
        <w:tabs>
          <w:tab w:leader="none" w:pos="70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Operational excellence:</w:t>
      </w:r>
      <w:r>
        <w:rPr>
          <w:rFonts w:ascii="Arial" w:cs="Arial" w:eastAsia="Arial" w:hAnsi="Arial"/>
          <w:sz w:val="19"/>
          <w:szCs w:val="19"/>
          <w:color w:val="auto"/>
        </w:rPr>
        <w:t xml:space="preserve"> The most important factor for customer satisfaction is on-time flights. We face some unique challenges in this respect because we operate hubs in the most congested and constrained airports in the country. That backdrop means that United needs to be a leader at using technology to overcome these challenges. We have been working strategically to overcome operational challenges and continue to innovate in order to make advancements in this area.</w:t>
      </w:r>
    </w:p>
    <w:p>
      <w:pPr>
        <w:spacing w:after="0" w:line="132" w:lineRule="exact"/>
        <w:rPr>
          <w:rFonts w:ascii="Arial" w:cs="Arial" w:eastAsia="Arial" w:hAnsi="Arial"/>
          <w:sz w:val="19"/>
          <w:szCs w:val="19"/>
          <w:color w:val="auto"/>
        </w:rPr>
      </w:pPr>
    </w:p>
    <w:p>
      <w:pPr>
        <w:ind w:left="700" w:right="300" w:hanging="348"/>
        <w:spacing w:after="0" w:line="294" w:lineRule="auto"/>
        <w:tabs>
          <w:tab w:leader="none" w:pos="70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Pre-tax margin:</w:t>
      </w:r>
      <w:r>
        <w:rPr>
          <w:rFonts w:ascii="Arial" w:cs="Arial" w:eastAsia="Arial" w:hAnsi="Arial"/>
          <w:sz w:val="19"/>
          <w:szCs w:val="19"/>
          <w:color w:val="auto"/>
        </w:rPr>
        <w:t xml:space="preserve"> We believe that best-in-class margin performance will provide the cash flow needed to support our planned investments in growth.</w:t>
      </w:r>
    </w:p>
    <w:p>
      <w:pPr>
        <w:spacing w:after="0" w:line="105" w:lineRule="exact"/>
        <w:rPr>
          <w:rFonts w:ascii="Arial" w:cs="Arial" w:eastAsia="Arial" w:hAnsi="Arial"/>
          <w:sz w:val="19"/>
          <w:szCs w:val="19"/>
          <w:color w:val="auto"/>
        </w:rPr>
      </w:pPr>
    </w:p>
    <w:p>
      <w:pPr>
        <w:ind w:left="700" w:right="80" w:hanging="348"/>
        <w:spacing w:after="0" w:line="274" w:lineRule="auto"/>
        <w:tabs>
          <w:tab w:leader="none" w:pos="70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Customer service:</w:t>
      </w:r>
      <w:r>
        <w:rPr>
          <w:rFonts w:ascii="Arial" w:cs="Arial" w:eastAsia="Arial" w:hAnsi="Arial"/>
          <w:sz w:val="19"/>
          <w:szCs w:val="19"/>
          <w:color w:val="auto"/>
        </w:rPr>
        <w:t xml:space="preserve"> We believe that excellent customer service is part of de-commoditizing air travel. Our people are our greatest asset and they are by far the most important part of our product. Ultimately our people provide customers with the service they expect.</w:t>
      </w:r>
    </w:p>
    <w:p>
      <w:pPr>
        <w:sectPr>
          <w:pgSz w:w="11880" w:h="15480" w:orient="portrait"/>
          <w:cols w:equalWidth="0" w:num="1">
            <w:col w:w="9920"/>
          </w:cols>
          <w:pgMar w:left="960" w:top="586"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9920"/>
          </w:cols>
          <w:pgMar w:left="960" w:top="586" w:right="1000" w:bottom="33" w:gutter="0" w:footer="0" w:header="0"/>
          <w:type w:val="continuous"/>
        </w:sectPr>
      </w:pPr>
    </w:p>
    <w:bookmarkStart w:id="40" w:name="page41"/>
    <w:bookmarkEnd w:id="40"/>
    <w:p>
      <w:pPr>
        <w:spacing w:after="0"/>
        <w:rPr>
          <w:sz w:val="20"/>
          <w:szCs w:val="20"/>
          <w:color w:val="auto"/>
        </w:rPr>
      </w:pPr>
      <w:r>
        <w:rPr>
          <w:rFonts w:ascii="Arial" w:cs="Arial" w:eastAsia="Arial" w:hAnsi="Arial"/>
          <w:sz w:val="19"/>
          <w:szCs w:val="19"/>
          <w:b w:val="1"/>
          <w:bCs w:val="1"/>
          <w:i w:val="1"/>
          <w:iCs w:val="1"/>
          <w:color w:val="auto"/>
        </w:rPr>
        <w:t>Economic and Market Factors</w:t>
      </w:r>
    </w:p>
    <w:p>
      <w:pPr>
        <w:spacing w:after="0" w:line="19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We remain vulnerable to a number of industry-specific and global macroeconomic factors that may cause our actual results of operations to differ from our historical results of operations or current expectations. The economic and market factors and trends that we currently believe are or will be most impactful to our results of operations and financial condition include the following: the execution and effect of our business strategies, including our United Next plan; supply chain constraints and related costs affecting us and our partners; volatile fuel prices; increasing maintenance expenses; and an economic downturn leading to a decrease in demand for air travel or fluctuations in foreign currency exchange rates that may impact international travel demand. We continue to monitor the potential favorable or unfavorable impacts of these and other factors on our business, operations, financial condition, future results of operations, liquidity and financial flexibility, which are dependent on future developments, including as a result of those factors discussed in Part I, Item 1A. Risk Factors.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Governmental Actions</w:t>
      </w:r>
    </w:p>
    <w:p>
      <w:pPr>
        <w:spacing w:after="0" w:line="197"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We operate in complex, highly regulated environments in the U.S., the European Union, the United Kingdom and other regions around the world. Legal requirements that we currently believe are or will be most impactful to our results of operations and financial condition include the following: the closure of our flying airspace and termination of other operations due to regional conflicts; delays in aircraft certification (especially relating to the 737 MAX 10 aircraft); an extended federal government shutdown as well as any other budgetary decisions limiting or delaying government spending or reducing staffing of government agencies with which we interact routinely; any legal requirement that would result in a reshaping of the benefits that we provide to our consumers through our loyalty program or the co-branded credit cards issued by our partner; the effect of any potential changes in trade tariffs that we are unable to mitigate; and certain rules and regulations proposed by the DOT that would impose additional costs and operational restrictions on airlines. The impact of changing and new legal requirements generally cannot be reasonably predicted and those requirements may ultimately require extensive system and operational changes, be difficult to implement, increase our operating costs and require significant capital expenditures.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Select financial data and operating statistics are provided in the tables below:</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(in millions)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2025</w:t>
            </w:r>
          </w:p>
        </w:tc>
        <w:tc>
          <w:tcPr>
            <w:tcW w:w="12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2024</w:t>
            </w:r>
          </w:p>
        </w:tc>
        <w:tc>
          <w:tcPr>
            <w:tcW w:w="12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2023</w:t>
            </w:r>
          </w:p>
        </w:tc>
      </w:tr>
      <w:tr>
        <w:trPr>
          <w:trHeight w:val="267"/>
        </w:trPr>
        <w:tc>
          <w:tcPr>
            <w:tcW w:w="5640" w:type="dxa"/>
            <w:vAlign w:val="bottom"/>
            <w:shd w:val="clear" w:color="auto" w:fill="E6E6E6"/>
          </w:tcPr>
          <w:p>
            <w:pPr>
              <w:ind w:left="60"/>
              <w:spacing w:after="0"/>
              <w:rPr>
                <w:sz w:val="20"/>
                <w:szCs w:val="20"/>
                <w:color w:val="auto"/>
              </w:rPr>
            </w:pPr>
            <w:r>
              <w:rPr>
                <w:rFonts w:ascii="Arial" w:cs="Arial" w:eastAsia="Arial" w:hAnsi="Arial"/>
                <w:sz w:val="17"/>
                <w:szCs w:val="17"/>
                <w:color w:val="auto"/>
              </w:rPr>
              <w:t>Operating revenue</w:t>
            </w:r>
          </w:p>
        </w:tc>
        <w:tc>
          <w:tcPr>
            <w:tcW w:w="300" w:type="dxa"/>
            <w:vAlign w:val="bottom"/>
            <w:shd w:val="clear" w:color="auto" w:fill="E6E6E6"/>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59,070</w:t>
            </w:r>
          </w:p>
        </w:tc>
        <w:tc>
          <w:tcPr>
            <w:tcW w:w="420" w:type="dxa"/>
            <w:vAlign w:val="bottom"/>
            <w:gridSpan w:val="2"/>
            <w:shd w:val="clear" w:color="auto" w:fill="E6E6E6"/>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57,063</w:t>
            </w:r>
          </w:p>
        </w:tc>
        <w:tc>
          <w:tcPr>
            <w:tcW w:w="420" w:type="dxa"/>
            <w:vAlign w:val="bottom"/>
            <w:gridSpan w:val="3"/>
            <w:shd w:val="clear" w:color="auto" w:fill="E6E6E6"/>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53,717</w:t>
            </w:r>
          </w:p>
        </w:tc>
      </w:tr>
      <w:tr>
        <w:trPr>
          <w:trHeight w:val="266"/>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7"/>
                <w:szCs w:val="17"/>
                <w:color w:val="auto"/>
              </w:rPr>
              <w:t>Operating expense</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54,356</w:t>
            </w:r>
          </w:p>
        </w:tc>
        <w:tc>
          <w:tcPr>
            <w:tcW w:w="12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51,967</w:t>
            </w:r>
          </w:p>
        </w:tc>
        <w:tc>
          <w:tcPr>
            <w:tcW w:w="12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49,506</w:t>
            </w:r>
          </w:p>
        </w:tc>
      </w:tr>
      <w:tr>
        <w:trPr>
          <w:trHeight w:val="267"/>
        </w:trPr>
        <w:tc>
          <w:tcPr>
            <w:tcW w:w="5640" w:type="dxa"/>
            <w:vAlign w:val="bottom"/>
            <w:shd w:val="clear" w:color="auto" w:fill="E6E6E6"/>
          </w:tcPr>
          <w:p>
            <w:pPr>
              <w:ind w:left="60"/>
              <w:spacing w:after="0"/>
              <w:rPr>
                <w:sz w:val="20"/>
                <w:szCs w:val="20"/>
                <w:color w:val="auto"/>
              </w:rPr>
            </w:pPr>
            <w:r>
              <w:rPr>
                <w:rFonts w:ascii="Arial" w:cs="Arial" w:eastAsia="Arial" w:hAnsi="Arial"/>
                <w:sz w:val="17"/>
                <w:szCs w:val="17"/>
                <w:color w:val="auto"/>
              </w:rPr>
              <w:t>Operating income</w:t>
            </w:r>
          </w:p>
        </w:tc>
        <w:tc>
          <w:tcPr>
            <w:tcW w:w="300" w:type="dxa"/>
            <w:vAlign w:val="bottom"/>
            <w:shd w:val="clear" w:color="auto" w:fill="E6E6E6"/>
          </w:tcPr>
          <w:p>
            <w:pPr>
              <w:spacing w:after="0"/>
              <w:rPr>
                <w:sz w:val="23"/>
                <w:szCs w:val="23"/>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4,713</w:t>
            </w:r>
          </w:p>
        </w:tc>
        <w:tc>
          <w:tcPr>
            <w:tcW w:w="12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5,096</w:t>
            </w:r>
          </w:p>
        </w:tc>
        <w:tc>
          <w:tcPr>
            <w:tcW w:w="1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4,211</w:t>
            </w:r>
          </w:p>
        </w:tc>
      </w:tr>
      <w:tr>
        <w:trPr>
          <w:trHeight w:val="266"/>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7"/>
                <w:szCs w:val="17"/>
                <w:color w:val="auto"/>
              </w:rPr>
              <w:t>Nonoperating expense, net</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12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w:t>
            </w:r>
          </w:p>
        </w:tc>
        <w:tc>
          <w:tcPr>
            <w:tcW w:w="12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w:t>
            </w:r>
          </w:p>
        </w:tc>
      </w:tr>
      <w:tr>
        <w:trPr>
          <w:trHeight w:val="267"/>
        </w:trPr>
        <w:tc>
          <w:tcPr>
            <w:tcW w:w="5640" w:type="dxa"/>
            <w:vAlign w:val="bottom"/>
            <w:shd w:val="clear" w:color="auto" w:fill="E6E6E6"/>
          </w:tcPr>
          <w:p>
            <w:pPr>
              <w:ind w:left="60"/>
              <w:spacing w:after="0"/>
              <w:rPr>
                <w:sz w:val="20"/>
                <w:szCs w:val="20"/>
                <w:color w:val="auto"/>
              </w:rPr>
            </w:pPr>
            <w:r>
              <w:rPr>
                <w:rFonts w:ascii="Arial" w:cs="Arial" w:eastAsia="Arial" w:hAnsi="Arial"/>
                <w:sz w:val="17"/>
                <w:szCs w:val="17"/>
                <w:color w:val="auto"/>
              </w:rPr>
              <w:t>Income before income taxes</w:t>
            </w:r>
          </w:p>
        </w:tc>
        <w:tc>
          <w:tcPr>
            <w:tcW w:w="300" w:type="dxa"/>
            <w:vAlign w:val="bottom"/>
            <w:shd w:val="clear" w:color="auto" w:fill="E6E6E6"/>
          </w:tcPr>
          <w:p>
            <w:pPr>
              <w:spacing w:after="0"/>
              <w:rPr>
                <w:sz w:val="23"/>
                <w:szCs w:val="23"/>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4,306</w:t>
            </w:r>
          </w:p>
        </w:tc>
        <w:tc>
          <w:tcPr>
            <w:tcW w:w="12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4,168</w:t>
            </w:r>
          </w:p>
        </w:tc>
        <w:tc>
          <w:tcPr>
            <w:tcW w:w="1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3,387</w:t>
            </w:r>
          </w:p>
        </w:tc>
      </w:tr>
      <w:tr>
        <w:trPr>
          <w:trHeight w:val="266"/>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w:t>
            </w:r>
          </w:p>
        </w:tc>
        <w:tc>
          <w:tcPr>
            <w:tcW w:w="12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w:t>
            </w:r>
          </w:p>
        </w:tc>
        <w:tc>
          <w:tcPr>
            <w:tcW w:w="12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w:t>
            </w:r>
          </w:p>
        </w:tc>
      </w:tr>
      <w:tr>
        <w:trPr>
          <w:trHeight w:val="276"/>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auto"/>
            </w:tcBorders>
            <w:shd w:val="clear" w:color="auto" w:fill="E6E6E6"/>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3,353</w:t>
            </w:r>
          </w:p>
        </w:tc>
        <w:tc>
          <w:tcPr>
            <w:tcW w:w="12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3,149</w:t>
            </w:r>
          </w:p>
        </w:tc>
        <w:tc>
          <w:tcPr>
            <w:tcW w:w="140" w:type="dxa"/>
            <w:vAlign w:val="bottom"/>
            <w:tcBorders>
              <w:bottom w:val="single" w:sz="8" w:color="E6E6E6"/>
            </w:tcBorders>
            <w:gridSpan w:val="2"/>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2,618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-1259840</wp:posOffset>
            </wp:positionV>
            <wp:extent cx="269621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2696210" cy="2540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-908685</wp:posOffset>
            </wp:positionV>
            <wp:extent cx="26962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2696210" cy="2540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-557530</wp:posOffset>
            </wp:positionV>
            <wp:extent cx="269621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2696210" cy="2540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-206375</wp:posOffset>
            </wp:positionV>
            <wp:extent cx="269621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2696210" cy="2540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-43180</wp:posOffset>
            </wp:positionV>
            <wp:extent cx="2696210" cy="50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2696210" cy="50165"/>
                    </a:xfrm>
                    <a:prstGeom prst="rect">
                      <a:avLst/>
                    </a:prstGeom>
                    <a:noFill/>
                  </pic:spPr>
                </pic:pic>
              </a:graphicData>
            </a:graphic>
          </wp:anchor>
        </w:drawing>
      </w:r>
    </w:p>
    <w:p>
      <w:pPr>
        <w:sectPr>
          <w:pgSz w:w="11880" w:h="15480" w:orient="portrait"/>
          <w:cols w:equalWidth="0" w:num="1">
            <w:col w:w="9920"/>
          </w:cols>
          <w:pgMar w:left="960" w:top="578"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9920"/>
          </w:cols>
          <w:pgMar w:left="960" w:top="578" w:right="1000" w:bottom="33"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36"/>
        </w:trPr>
        <w:tc>
          <w:tcPr>
            <w:tcW w:w="584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2025</w:t>
            </w:r>
          </w:p>
        </w:tc>
        <w:tc>
          <w:tcPr>
            <w:tcW w:w="10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2023</w:t>
            </w:r>
          </w:p>
        </w:tc>
      </w:tr>
      <w:tr>
        <w:trPr>
          <w:trHeight w:val="267"/>
        </w:trPr>
        <w:tc>
          <w:tcPr>
            <w:tcW w:w="5840" w:type="dxa"/>
            <w:vAlign w:val="bottom"/>
            <w:shd w:val="clear" w:color="auto" w:fill="E6E6E6"/>
          </w:tcPr>
          <w:p>
            <w:pPr>
              <w:ind w:left="60"/>
              <w:spacing w:after="0"/>
              <w:rPr>
                <w:sz w:val="20"/>
                <w:szCs w:val="20"/>
                <w:color w:val="auto"/>
              </w:rPr>
            </w:pPr>
            <w:r>
              <w:rPr>
                <w:rFonts w:ascii="Arial" w:cs="Arial" w:eastAsia="Arial" w:hAnsi="Arial"/>
                <w:sz w:val="17"/>
                <w:szCs w:val="17"/>
                <w:color w:val="auto"/>
              </w:rPr>
              <w:t>Passengers (thousands) (a)</w:t>
            </w:r>
          </w:p>
        </w:tc>
        <w:tc>
          <w:tcPr>
            <w:tcW w:w="300" w:type="dxa"/>
            <w:vAlign w:val="bottom"/>
            <w:shd w:val="clear" w:color="auto" w:fill="E6E6E6"/>
          </w:tcPr>
          <w:p>
            <w:pPr>
              <w:spacing w:after="0"/>
              <w:rPr>
                <w:sz w:val="23"/>
                <w:szCs w:val="23"/>
                <w:color w:val="auto"/>
              </w:rPr>
            </w:pPr>
          </w:p>
        </w:tc>
        <w:tc>
          <w:tcPr>
            <w:tcW w:w="9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181,053</w:t>
            </w:r>
          </w:p>
        </w:tc>
        <w:tc>
          <w:tcPr>
            <w:tcW w:w="10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980" w:type="dxa"/>
            <w:vAlign w:val="bottom"/>
            <w:shd w:val="clear" w:color="auto" w:fill="E6E6E6"/>
          </w:tcPr>
          <w:p>
            <w:pPr>
              <w:jc w:val="right"/>
              <w:ind w:right="53"/>
              <w:spacing w:after="0"/>
              <w:rPr>
                <w:sz w:val="20"/>
                <w:szCs w:val="20"/>
                <w:color w:val="auto"/>
              </w:rPr>
            </w:pPr>
            <w:r>
              <w:rPr>
                <w:rFonts w:ascii="Arial" w:cs="Arial" w:eastAsia="Arial" w:hAnsi="Arial"/>
                <w:sz w:val="17"/>
                <w:szCs w:val="17"/>
                <w:color w:val="auto"/>
              </w:rPr>
              <w:t>173,603</w:t>
            </w:r>
          </w:p>
        </w:tc>
        <w:tc>
          <w:tcPr>
            <w:tcW w:w="10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960" w:type="dxa"/>
            <w:vAlign w:val="bottom"/>
            <w:shd w:val="clear" w:color="auto" w:fill="E6E6E6"/>
          </w:tcPr>
          <w:p>
            <w:pPr>
              <w:jc w:val="right"/>
              <w:ind w:right="53"/>
              <w:spacing w:after="0"/>
              <w:rPr>
                <w:sz w:val="20"/>
                <w:szCs w:val="20"/>
                <w:color w:val="auto"/>
              </w:rPr>
            </w:pPr>
            <w:r>
              <w:rPr>
                <w:rFonts w:ascii="Arial" w:cs="Arial" w:eastAsia="Arial" w:hAnsi="Arial"/>
                <w:sz w:val="17"/>
                <w:szCs w:val="17"/>
                <w:color w:val="auto"/>
              </w:rPr>
              <w:t>164,927</w:t>
            </w:r>
          </w:p>
        </w:tc>
      </w:tr>
      <w:tr>
        <w:trPr>
          <w:trHeight w:val="269"/>
        </w:trPr>
        <w:tc>
          <w:tcPr>
            <w:tcW w:w="5840" w:type="dxa"/>
            <w:vAlign w:val="bottom"/>
          </w:tcPr>
          <w:p>
            <w:pPr>
              <w:ind w:left="60"/>
              <w:spacing w:after="0"/>
              <w:rPr>
                <w:sz w:val="20"/>
                <w:szCs w:val="20"/>
                <w:color w:val="auto"/>
              </w:rPr>
            </w:pPr>
            <w:r>
              <w:rPr>
                <w:rFonts w:ascii="Arial" w:cs="Arial" w:eastAsia="Arial" w:hAnsi="Arial"/>
                <w:sz w:val="17"/>
                <w:szCs w:val="17"/>
                <w:color w:val="auto"/>
              </w:rPr>
              <w:t>Revenue passenger miles ("RPMs") (millions) (b)</w:t>
            </w:r>
          </w:p>
        </w:tc>
        <w:tc>
          <w:tcPr>
            <w:tcW w:w="30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7"/>
                <w:szCs w:val="17"/>
                <w:color w:val="auto"/>
              </w:rPr>
              <w:t>271,619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7"/>
                <w:szCs w:val="17"/>
                <w:color w:val="auto"/>
              </w:rPr>
              <w:t>258,503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53"/>
              <w:spacing w:after="0"/>
              <w:rPr>
                <w:sz w:val="20"/>
                <w:szCs w:val="20"/>
                <w:color w:val="auto"/>
              </w:rPr>
            </w:pPr>
            <w:r>
              <w:rPr>
                <w:rFonts w:ascii="Arial" w:cs="Arial" w:eastAsia="Arial" w:hAnsi="Arial"/>
                <w:sz w:val="17"/>
                <w:szCs w:val="17"/>
                <w:color w:val="auto"/>
              </w:rPr>
              <w:t>244,435</w:t>
            </w:r>
          </w:p>
        </w:tc>
      </w:tr>
      <w:tr>
        <w:trPr>
          <w:trHeight w:val="255"/>
        </w:trPr>
        <w:tc>
          <w:tcPr>
            <w:tcW w:w="5840" w:type="dxa"/>
            <w:vAlign w:val="bottom"/>
            <w:shd w:val="clear" w:color="auto" w:fill="E6E6E6"/>
          </w:tcPr>
          <w:p>
            <w:pPr>
              <w:ind w:left="60"/>
              <w:spacing w:after="0"/>
              <w:rPr>
                <w:sz w:val="20"/>
                <w:szCs w:val="20"/>
                <w:color w:val="auto"/>
              </w:rPr>
            </w:pPr>
            <w:r>
              <w:rPr>
                <w:rFonts w:ascii="Arial" w:cs="Arial" w:eastAsia="Arial" w:hAnsi="Arial"/>
                <w:sz w:val="17"/>
                <w:szCs w:val="17"/>
                <w:color w:val="auto"/>
              </w:rPr>
              <w:t>Available seat miles ("ASMs"or "capacity") (millions) (c)</w:t>
            </w: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330,284</w:t>
            </w:r>
          </w:p>
        </w:tc>
        <w:tc>
          <w:tcPr>
            <w:tcW w:w="10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80" w:type="dxa"/>
            <w:vAlign w:val="bottom"/>
            <w:shd w:val="clear" w:color="auto" w:fill="E6E6E6"/>
          </w:tcPr>
          <w:p>
            <w:pPr>
              <w:jc w:val="right"/>
              <w:ind w:right="53"/>
              <w:spacing w:after="0"/>
              <w:rPr>
                <w:sz w:val="20"/>
                <w:szCs w:val="20"/>
                <w:color w:val="auto"/>
              </w:rPr>
            </w:pPr>
            <w:r>
              <w:rPr>
                <w:rFonts w:ascii="Arial" w:cs="Arial" w:eastAsia="Arial" w:hAnsi="Arial"/>
                <w:sz w:val="17"/>
                <w:szCs w:val="17"/>
                <w:color w:val="auto"/>
              </w:rPr>
              <w:t>311,185</w:t>
            </w:r>
          </w:p>
        </w:tc>
        <w:tc>
          <w:tcPr>
            <w:tcW w:w="10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jc w:val="right"/>
              <w:ind w:right="53"/>
              <w:spacing w:after="0"/>
              <w:rPr>
                <w:sz w:val="20"/>
                <w:szCs w:val="20"/>
                <w:color w:val="auto"/>
              </w:rPr>
            </w:pPr>
            <w:r>
              <w:rPr>
                <w:rFonts w:ascii="Arial" w:cs="Arial" w:eastAsia="Arial" w:hAnsi="Arial"/>
                <w:sz w:val="17"/>
                <w:szCs w:val="17"/>
                <w:color w:val="auto"/>
              </w:rPr>
              <w:t>291,333</w:t>
            </w:r>
          </w:p>
        </w:tc>
      </w:tr>
      <w:tr>
        <w:trPr>
          <w:trHeight w:val="269"/>
        </w:trPr>
        <w:tc>
          <w:tcPr>
            <w:tcW w:w="5840" w:type="dxa"/>
            <w:vAlign w:val="bottom"/>
          </w:tcPr>
          <w:p>
            <w:pPr>
              <w:ind w:left="60"/>
              <w:spacing w:after="0"/>
              <w:rPr>
                <w:sz w:val="20"/>
                <w:szCs w:val="20"/>
                <w:color w:val="auto"/>
              </w:rPr>
            </w:pPr>
            <w:r>
              <w:rPr>
                <w:rFonts w:ascii="Arial" w:cs="Arial" w:eastAsia="Arial" w:hAnsi="Arial"/>
                <w:sz w:val="17"/>
                <w:szCs w:val="17"/>
                <w:color w:val="auto"/>
              </w:rPr>
              <w:t>Cargo revenue ton miles (millions) (d)</w:t>
            </w:r>
          </w:p>
        </w:tc>
        <w:tc>
          <w:tcPr>
            <w:tcW w:w="30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7"/>
                <w:szCs w:val="17"/>
                <w:color w:val="auto"/>
              </w:rPr>
              <w:t>3,626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7"/>
                <w:szCs w:val="17"/>
                <w:color w:val="auto"/>
              </w:rPr>
              <w:t>3,604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53"/>
              <w:spacing w:after="0"/>
              <w:rPr>
                <w:sz w:val="20"/>
                <w:szCs w:val="20"/>
                <w:color w:val="auto"/>
              </w:rPr>
            </w:pPr>
            <w:r>
              <w:rPr>
                <w:rFonts w:ascii="Arial" w:cs="Arial" w:eastAsia="Arial" w:hAnsi="Arial"/>
                <w:sz w:val="17"/>
                <w:szCs w:val="17"/>
                <w:color w:val="auto"/>
              </w:rPr>
              <w:t>3,159</w:t>
            </w:r>
          </w:p>
        </w:tc>
      </w:tr>
      <w:tr>
        <w:trPr>
          <w:trHeight w:val="284"/>
        </w:trPr>
        <w:tc>
          <w:tcPr>
            <w:tcW w:w="5840" w:type="dxa"/>
            <w:vAlign w:val="bottom"/>
            <w:shd w:val="clear" w:color="auto" w:fill="E6E6E6"/>
          </w:tcPr>
          <w:p>
            <w:pPr>
              <w:ind w:left="60"/>
              <w:spacing w:after="0"/>
              <w:rPr>
                <w:sz w:val="20"/>
                <w:szCs w:val="20"/>
                <w:color w:val="auto"/>
              </w:rPr>
            </w:pPr>
            <w:r>
              <w:rPr>
                <w:rFonts w:ascii="Arial" w:cs="Arial" w:eastAsia="Arial" w:hAnsi="Arial"/>
                <w:sz w:val="17"/>
                <w:szCs w:val="17"/>
                <w:color w:val="auto"/>
              </w:rPr>
              <w:t>Passenger load factor (e)</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82.2 %</w:t>
            </w:r>
          </w:p>
        </w:tc>
        <w:tc>
          <w:tcPr>
            <w:tcW w:w="10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83.1 %</w:t>
            </w:r>
          </w:p>
        </w:tc>
        <w:tc>
          <w:tcPr>
            <w:tcW w:w="10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83.9 %</w:t>
            </w:r>
          </w:p>
        </w:tc>
      </w:tr>
      <w:tr>
        <w:trPr>
          <w:trHeight w:val="269"/>
        </w:trPr>
        <w:tc>
          <w:tcPr>
            <w:tcW w:w="5840" w:type="dxa"/>
            <w:vAlign w:val="bottom"/>
          </w:tcPr>
          <w:p>
            <w:pPr>
              <w:ind w:left="60"/>
              <w:spacing w:after="0"/>
              <w:rPr>
                <w:sz w:val="20"/>
                <w:szCs w:val="20"/>
                <w:color w:val="auto"/>
              </w:rPr>
            </w:pPr>
            <w:r>
              <w:rPr>
                <w:rFonts w:ascii="Arial" w:cs="Arial" w:eastAsia="Arial" w:hAnsi="Arial"/>
                <w:sz w:val="17"/>
                <w:szCs w:val="17"/>
                <w:color w:val="auto"/>
              </w:rPr>
              <w:t>Passenger revenue per available seat mile ("PRASM") (cents)</w:t>
            </w:r>
          </w:p>
        </w:tc>
        <w:tc>
          <w:tcPr>
            <w:tcW w:w="30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7"/>
                <w:szCs w:val="17"/>
                <w:color w:val="auto"/>
              </w:rPr>
              <w:t>16.18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16.66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7"/>
                <w:szCs w:val="17"/>
                <w:color w:val="auto"/>
              </w:rPr>
              <w:t>16.84</w:t>
            </w:r>
          </w:p>
        </w:tc>
      </w:tr>
      <w:tr>
        <w:trPr>
          <w:trHeight w:val="284"/>
        </w:trPr>
        <w:tc>
          <w:tcPr>
            <w:tcW w:w="5840" w:type="dxa"/>
            <w:vAlign w:val="bottom"/>
            <w:shd w:val="clear" w:color="auto" w:fill="E6E6E6"/>
          </w:tcPr>
          <w:p>
            <w:pPr>
              <w:ind w:left="60"/>
              <w:spacing w:after="0"/>
              <w:rPr>
                <w:sz w:val="20"/>
                <w:szCs w:val="20"/>
                <w:color w:val="auto"/>
              </w:rPr>
            </w:pPr>
            <w:r>
              <w:rPr>
                <w:rFonts w:ascii="Arial" w:cs="Arial" w:eastAsia="Arial" w:hAnsi="Arial"/>
                <w:sz w:val="17"/>
                <w:szCs w:val="17"/>
                <w:color w:val="auto"/>
              </w:rPr>
              <w:t>Total revenue per available seat mile ("TRASM") (cents)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73"/>
              <w:spacing w:after="0"/>
              <w:rPr>
                <w:sz w:val="20"/>
                <w:szCs w:val="20"/>
                <w:color w:val="auto"/>
              </w:rPr>
            </w:pPr>
            <w:r>
              <w:rPr>
                <w:rFonts w:ascii="Arial" w:cs="Arial" w:eastAsia="Arial" w:hAnsi="Arial"/>
                <w:sz w:val="17"/>
                <w:szCs w:val="17"/>
                <w:color w:val="auto"/>
              </w:rPr>
              <w:t>17.88</w:t>
            </w:r>
          </w:p>
        </w:tc>
        <w:tc>
          <w:tcPr>
            <w:tcW w:w="10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80" w:type="dxa"/>
            <w:vAlign w:val="bottom"/>
            <w:shd w:val="clear" w:color="auto" w:fill="E6E6E6"/>
          </w:tcPr>
          <w:p>
            <w:pPr>
              <w:jc w:val="right"/>
              <w:ind w:right="93"/>
              <w:spacing w:after="0"/>
              <w:rPr>
                <w:sz w:val="20"/>
                <w:szCs w:val="20"/>
                <w:color w:val="auto"/>
              </w:rPr>
            </w:pPr>
            <w:r>
              <w:rPr>
                <w:rFonts w:ascii="Arial" w:cs="Arial" w:eastAsia="Arial" w:hAnsi="Arial"/>
                <w:sz w:val="17"/>
                <w:szCs w:val="17"/>
                <w:color w:val="auto"/>
              </w:rPr>
              <w:t>18.34</w:t>
            </w:r>
          </w:p>
        </w:tc>
        <w:tc>
          <w:tcPr>
            <w:tcW w:w="10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73"/>
              <w:spacing w:after="0"/>
              <w:rPr>
                <w:sz w:val="20"/>
                <w:szCs w:val="20"/>
                <w:color w:val="auto"/>
              </w:rPr>
            </w:pPr>
            <w:r>
              <w:rPr>
                <w:rFonts w:ascii="Arial" w:cs="Arial" w:eastAsia="Arial" w:hAnsi="Arial"/>
                <w:sz w:val="17"/>
                <w:szCs w:val="17"/>
                <w:color w:val="auto"/>
              </w:rPr>
              <w:t>18.44</w:t>
            </w:r>
          </w:p>
        </w:tc>
      </w:tr>
      <w:tr>
        <w:trPr>
          <w:trHeight w:val="270"/>
        </w:trPr>
        <w:tc>
          <w:tcPr>
            <w:tcW w:w="5840" w:type="dxa"/>
            <w:vAlign w:val="bottom"/>
          </w:tcPr>
          <w:p>
            <w:pPr>
              <w:ind w:left="60"/>
              <w:spacing w:after="0"/>
              <w:rPr>
                <w:sz w:val="20"/>
                <w:szCs w:val="20"/>
                <w:color w:val="auto"/>
              </w:rPr>
            </w:pPr>
            <w:r>
              <w:rPr>
                <w:rFonts w:ascii="Arial" w:cs="Arial" w:eastAsia="Arial" w:hAnsi="Arial"/>
                <w:sz w:val="17"/>
                <w:szCs w:val="17"/>
                <w:color w:val="auto"/>
              </w:rPr>
              <w:t>Average yield per revenue passenger mile ("Yield") (cents) (f)</w:t>
            </w:r>
          </w:p>
        </w:tc>
        <w:tc>
          <w:tcPr>
            <w:tcW w:w="30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7"/>
                <w:szCs w:val="17"/>
                <w:color w:val="auto"/>
              </w:rPr>
              <w:t>19.67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20.05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7"/>
                <w:szCs w:val="17"/>
                <w:color w:val="auto"/>
              </w:rPr>
              <w:t>20.07</w:t>
            </w:r>
          </w:p>
        </w:tc>
      </w:tr>
      <w:tr>
        <w:trPr>
          <w:trHeight w:val="283"/>
        </w:trPr>
        <w:tc>
          <w:tcPr>
            <w:tcW w:w="5840" w:type="dxa"/>
            <w:vAlign w:val="bottom"/>
            <w:shd w:val="clear" w:color="auto" w:fill="E6E6E6"/>
          </w:tcPr>
          <w:p>
            <w:pPr>
              <w:ind w:left="60"/>
              <w:spacing w:after="0"/>
              <w:rPr>
                <w:sz w:val="20"/>
                <w:szCs w:val="20"/>
                <w:color w:val="auto"/>
              </w:rPr>
            </w:pPr>
            <w:r>
              <w:rPr>
                <w:rFonts w:ascii="Arial" w:cs="Arial" w:eastAsia="Arial" w:hAnsi="Arial"/>
                <w:sz w:val="17"/>
                <w:szCs w:val="17"/>
                <w:color w:val="auto"/>
              </w:rPr>
              <w:t>Cost per available seat mile ("CASM") (cents)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73"/>
              <w:spacing w:after="0"/>
              <w:rPr>
                <w:sz w:val="20"/>
                <w:szCs w:val="20"/>
                <w:color w:val="auto"/>
              </w:rPr>
            </w:pPr>
            <w:r>
              <w:rPr>
                <w:rFonts w:ascii="Arial" w:cs="Arial" w:eastAsia="Arial" w:hAnsi="Arial"/>
                <w:sz w:val="17"/>
                <w:szCs w:val="17"/>
                <w:color w:val="auto"/>
              </w:rPr>
              <w:t>16.46</w:t>
            </w:r>
          </w:p>
        </w:tc>
        <w:tc>
          <w:tcPr>
            <w:tcW w:w="10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80" w:type="dxa"/>
            <w:vAlign w:val="bottom"/>
            <w:shd w:val="clear" w:color="auto" w:fill="E6E6E6"/>
          </w:tcPr>
          <w:p>
            <w:pPr>
              <w:jc w:val="right"/>
              <w:ind w:right="93"/>
              <w:spacing w:after="0"/>
              <w:rPr>
                <w:sz w:val="20"/>
                <w:szCs w:val="20"/>
                <w:color w:val="auto"/>
              </w:rPr>
            </w:pPr>
            <w:r>
              <w:rPr>
                <w:rFonts w:ascii="Arial" w:cs="Arial" w:eastAsia="Arial" w:hAnsi="Arial"/>
                <w:sz w:val="17"/>
                <w:szCs w:val="17"/>
                <w:color w:val="auto"/>
              </w:rPr>
              <w:t>16.70</w:t>
            </w:r>
          </w:p>
        </w:tc>
        <w:tc>
          <w:tcPr>
            <w:tcW w:w="10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73"/>
              <w:spacing w:after="0"/>
              <w:rPr>
                <w:sz w:val="20"/>
                <w:szCs w:val="20"/>
                <w:color w:val="auto"/>
              </w:rPr>
            </w:pPr>
            <w:r>
              <w:rPr>
                <w:rFonts w:ascii="Arial" w:cs="Arial" w:eastAsia="Arial" w:hAnsi="Arial"/>
                <w:sz w:val="17"/>
                <w:szCs w:val="17"/>
                <w:color w:val="auto"/>
              </w:rPr>
              <w:t>16.99</w:t>
            </w:r>
          </w:p>
        </w:tc>
      </w:tr>
      <w:tr>
        <w:trPr>
          <w:trHeight w:val="270"/>
        </w:trPr>
        <w:tc>
          <w:tcPr>
            <w:tcW w:w="5840" w:type="dxa"/>
            <w:vAlign w:val="bottom"/>
          </w:tcPr>
          <w:p>
            <w:pPr>
              <w:ind w:left="60"/>
              <w:spacing w:after="0"/>
              <w:rPr>
                <w:sz w:val="20"/>
                <w:szCs w:val="20"/>
                <w:color w:val="auto"/>
              </w:rPr>
            </w:pPr>
            <w:r>
              <w:rPr>
                <w:rFonts w:ascii="Arial" w:cs="Arial" w:eastAsia="Arial" w:hAnsi="Arial"/>
                <w:sz w:val="17"/>
                <w:szCs w:val="17"/>
                <w:color w:val="auto"/>
              </w:rPr>
              <w:t>Average price per gallon of fuel, including fuel taxes</w:t>
            </w:r>
          </w:p>
        </w:tc>
        <w:tc>
          <w:tcPr>
            <w:tcW w:w="3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3"/>
              <w:spacing w:after="0"/>
              <w:rPr>
                <w:sz w:val="20"/>
                <w:szCs w:val="20"/>
                <w:color w:val="auto"/>
              </w:rPr>
            </w:pPr>
            <w:r>
              <w:rPr>
                <w:rFonts w:ascii="Arial" w:cs="Arial" w:eastAsia="Arial" w:hAnsi="Arial"/>
                <w:sz w:val="17"/>
                <w:szCs w:val="17"/>
                <w:color w:val="auto"/>
              </w:rPr>
              <w:t>2.44</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3"/>
              <w:spacing w:after="0"/>
              <w:rPr>
                <w:sz w:val="20"/>
                <w:szCs w:val="20"/>
                <w:color w:val="auto"/>
              </w:rPr>
            </w:pPr>
            <w:r>
              <w:rPr>
                <w:rFonts w:ascii="Arial" w:cs="Arial" w:eastAsia="Arial" w:hAnsi="Arial"/>
                <w:sz w:val="17"/>
                <w:szCs w:val="17"/>
                <w:color w:val="auto"/>
              </w:rPr>
              <w:t>2.65</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3"/>
              <w:spacing w:after="0"/>
              <w:rPr>
                <w:sz w:val="20"/>
                <w:szCs w:val="20"/>
                <w:color w:val="auto"/>
              </w:rPr>
            </w:pPr>
            <w:r>
              <w:rPr>
                <w:rFonts w:ascii="Arial" w:cs="Arial" w:eastAsia="Arial" w:hAnsi="Arial"/>
                <w:sz w:val="17"/>
                <w:szCs w:val="17"/>
                <w:color w:val="auto"/>
              </w:rPr>
              <w:t>3.01</w:t>
            </w:r>
          </w:p>
        </w:tc>
      </w:tr>
      <w:tr>
        <w:trPr>
          <w:trHeight w:val="283"/>
        </w:trPr>
        <w:tc>
          <w:tcPr>
            <w:tcW w:w="5840" w:type="dxa"/>
            <w:vAlign w:val="bottom"/>
            <w:shd w:val="clear" w:color="auto" w:fill="E6E6E6"/>
          </w:tcPr>
          <w:p>
            <w:pPr>
              <w:ind w:left="60"/>
              <w:spacing w:after="0"/>
              <w:rPr>
                <w:sz w:val="20"/>
                <w:szCs w:val="20"/>
                <w:color w:val="auto"/>
              </w:rPr>
            </w:pPr>
            <w:r>
              <w:rPr>
                <w:rFonts w:ascii="Arial" w:cs="Arial" w:eastAsia="Arial" w:hAnsi="Arial"/>
                <w:sz w:val="17"/>
                <w:szCs w:val="17"/>
                <w:color w:val="auto"/>
              </w:rPr>
              <w:t>Fuel gallons consumed (millions)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4,663</w:t>
            </w:r>
          </w:p>
        </w:tc>
        <w:tc>
          <w:tcPr>
            <w:tcW w:w="10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80" w:type="dxa"/>
            <w:vAlign w:val="bottom"/>
            <w:shd w:val="clear" w:color="auto" w:fill="E6E6E6"/>
          </w:tcPr>
          <w:p>
            <w:pPr>
              <w:jc w:val="right"/>
              <w:ind w:right="53"/>
              <w:spacing w:after="0"/>
              <w:rPr>
                <w:sz w:val="20"/>
                <w:szCs w:val="20"/>
                <w:color w:val="auto"/>
              </w:rPr>
            </w:pPr>
            <w:r>
              <w:rPr>
                <w:rFonts w:ascii="Arial" w:cs="Arial" w:eastAsia="Arial" w:hAnsi="Arial"/>
                <w:sz w:val="17"/>
                <w:szCs w:val="17"/>
                <w:color w:val="auto"/>
              </w:rPr>
              <w:t>4,444</w:t>
            </w:r>
          </w:p>
        </w:tc>
        <w:tc>
          <w:tcPr>
            <w:tcW w:w="10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53"/>
              <w:spacing w:after="0"/>
              <w:rPr>
                <w:sz w:val="20"/>
                <w:szCs w:val="20"/>
                <w:color w:val="auto"/>
              </w:rPr>
            </w:pPr>
            <w:r>
              <w:rPr>
                <w:rFonts w:ascii="Arial" w:cs="Arial" w:eastAsia="Arial" w:hAnsi="Arial"/>
                <w:sz w:val="17"/>
                <w:szCs w:val="17"/>
                <w:color w:val="auto"/>
              </w:rPr>
              <w:t>4,205</w:t>
            </w:r>
          </w:p>
        </w:tc>
      </w:tr>
      <w:tr>
        <w:trPr>
          <w:trHeight w:val="270"/>
        </w:trPr>
        <w:tc>
          <w:tcPr>
            <w:tcW w:w="5840" w:type="dxa"/>
            <w:vAlign w:val="bottom"/>
          </w:tcPr>
          <w:p>
            <w:pPr>
              <w:ind w:left="60"/>
              <w:spacing w:after="0"/>
              <w:rPr>
                <w:sz w:val="20"/>
                <w:szCs w:val="20"/>
                <w:color w:val="auto"/>
              </w:rPr>
            </w:pPr>
            <w:r>
              <w:rPr>
                <w:rFonts w:ascii="Arial" w:cs="Arial" w:eastAsia="Arial" w:hAnsi="Arial"/>
                <w:sz w:val="17"/>
                <w:szCs w:val="17"/>
                <w:color w:val="auto"/>
              </w:rPr>
              <w:t>Average stage length (miles) (g)</w:t>
            </w:r>
          </w:p>
        </w:tc>
        <w:tc>
          <w:tcPr>
            <w:tcW w:w="30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7"/>
                <w:szCs w:val="17"/>
                <w:color w:val="auto"/>
              </w:rPr>
              <w:t>1,488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7"/>
                <w:szCs w:val="17"/>
                <w:color w:val="auto"/>
              </w:rPr>
              <w:t>1,490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53"/>
              <w:spacing w:after="0"/>
              <w:rPr>
                <w:sz w:val="20"/>
                <w:szCs w:val="20"/>
                <w:color w:val="auto"/>
              </w:rPr>
            </w:pPr>
            <w:r>
              <w:rPr>
                <w:rFonts w:ascii="Arial" w:cs="Arial" w:eastAsia="Arial" w:hAnsi="Arial"/>
                <w:sz w:val="17"/>
                <w:szCs w:val="17"/>
                <w:color w:val="auto"/>
              </w:rPr>
              <w:t>1,479</w:t>
            </w:r>
          </w:p>
        </w:tc>
      </w:tr>
      <w:tr>
        <w:trPr>
          <w:trHeight w:val="283"/>
        </w:trPr>
        <w:tc>
          <w:tcPr>
            <w:tcW w:w="5840" w:type="dxa"/>
            <w:vAlign w:val="bottom"/>
            <w:shd w:val="clear" w:color="auto" w:fill="E6E6E6"/>
          </w:tcPr>
          <w:p>
            <w:pPr>
              <w:ind w:left="60"/>
              <w:spacing w:after="0"/>
              <w:rPr>
                <w:sz w:val="20"/>
                <w:szCs w:val="20"/>
                <w:color w:val="auto"/>
              </w:rPr>
            </w:pPr>
            <w:r>
              <w:rPr>
                <w:rFonts w:ascii="Arial" w:cs="Arial" w:eastAsia="Arial" w:hAnsi="Arial"/>
                <w:sz w:val="17"/>
                <w:szCs w:val="17"/>
                <w:color w:val="auto"/>
              </w:rPr>
              <w:t>Employee headcount, as of December 31</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113,200</w:t>
            </w:r>
          </w:p>
        </w:tc>
        <w:tc>
          <w:tcPr>
            <w:tcW w:w="10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80" w:type="dxa"/>
            <w:vAlign w:val="bottom"/>
            <w:shd w:val="clear" w:color="auto" w:fill="E6E6E6"/>
          </w:tcPr>
          <w:p>
            <w:pPr>
              <w:jc w:val="right"/>
              <w:ind w:right="53"/>
              <w:spacing w:after="0"/>
              <w:rPr>
                <w:sz w:val="20"/>
                <w:szCs w:val="20"/>
                <w:color w:val="auto"/>
              </w:rPr>
            </w:pPr>
            <w:r>
              <w:rPr>
                <w:rFonts w:ascii="Arial" w:cs="Arial" w:eastAsia="Arial" w:hAnsi="Arial"/>
                <w:sz w:val="17"/>
                <w:szCs w:val="17"/>
                <w:color w:val="auto"/>
              </w:rPr>
              <w:t>107,300</w:t>
            </w:r>
          </w:p>
        </w:tc>
        <w:tc>
          <w:tcPr>
            <w:tcW w:w="10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53"/>
              <w:spacing w:after="0"/>
              <w:rPr>
                <w:sz w:val="20"/>
                <w:szCs w:val="20"/>
                <w:color w:val="auto"/>
              </w:rPr>
            </w:pPr>
            <w:r>
              <w:rPr>
                <w:rFonts w:ascii="Arial" w:cs="Arial" w:eastAsia="Arial" w:hAnsi="Arial"/>
                <w:sz w:val="17"/>
                <w:szCs w:val="17"/>
                <w:color w:val="auto"/>
              </w:rPr>
              <w:t>103,300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-2275840</wp:posOffset>
            </wp:positionV>
            <wp:extent cx="256667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2566670" cy="2540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-12065</wp:posOffset>
            </wp:positionV>
            <wp:extent cx="373126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extLst>
                    </a:blip>
                    <a:srcRect/>
                    <a:stretch>
                      <a:fillRect/>
                    </a:stretch>
                  </pic:blipFill>
                  <pic:spPr bwMode="auto">
                    <a:xfrm>
                      <a:off x="0" y="0"/>
                      <a:ext cx="3731260" cy="25400"/>
                    </a:xfrm>
                    <a:prstGeom prst="rect">
                      <a:avLst/>
                    </a:prstGeom>
                    <a:noFill/>
                  </pic:spPr>
                </pic:pic>
              </a:graphicData>
            </a:graphic>
          </wp:anchor>
        </w:drawing>
      </w:r>
    </w:p>
    <w:p>
      <w:pPr>
        <w:ind w:left="400" w:hanging="346"/>
        <w:spacing w:after="0" w:line="205" w:lineRule="auto"/>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number of revenue passengers measured by each flight segment flown.</w:t>
      </w:r>
    </w:p>
    <w:p>
      <w:pPr>
        <w:ind w:left="400" w:hanging="346"/>
        <w:spacing w:after="0" w:line="202" w:lineRule="auto"/>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number of scheduled miles flown by revenue passengers.</w:t>
      </w:r>
    </w:p>
    <w:p>
      <w:pPr>
        <w:ind w:left="400" w:hanging="346"/>
        <w:spacing w:after="0" w:line="202" w:lineRule="auto"/>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number of seats available for passengers multiplied by the number of scheduled miles those seats are flown.</w:t>
      </w:r>
    </w:p>
    <w:p>
      <w:pPr>
        <w:ind w:left="400" w:hanging="346"/>
        <w:spacing w:after="0" w:line="202" w:lineRule="auto"/>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number of cargo revenue tons transported multiplied by the number of miles flown.</w:t>
      </w:r>
    </w:p>
    <w:p>
      <w:pPr>
        <w:ind w:left="400" w:hanging="346"/>
        <w:spacing w:after="0" w:line="202" w:lineRule="auto"/>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RPMs divided by ASMs.</w:t>
      </w:r>
    </w:p>
    <w:p>
      <w:pPr>
        <w:ind w:left="400" w:hanging="346"/>
        <w:spacing w:after="0" w:line="202" w:lineRule="auto"/>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average passenger revenue received for each revenue passenger mile flown.</w:t>
      </w:r>
    </w:p>
    <w:p>
      <w:pPr>
        <w:ind w:left="400" w:hanging="346"/>
        <w:spacing w:after="0"/>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average distance a flight travels weighted for size of aircraft.</w:t>
      </w:r>
    </w:p>
    <w:p>
      <w:pPr>
        <w:spacing w:after="0" w:line="253" w:lineRule="exact"/>
        <w:rPr>
          <w:sz w:val="20"/>
          <w:szCs w:val="20"/>
          <w:color w:val="auto"/>
        </w:rPr>
      </w:pPr>
    </w:p>
    <w:p>
      <w:pPr>
        <w:ind w:right="120"/>
        <w:spacing w:after="0" w:line="292" w:lineRule="auto"/>
        <w:rPr>
          <w:sz w:val="20"/>
          <w:szCs w:val="20"/>
          <w:color w:val="auto"/>
        </w:rPr>
      </w:pPr>
      <w:r>
        <w:rPr>
          <w:rFonts w:ascii="Arial" w:cs="Arial" w:eastAsia="Arial" w:hAnsi="Arial"/>
          <w:sz w:val="19"/>
          <w:szCs w:val="19"/>
          <w:b w:val="1"/>
          <w:bCs w:val="1"/>
          <w:i w:val="1"/>
          <w:iCs w:val="1"/>
          <w:color w:val="auto"/>
        </w:rPr>
        <w:t xml:space="preserve">Operating Revenue. </w:t>
      </w:r>
      <w:r>
        <w:rPr>
          <w:rFonts w:ascii="Arial" w:cs="Arial" w:eastAsia="Arial" w:hAnsi="Arial"/>
          <w:sz w:val="19"/>
          <w:szCs w:val="19"/>
          <w:color w:val="auto"/>
        </w:rPr>
        <w:t>The table below illustrates the year-over-year percentage change in the Company's operating revenues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years ended December 31 (in millions, except percentage changes):</w:t>
      </w:r>
    </w:p>
    <w:tbl>
      <w:tblPr>
        <w:tblLayout w:type="fixed"/>
        <w:tblInd w:w="0" w:type="dxa"/>
        <w:tblCellMar>
          <w:top w:w="0" w:type="dxa"/>
          <w:left w:w="0" w:type="dxa"/>
          <w:bottom w:w="0" w:type="dxa"/>
          <w:right w:w="0" w:type="dxa"/>
        </w:tblCellMar>
      </w:tblPr>
      <w:tr>
        <w:trPr>
          <w:trHeight w:val="180"/>
        </w:trPr>
        <w:tc>
          <w:tcPr>
            <w:tcW w:w="4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7"/>
                <w:szCs w:val="17"/>
                <w:b w:val="1"/>
                <w:bCs w:val="1"/>
                <w:color w:val="auto"/>
              </w:rPr>
              <w:t>2025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7"/>
                <w:szCs w:val="17"/>
                <w:b w:val="1"/>
                <w:bCs w:val="1"/>
                <w:color w:val="auto"/>
              </w:rPr>
              <w:t>2024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73"/>
              <w:spacing w:after="0" w:line="180" w:lineRule="exact"/>
              <w:rPr>
                <w:sz w:val="20"/>
                <w:szCs w:val="20"/>
                <w:color w:val="auto"/>
              </w:rPr>
            </w:pPr>
            <w:r>
              <w:rPr>
                <w:rFonts w:ascii="Arial" w:cs="Arial" w:eastAsia="Arial" w:hAnsi="Arial"/>
                <w:sz w:val="17"/>
                <w:szCs w:val="17"/>
                <w:b w:val="1"/>
                <w:bCs w:val="1"/>
                <w:color w:val="auto"/>
              </w:rPr>
              <w:t>Increase</w:t>
            </w:r>
          </w:p>
        </w:tc>
        <w:tc>
          <w:tcPr>
            <w:tcW w:w="120" w:type="dxa"/>
            <w:vAlign w:val="bottom"/>
          </w:tcPr>
          <w:p>
            <w:pPr>
              <w:spacing w:after="0"/>
              <w:rPr>
                <w:sz w:val="15"/>
                <w:szCs w:val="15"/>
                <w:color w:val="auto"/>
              </w:rPr>
            </w:pPr>
          </w:p>
        </w:tc>
        <w:tc>
          <w:tcPr>
            <w:tcW w:w="1320" w:type="dxa"/>
            <w:vAlign w:val="bottom"/>
            <w:vMerge w:val="restart"/>
          </w:tcPr>
          <w:p>
            <w:pPr>
              <w:jc w:val="right"/>
              <w:ind w:right="173"/>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31"/>
        </w:trPr>
        <w:tc>
          <w:tcPr>
            <w:tcW w:w="432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w w:val="94"/>
              </w:rPr>
              <w:t>(Decrease)</w:t>
            </w:r>
          </w:p>
        </w:tc>
        <w:tc>
          <w:tcPr>
            <w:tcW w:w="120" w:type="dxa"/>
            <w:vAlign w:val="bottom"/>
            <w:tcBorders>
              <w:bottom w:val="single" w:sz="8" w:color="E6E6E6"/>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320" w:type="dxa"/>
            <w:vAlign w:val="bottom"/>
            <w:shd w:val="clear" w:color="auto" w:fill="E6E6E6"/>
          </w:tcPr>
          <w:p>
            <w:pPr>
              <w:ind w:left="60"/>
              <w:spacing w:after="0"/>
              <w:rPr>
                <w:sz w:val="20"/>
                <w:szCs w:val="20"/>
                <w:color w:val="auto"/>
              </w:rPr>
            </w:pPr>
            <w:r>
              <w:rPr>
                <w:rFonts w:ascii="Arial" w:cs="Arial" w:eastAsia="Arial" w:hAnsi="Arial"/>
                <w:sz w:val="17"/>
                <w:szCs w:val="17"/>
                <w:color w:val="auto"/>
              </w:rPr>
              <w:t>Passenger revenue</w:t>
            </w:r>
          </w:p>
        </w:tc>
        <w:tc>
          <w:tcPr>
            <w:tcW w:w="300" w:type="dxa"/>
            <w:vAlign w:val="bottom"/>
            <w:shd w:val="clear" w:color="auto" w:fill="E6E6E6"/>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53,438</w:t>
            </w:r>
          </w:p>
        </w:tc>
        <w:tc>
          <w:tcPr>
            <w:tcW w:w="420" w:type="dxa"/>
            <w:vAlign w:val="bottom"/>
            <w:gridSpan w:val="2"/>
            <w:shd w:val="clear" w:color="auto" w:fill="E6E6E6"/>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51,829</w:t>
            </w:r>
          </w:p>
        </w:tc>
        <w:tc>
          <w:tcPr>
            <w:tcW w:w="320" w:type="dxa"/>
            <w:vAlign w:val="bottom"/>
            <w:gridSpan w:val="2"/>
            <w:shd w:val="clear" w:color="auto" w:fill="E6E6E6"/>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1,609</w:t>
            </w:r>
          </w:p>
        </w:tc>
        <w:tc>
          <w:tcPr>
            <w:tcW w:w="144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69"/>
        </w:trPr>
        <w:tc>
          <w:tcPr>
            <w:tcW w:w="4320" w:type="dxa"/>
            <w:vAlign w:val="bottom"/>
          </w:tcPr>
          <w:p>
            <w:pPr>
              <w:ind w:left="60"/>
              <w:spacing w:after="0"/>
              <w:rPr>
                <w:sz w:val="20"/>
                <w:szCs w:val="20"/>
                <w:color w:val="auto"/>
              </w:rPr>
            </w:pPr>
            <w:r>
              <w:rPr>
                <w:rFonts w:ascii="Arial" w:cs="Arial" w:eastAsia="Arial" w:hAnsi="Arial"/>
                <w:sz w:val="17"/>
                <w:szCs w:val="17"/>
                <w:color w:val="auto"/>
              </w:rPr>
              <w:t>Cargo</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74"/>
        </w:trPr>
        <w:tc>
          <w:tcPr>
            <w:tcW w:w="4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Other operating revenue</w:t>
            </w:r>
          </w:p>
        </w:tc>
        <w:tc>
          <w:tcPr>
            <w:tcW w:w="30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3,853</w:t>
            </w:r>
          </w:p>
        </w:tc>
        <w:tc>
          <w:tcPr>
            <w:tcW w:w="12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3,491</w:t>
            </w:r>
          </w:p>
        </w:tc>
        <w:tc>
          <w:tcPr>
            <w:tcW w:w="12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362</w:t>
            </w:r>
          </w:p>
        </w:tc>
        <w:tc>
          <w:tcPr>
            <w:tcW w:w="144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38"/>
        </w:trPr>
        <w:tc>
          <w:tcPr>
            <w:tcW w:w="4320" w:type="dxa"/>
            <w:vAlign w:val="bottom"/>
          </w:tcPr>
          <w:p>
            <w:pPr>
              <w:ind w:left="280"/>
              <w:spacing w:after="0"/>
              <w:rPr>
                <w:sz w:val="20"/>
                <w:szCs w:val="20"/>
                <w:color w:val="auto"/>
              </w:rPr>
            </w:pPr>
            <w:r>
              <w:rPr>
                <w:rFonts w:ascii="Arial" w:cs="Arial" w:eastAsia="Arial" w:hAnsi="Arial"/>
                <w:sz w:val="17"/>
                <w:szCs w:val="17"/>
                <w:color w:val="auto"/>
              </w:rPr>
              <w:t>Total operating revenue</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59,070</w:t>
            </w: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57,063</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2,007</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-732790</wp:posOffset>
            </wp:positionV>
            <wp:extent cx="361124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extLst>
                    </a:blip>
                    <a:srcRect/>
                    <a:stretch>
                      <a:fillRect/>
                    </a:stretch>
                  </pic:blipFill>
                  <pic:spPr bwMode="auto">
                    <a:xfrm>
                      <a:off x="0" y="0"/>
                      <a:ext cx="3611245" cy="2540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-206375</wp:posOffset>
            </wp:positionV>
            <wp:extent cx="269621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extLst>
                    </a:blip>
                    <a:srcRect/>
                    <a:stretch>
                      <a:fillRect/>
                    </a:stretch>
                  </pic:blipFill>
                  <pic:spPr bwMode="auto">
                    <a:xfrm>
                      <a:off x="0" y="0"/>
                      <a:ext cx="2696210" cy="25400"/>
                    </a:xfrm>
                    <a:prstGeom prst="rect">
                      <a:avLst/>
                    </a:prstGeom>
                    <a:noFill/>
                  </pic:spPr>
                </pic:pic>
              </a:graphicData>
            </a:graphic>
          </wp:anchor>
        </w:drawing>
      </w:r>
    </w:p>
    <w:p>
      <w:pPr>
        <w:spacing w:after="0" w:line="162" w:lineRule="exact"/>
        <w:rPr>
          <w:sz w:val="20"/>
          <w:szCs w:val="20"/>
          <w:color w:val="auto"/>
        </w:rPr>
      </w:pPr>
    </w:p>
    <w:p>
      <w:pPr>
        <w:ind w:right="600"/>
        <w:spacing w:after="0" w:line="294" w:lineRule="auto"/>
        <w:rPr>
          <w:sz w:val="20"/>
          <w:szCs w:val="20"/>
          <w:color w:val="auto"/>
        </w:rPr>
      </w:pPr>
      <w:r>
        <w:rPr>
          <w:rFonts w:ascii="Arial" w:cs="Arial" w:eastAsia="Arial" w:hAnsi="Arial"/>
          <w:sz w:val="19"/>
          <w:szCs w:val="19"/>
          <w:color w:val="auto"/>
        </w:rPr>
        <w:t>The table below presents passenger revenue and select operating data of the Company, broken out by geographic region, expressed as year-over-year changes: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74"/>
              <w:spacing w:after="0"/>
              <w:rPr>
                <w:sz w:val="20"/>
                <w:szCs w:val="20"/>
                <w:color w:val="auto"/>
              </w:rPr>
            </w:pPr>
            <w:r>
              <w:rPr>
                <w:rFonts w:ascii="Arial" w:cs="Arial" w:eastAsia="Arial" w:hAnsi="Arial"/>
                <w:sz w:val="16"/>
                <w:szCs w:val="16"/>
                <w:b w:val="1"/>
                <w:bCs w:val="1"/>
                <w:color w:val="auto"/>
              </w:rPr>
              <w:t>Increase (decrease) from 2024:</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57"/>
        </w:trPr>
        <w:tc>
          <w:tcPr>
            <w:tcW w:w="474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Domestic</w:t>
            </w:r>
          </w:p>
        </w:tc>
        <w:tc>
          <w:tcPr>
            <w:tcW w:w="60" w:type="dxa"/>
            <w:vAlign w:val="bottom"/>
            <w:tcBorders>
              <w:bottom w:val="single" w:sz="8" w:color="E6E6E6"/>
            </w:tcBorders>
          </w:tcPr>
          <w:p>
            <w:pPr>
              <w:spacing w:after="0"/>
              <w:rPr>
                <w:sz w:val="22"/>
                <w:szCs w:val="22"/>
                <w:color w:val="auto"/>
              </w:rPr>
            </w:pPr>
          </w:p>
        </w:tc>
        <w:tc>
          <w:tcPr>
            <w:tcW w:w="9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Atlantic</w:t>
            </w:r>
          </w:p>
        </w:tc>
        <w:tc>
          <w:tcPr>
            <w:tcW w:w="60" w:type="dxa"/>
            <w:vAlign w:val="bottom"/>
            <w:tcBorders>
              <w:bottom w:val="single" w:sz="8" w:color="E6E6E6"/>
            </w:tcBorders>
          </w:tcPr>
          <w:p>
            <w:pPr>
              <w:spacing w:after="0"/>
              <w:rPr>
                <w:sz w:val="22"/>
                <w:szCs w:val="22"/>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Pacific</w:t>
            </w:r>
          </w:p>
        </w:tc>
        <w:tc>
          <w:tcPr>
            <w:tcW w:w="8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Latin</w:t>
            </w:r>
          </w:p>
        </w:tc>
        <w:tc>
          <w:tcPr>
            <w:tcW w:w="8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Total</w:t>
            </w:r>
          </w:p>
        </w:tc>
      </w:tr>
      <w:tr>
        <w:trPr>
          <w:trHeight w:val="267"/>
        </w:trPr>
        <w:tc>
          <w:tcPr>
            <w:tcW w:w="4740" w:type="dxa"/>
            <w:vAlign w:val="bottom"/>
            <w:shd w:val="clear" w:color="auto" w:fill="E6E6E6"/>
          </w:tcPr>
          <w:p>
            <w:pPr>
              <w:ind w:left="60"/>
              <w:spacing w:after="0"/>
              <w:rPr>
                <w:sz w:val="20"/>
                <w:szCs w:val="20"/>
                <w:color w:val="auto"/>
              </w:rPr>
            </w:pPr>
            <w:r>
              <w:rPr>
                <w:rFonts w:ascii="Arial" w:cs="Arial" w:eastAsia="Arial" w:hAnsi="Arial"/>
                <w:sz w:val="17"/>
                <w:szCs w:val="17"/>
                <w:color w:val="auto"/>
              </w:rPr>
              <w:t>Passenger revenue (in millions)</w:t>
            </w:r>
          </w:p>
        </w:tc>
        <w:tc>
          <w:tcPr>
            <w:tcW w:w="960" w:type="dxa"/>
            <w:vAlign w:val="bottom"/>
            <w:shd w:val="clear" w:color="auto" w:fill="E6E6E6"/>
          </w:tcPr>
          <w:p>
            <w:pPr>
              <w:jc w:val="right"/>
              <w:ind w:right="141"/>
              <w:spacing w:after="0"/>
              <w:rPr>
                <w:sz w:val="20"/>
                <w:szCs w:val="20"/>
                <w:color w:val="auto"/>
              </w:rPr>
            </w:pPr>
            <w:r>
              <w:rPr>
                <w:rFonts w:ascii="Arial" w:cs="Arial" w:eastAsia="Arial" w:hAnsi="Arial"/>
                <w:sz w:val="17"/>
                <w:szCs w:val="17"/>
                <w:color w:val="auto"/>
                <w:w w:val="91"/>
              </w:rPr>
              <w:t>$610</w:t>
            </w:r>
          </w:p>
        </w:tc>
        <w:tc>
          <w:tcPr>
            <w:tcW w:w="960" w:type="dxa"/>
            <w:vAlign w:val="bottom"/>
            <w:gridSpan w:val="2"/>
            <w:shd w:val="clear" w:color="auto" w:fill="E6E6E6"/>
          </w:tcPr>
          <w:p>
            <w:pPr>
              <w:jc w:val="right"/>
              <w:ind w:right="142"/>
              <w:spacing w:after="0"/>
              <w:rPr>
                <w:sz w:val="20"/>
                <w:szCs w:val="20"/>
                <w:color w:val="auto"/>
              </w:rPr>
            </w:pPr>
            <w:r>
              <w:rPr>
                <w:rFonts w:ascii="Arial" w:cs="Arial" w:eastAsia="Arial" w:hAnsi="Arial"/>
                <w:sz w:val="17"/>
                <w:szCs w:val="17"/>
                <w:color w:val="auto"/>
              </w:rPr>
              <w:t>$   510</w:t>
            </w:r>
          </w:p>
        </w:tc>
        <w:tc>
          <w:tcPr>
            <w:tcW w:w="940" w:type="dxa"/>
            <w:vAlign w:val="bottom"/>
            <w:gridSpan w:val="2"/>
            <w:shd w:val="clear" w:color="auto" w:fill="E6E6E6"/>
          </w:tcPr>
          <w:p>
            <w:pPr>
              <w:jc w:val="right"/>
              <w:ind w:right="142"/>
              <w:spacing w:after="0"/>
              <w:rPr>
                <w:sz w:val="20"/>
                <w:szCs w:val="20"/>
                <w:color w:val="auto"/>
              </w:rPr>
            </w:pPr>
            <w:r>
              <w:rPr>
                <w:rFonts w:ascii="Arial" w:cs="Arial" w:eastAsia="Arial" w:hAnsi="Arial"/>
                <w:sz w:val="17"/>
                <w:szCs w:val="17"/>
                <w:color w:val="auto"/>
              </w:rPr>
              <w:t>$   417</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E6E6E6"/>
          </w:tcPr>
          <w:p>
            <w:pPr>
              <w:jc w:val="right"/>
              <w:ind w:right="134"/>
              <w:spacing w:after="0"/>
              <w:rPr>
                <w:sz w:val="20"/>
                <w:szCs w:val="20"/>
                <w:color w:val="auto"/>
              </w:rPr>
            </w:pPr>
            <w:r>
              <w:rPr>
                <w:rFonts w:ascii="Arial" w:cs="Arial" w:eastAsia="Arial" w:hAnsi="Arial"/>
                <w:sz w:val="17"/>
                <w:szCs w:val="17"/>
                <w:color w:val="auto"/>
              </w:rPr>
              <w:t>71</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shd w:val="clear" w:color="auto" w:fill="E6E6E6"/>
          </w:tcPr>
          <w:p>
            <w:pPr>
              <w:jc w:val="right"/>
              <w:ind w:right="134"/>
              <w:spacing w:after="0"/>
              <w:rPr>
                <w:sz w:val="20"/>
                <w:szCs w:val="20"/>
                <w:color w:val="auto"/>
              </w:rPr>
            </w:pPr>
            <w:r>
              <w:rPr>
                <w:rFonts w:ascii="Arial" w:cs="Arial" w:eastAsia="Arial" w:hAnsi="Arial"/>
                <w:sz w:val="17"/>
                <w:szCs w:val="17"/>
                <w:color w:val="auto"/>
              </w:rPr>
              <w:t>1,609</w:t>
            </w:r>
          </w:p>
        </w:tc>
      </w:tr>
      <w:tr>
        <w:trPr>
          <w:trHeight w:val="240"/>
        </w:trPr>
        <w:tc>
          <w:tcPr>
            <w:tcW w:w="4740" w:type="dxa"/>
            <w:vAlign w:val="bottom"/>
          </w:tcPr>
          <w:p>
            <w:pPr>
              <w:ind w:left="60"/>
              <w:spacing w:after="0"/>
              <w:rPr>
                <w:sz w:val="20"/>
                <w:szCs w:val="20"/>
                <w:color w:val="auto"/>
              </w:rPr>
            </w:pPr>
            <w:r>
              <w:rPr>
                <w:rFonts w:ascii="Arial" w:cs="Arial" w:eastAsia="Arial" w:hAnsi="Arial"/>
                <w:sz w:val="17"/>
                <w:szCs w:val="17"/>
                <w:color w:val="auto"/>
              </w:rPr>
              <w:t>Passenger revenue</w:t>
            </w:r>
          </w:p>
        </w:tc>
        <w:tc>
          <w:tcPr>
            <w:tcW w:w="960" w:type="dxa"/>
            <w:vAlign w:val="bottom"/>
          </w:tcPr>
          <w:p>
            <w:pPr>
              <w:jc w:val="right"/>
              <w:spacing w:after="0"/>
              <w:rPr>
                <w:sz w:val="20"/>
                <w:szCs w:val="20"/>
                <w:color w:val="auto"/>
              </w:rPr>
            </w:pPr>
            <w:r>
              <w:rPr>
                <w:rFonts w:ascii="Arial" w:cs="Arial" w:eastAsia="Arial" w:hAnsi="Arial"/>
                <w:sz w:val="17"/>
                <w:szCs w:val="17"/>
                <w:color w:val="auto"/>
              </w:rPr>
              <w:t>2.0 %</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4.9 %</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7.5 %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3.1 %</w:t>
            </w:r>
          </w:p>
        </w:tc>
      </w:tr>
      <w:tr>
        <w:trPr>
          <w:trHeight w:val="255"/>
        </w:trPr>
        <w:tc>
          <w:tcPr>
            <w:tcW w:w="4740" w:type="dxa"/>
            <w:vAlign w:val="bottom"/>
            <w:shd w:val="clear" w:color="auto" w:fill="E6E6E6"/>
          </w:tcPr>
          <w:p>
            <w:pPr>
              <w:ind w:left="60"/>
              <w:spacing w:after="0"/>
              <w:rPr>
                <w:sz w:val="20"/>
                <w:szCs w:val="20"/>
                <w:color w:val="auto"/>
              </w:rPr>
            </w:pPr>
            <w:r>
              <w:rPr>
                <w:rFonts w:ascii="Arial" w:cs="Arial" w:eastAsia="Arial" w:hAnsi="Arial"/>
                <w:sz w:val="17"/>
                <w:szCs w:val="17"/>
                <w:color w:val="auto"/>
              </w:rPr>
              <w:t>Average fare per passenger</w:t>
            </w: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(1.9)%</w:t>
            </w:r>
          </w:p>
        </w:tc>
        <w:tc>
          <w:tcPr>
            <w:tcW w:w="96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(0.8)%</w:t>
            </w:r>
          </w:p>
        </w:tc>
        <w:tc>
          <w:tcPr>
            <w:tcW w:w="94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(3.5)%</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(1.1)%</w:t>
            </w:r>
          </w:p>
        </w:tc>
      </w:tr>
      <w:tr>
        <w:trPr>
          <w:trHeight w:val="240"/>
        </w:trPr>
        <w:tc>
          <w:tcPr>
            <w:tcW w:w="4740" w:type="dxa"/>
            <w:vAlign w:val="bottom"/>
          </w:tcPr>
          <w:p>
            <w:pPr>
              <w:ind w:left="60"/>
              <w:spacing w:after="0"/>
              <w:rPr>
                <w:sz w:val="20"/>
                <w:szCs w:val="20"/>
                <w:color w:val="auto"/>
              </w:rPr>
            </w:pPr>
            <w:r>
              <w:rPr>
                <w:rFonts w:ascii="Arial" w:cs="Arial" w:eastAsia="Arial" w:hAnsi="Arial"/>
                <w:sz w:val="17"/>
                <w:szCs w:val="17"/>
                <w:color w:val="auto"/>
              </w:rPr>
              <w:t>Yield</w:t>
            </w:r>
          </w:p>
        </w:tc>
        <w:tc>
          <w:tcPr>
            <w:tcW w:w="960" w:type="dxa"/>
            <w:vAlign w:val="bottom"/>
          </w:tcPr>
          <w:p>
            <w:pPr>
              <w:jc w:val="right"/>
              <w:spacing w:after="0"/>
              <w:rPr>
                <w:sz w:val="20"/>
                <w:szCs w:val="20"/>
                <w:color w:val="auto"/>
              </w:rPr>
            </w:pPr>
            <w:r>
              <w:rPr>
                <w:rFonts w:ascii="Arial" w:cs="Arial" w:eastAsia="Arial" w:hAnsi="Arial"/>
                <w:sz w:val="17"/>
                <w:szCs w:val="17"/>
                <w:color w:val="auto"/>
              </w:rPr>
              <w:t>(1.8)%</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(0.8)%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55"/>
        </w:trPr>
        <w:tc>
          <w:tcPr>
            <w:tcW w:w="4740" w:type="dxa"/>
            <w:vAlign w:val="bottom"/>
            <w:shd w:val="clear" w:color="auto" w:fill="E6E6E6"/>
          </w:tcPr>
          <w:p>
            <w:pPr>
              <w:ind w:left="60"/>
              <w:spacing w:after="0"/>
              <w:rPr>
                <w:sz w:val="20"/>
                <w:szCs w:val="20"/>
                <w:color w:val="auto"/>
              </w:rPr>
            </w:pPr>
            <w:r>
              <w:rPr>
                <w:rFonts w:ascii="Arial" w:cs="Arial" w:eastAsia="Arial" w:hAnsi="Arial"/>
                <w:sz w:val="17"/>
                <w:szCs w:val="17"/>
                <w:color w:val="auto"/>
              </w:rPr>
              <w:t>PRASM</w:t>
            </w: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(4.1)%</w:t>
            </w:r>
          </w:p>
        </w:tc>
        <w:tc>
          <w:tcPr>
            <w:tcW w:w="96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(1.6)%</w:t>
            </w:r>
          </w:p>
        </w:tc>
        <w:tc>
          <w:tcPr>
            <w:tcW w:w="94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3.0 %</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(5.2)%</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(2.9)%</w:t>
            </w:r>
          </w:p>
        </w:tc>
      </w:tr>
      <w:tr>
        <w:trPr>
          <w:trHeight w:val="240"/>
        </w:trPr>
        <w:tc>
          <w:tcPr>
            <w:tcW w:w="4740" w:type="dxa"/>
            <w:vAlign w:val="bottom"/>
          </w:tcPr>
          <w:p>
            <w:pPr>
              <w:ind w:left="60"/>
              <w:spacing w:after="0"/>
              <w:rPr>
                <w:sz w:val="20"/>
                <w:szCs w:val="20"/>
                <w:color w:val="auto"/>
              </w:rPr>
            </w:pPr>
            <w:r>
              <w:rPr>
                <w:rFonts w:ascii="Arial" w:cs="Arial" w:eastAsia="Arial" w:hAnsi="Arial"/>
                <w:sz w:val="17"/>
                <w:szCs w:val="17"/>
                <w:color w:val="auto"/>
              </w:rPr>
              <w:t>Passengers</w:t>
            </w:r>
          </w:p>
        </w:tc>
        <w:tc>
          <w:tcPr>
            <w:tcW w:w="960" w:type="dxa"/>
            <w:vAlign w:val="bottom"/>
          </w:tcPr>
          <w:p>
            <w:pPr>
              <w:jc w:val="right"/>
              <w:spacing w:after="0"/>
              <w:rPr>
                <w:sz w:val="20"/>
                <w:szCs w:val="20"/>
                <w:color w:val="auto"/>
              </w:rPr>
            </w:pPr>
            <w:r>
              <w:rPr>
                <w:rFonts w:ascii="Arial" w:cs="Arial" w:eastAsia="Arial" w:hAnsi="Arial"/>
                <w:sz w:val="17"/>
                <w:szCs w:val="17"/>
                <w:color w:val="auto"/>
              </w:rPr>
              <w:t>3.9 %</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5.8 %</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11.3 %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4.3 %</w:t>
            </w:r>
          </w:p>
        </w:tc>
      </w:tr>
      <w:tr>
        <w:trPr>
          <w:trHeight w:val="255"/>
        </w:trPr>
        <w:tc>
          <w:tcPr>
            <w:tcW w:w="4740" w:type="dxa"/>
            <w:vAlign w:val="bottom"/>
            <w:shd w:val="clear" w:color="auto" w:fill="E6E6E6"/>
          </w:tcPr>
          <w:p>
            <w:pPr>
              <w:ind w:left="60"/>
              <w:spacing w:after="0"/>
              <w:rPr>
                <w:sz w:val="20"/>
                <w:szCs w:val="20"/>
                <w:color w:val="auto"/>
              </w:rPr>
            </w:pPr>
            <w:r>
              <w:rPr>
                <w:rFonts w:ascii="Arial" w:cs="Arial" w:eastAsia="Arial" w:hAnsi="Arial"/>
                <w:sz w:val="17"/>
                <w:szCs w:val="17"/>
                <w:color w:val="auto"/>
              </w:rPr>
              <w:t>RPMs</w:t>
            </w: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3.9 %</w:t>
            </w:r>
          </w:p>
        </w:tc>
        <w:tc>
          <w:tcPr>
            <w:tcW w:w="96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5.7 %</w:t>
            </w:r>
          </w:p>
        </w:tc>
        <w:tc>
          <w:tcPr>
            <w:tcW w:w="94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9.4 %</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4.8 %</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5.1 %</w:t>
            </w:r>
          </w:p>
        </w:tc>
      </w:tr>
      <w:tr>
        <w:trPr>
          <w:trHeight w:val="240"/>
        </w:trPr>
        <w:tc>
          <w:tcPr>
            <w:tcW w:w="4740" w:type="dxa"/>
            <w:vAlign w:val="bottom"/>
          </w:tcPr>
          <w:p>
            <w:pPr>
              <w:ind w:left="60"/>
              <w:spacing w:after="0"/>
              <w:rPr>
                <w:sz w:val="20"/>
                <w:szCs w:val="20"/>
                <w:color w:val="auto"/>
              </w:rPr>
            </w:pPr>
            <w:r>
              <w:rPr>
                <w:rFonts w:ascii="Arial" w:cs="Arial" w:eastAsia="Arial" w:hAnsi="Arial"/>
                <w:sz w:val="17"/>
                <w:szCs w:val="17"/>
                <w:color w:val="auto"/>
              </w:rPr>
              <w:t>ASMs</w:t>
            </w:r>
          </w:p>
        </w:tc>
        <w:tc>
          <w:tcPr>
            <w:tcW w:w="960" w:type="dxa"/>
            <w:vAlign w:val="bottom"/>
          </w:tcPr>
          <w:p>
            <w:pPr>
              <w:jc w:val="right"/>
              <w:spacing w:after="0"/>
              <w:rPr>
                <w:sz w:val="20"/>
                <w:szCs w:val="20"/>
                <w:color w:val="auto"/>
              </w:rPr>
            </w:pPr>
            <w:r>
              <w:rPr>
                <w:rFonts w:ascii="Arial" w:cs="Arial" w:eastAsia="Arial" w:hAnsi="Arial"/>
                <w:sz w:val="17"/>
                <w:szCs w:val="17"/>
                <w:color w:val="auto"/>
              </w:rPr>
              <w:t>6.3 %</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6.6 %</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4.3 %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7.0 %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6.1 %</w:t>
            </w:r>
          </w:p>
        </w:tc>
      </w:tr>
      <w:tr>
        <w:trPr>
          <w:trHeight w:val="255"/>
        </w:trPr>
        <w:tc>
          <w:tcPr>
            <w:tcW w:w="4740" w:type="dxa"/>
            <w:vAlign w:val="bottom"/>
            <w:shd w:val="clear" w:color="auto" w:fill="E6E6E6"/>
          </w:tcPr>
          <w:p>
            <w:pPr>
              <w:ind w:left="60"/>
              <w:spacing w:after="0"/>
              <w:rPr>
                <w:sz w:val="20"/>
                <w:szCs w:val="20"/>
                <w:color w:val="auto"/>
              </w:rPr>
            </w:pPr>
            <w:r>
              <w:rPr>
                <w:rFonts w:ascii="Arial" w:cs="Arial" w:eastAsia="Arial" w:hAnsi="Arial"/>
                <w:sz w:val="17"/>
                <w:szCs w:val="17"/>
                <w:color w:val="auto"/>
              </w:rPr>
              <w:t>Passenger load factor (points)</w:t>
            </w:r>
          </w:p>
        </w:tc>
        <w:tc>
          <w:tcPr>
            <w:tcW w:w="960" w:type="dxa"/>
            <w:vAlign w:val="bottom"/>
            <w:shd w:val="clear" w:color="auto" w:fill="E6E6E6"/>
          </w:tcPr>
          <w:p>
            <w:pPr>
              <w:jc w:val="right"/>
              <w:ind w:right="81"/>
              <w:spacing w:after="0"/>
              <w:rPr>
                <w:sz w:val="20"/>
                <w:szCs w:val="20"/>
                <w:color w:val="auto"/>
              </w:rPr>
            </w:pPr>
            <w:r>
              <w:rPr>
                <w:rFonts w:ascii="Arial" w:cs="Arial" w:eastAsia="Arial" w:hAnsi="Arial"/>
                <w:sz w:val="17"/>
                <w:szCs w:val="17"/>
                <w:color w:val="auto"/>
              </w:rPr>
              <w:t>(1.9)</w:t>
            </w:r>
          </w:p>
        </w:tc>
        <w:tc>
          <w:tcPr>
            <w:tcW w:w="960" w:type="dxa"/>
            <w:vAlign w:val="bottom"/>
            <w:gridSpan w:val="2"/>
            <w:shd w:val="clear" w:color="auto" w:fill="E6E6E6"/>
          </w:tcPr>
          <w:p>
            <w:pPr>
              <w:jc w:val="right"/>
              <w:ind w:right="82"/>
              <w:spacing w:after="0"/>
              <w:rPr>
                <w:sz w:val="20"/>
                <w:szCs w:val="20"/>
                <w:color w:val="auto"/>
              </w:rPr>
            </w:pPr>
            <w:r>
              <w:rPr>
                <w:rFonts w:ascii="Arial" w:cs="Arial" w:eastAsia="Arial" w:hAnsi="Arial"/>
                <w:sz w:val="17"/>
                <w:szCs w:val="17"/>
                <w:color w:val="auto"/>
              </w:rPr>
              <w:t>(0.7)</w:t>
            </w:r>
          </w:p>
        </w:tc>
        <w:tc>
          <w:tcPr>
            <w:tcW w:w="940" w:type="dxa"/>
            <w:vAlign w:val="bottom"/>
            <w:gridSpan w:val="2"/>
            <w:shd w:val="clear" w:color="auto" w:fill="E6E6E6"/>
          </w:tcPr>
          <w:p>
            <w:pPr>
              <w:jc w:val="right"/>
              <w:ind w:right="142"/>
              <w:spacing w:after="0"/>
              <w:rPr>
                <w:sz w:val="20"/>
                <w:szCs w:val="20"/>
                <w:color w:val="auto"/>
              </w:rPr>
            </w:pPr>
            <w:r>
              <w:rPr>
                <w:rFonts w:ascii="Arial" w:cs="Arial" w:eastAsia="Arial" w:hAnsi="Arial"/>
                <w:sz w:val="17"/>
                <w:szCs w:val="17"/>
                <w:color w:val="auto"/>
              </w:rPr>
              <w:t>3.7</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20" w:type="dxa"/>
            <w:vAlign w:val="bottom"/>
            <w:shd w:val="clear" w:color="auto" w:fill="E6E6E6"/>
          </w:tcPr>
          <w:p>
            <w:pPr>
              <w:jc w:val="right"/>
              <w:ind w:right="74"/>
              <w:spacing w:after="0"/>
              <w:rPr>
                <w:sz w:val="20"/>
                <w:szCs w:val="20"/>
                <w:color w:val="auto"/>
              </w:rPr>
            </w:pPr>
            <w:r>
              <w:rPr>
                <w:rFonts w:ascii="Arial" w:cs="Arial" w:eastAsia="Arial" w:hAnsi="Arial"/>
                <w:sz w:val="17"/>
                <w:szCs w:val="17"/>
                <w:color w:val="auto"/>
              </w:rPr>
              <w:t>(1.7)</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960" w:type="dxa"/>
            <w:vAlign w:val="bottom"/>
            <w:shd w:val="clear" w:color="auto" w:fill="E6E6E6"/>
          </w:tcPr>
          <w:p>
            <w:pPr>
              <w:jc w:val="right"/>
              <w:ind w:right="74"/>
              <w:spacing w:after="0"/>
              <w:rPr>
                <w:sz w:val="20"/>
                <w:szCs w:val="20"/>
                <w:color w:val="auto"/>
              </w:rPr>
            </w:pPr>
            <w:r>
              <w:rPr>
                <w:rFonts w:ascii="Arial" w:cs="Arial" w:eastAsia="Arial" w:hAnsi="Arial"/>
                <w:sz w:val="17"/>
                <w:szCs w:val="17"/>
                <w:color w:val="auto"/>
              </w:rPr>
              <w:t>(0.9)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-1444625</wp:posOffset>
            </wp:positionV>
            <wp:extent cx="330581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extLst>
                    </a:blip>
                    <a:srcRect/>
                    <a:stretch>
                      <a:fillRect/>
                    </a:stretch>
                  </pic:blipFill>
                  <pic:spPr bwMode="auto">
                    <a:xfrm>
                      <a:off x="0" y="0"/>
                      <a:ext cx="3305810" cy="25400"/>
                    </a:xfrm>
                    <a:prstGeom prst="rect">
                      <a:avLst/>
                    </a:prstGeom>
                    <a:noFill/>
                  </pic:spPr>
                </pic:pic>
              </a:graphicData>
            </a:graphic>
          </wp:anchor>
        </w:drawing>
      </w:r>
    </w:p>
    <w:p>
      <w:pPr>
        <w:spacing w:after="0" w:line="191" w:lineRule="exact"/>
        <w:rPr>
          <w:sz w:val="20"/>
          <w:szCs w:val="20"/>
          <w:color w:val="auto"/>
        </w:rPr>
      </w:pPr>
    </w:p>
    <w:p>
      <w:pPr>
        <w:jc w:val="both"/>
        <w:ind w:right="20"/>
        <w:spacing w:after="0" w:line="294" w:lineRule="auto"/>
        <w:rPr>
          <w:sz w:val="20"/>
          <w:szCs w:val="20"/>
          <w:color w:val="auto"/>
        </w:rPr>
      </w:pPr>
      <w:r>
        <w:rPr>
          <w:rFonts w:ascii="Arial" w:cs="Arial" w:eastAsia="Arial" w:hAnsi="Arial"/>
          <w:sz w:val="19"/>
          <w:szCs w:val="19"/>
          <w:color w:val="auto"/>
        </w:rPr>
        <w:t>Passenger revenue increased $1.6 billion, or 3.1%, in 2025 as compared to 2024, primarily due to a 6.1% increase in capacity as well as a 4.3% increase in passengers.</w:t>
      </w:r>
    </w:p>
    <w:p>
      <w:pPr>
        <w:spacing w:after="0" w:line="105" w:lineRule="exact"/>
        <w:rPr>
          <w:sz w:val="20"/>
          <w:szCs w:val="20"/>
          <w:color w:val="auto"/>
        </w:rPr>
      </w:pPr>
    </w:p>
    <w:p>
      <w:pPr>
        <w:ind w:right="260"/>
        <w:spacing w:after="0" w:line="274" w:lineRule="auto"/>
        <w:rPr>
          <w:sz w:val="20"/>
          <w:szCs w:val="20"/>
          <w:color w:val="auto"/>
        </w:rPr>
      </w:pPr>
      <w:r>
        <w:rPr>
          <w:rFonts w:ascii="Arial" w:cs="Arial" w:eastAsia="Arial" w:hAnsi="Arial"/>
          <w:sz w:val="19"/>
          <w:szCs w:val="19"/>
          <w:color w:val="auto"/>
        </w:rPr>
        <w:t>Other operating revenue increased $362 million, or 10.4%, in 2025 as compared to 2024, primarily due to an increase in mileage revenue from non-airline partners, including credit card spending with our co-branded credit card partner, JPMorgan Chase Bank, N.A., as well as increases in the purchases of United Club memberships.</w:t>
      </w:r>
    </w:p>
    <w:p>
      <w:pPr>
        <w:sectPr>
          <w:pgSz w:w="11880" w:h="15480" w:orient="portrait"/>
          <w:cols w:equalWidth="0" w:num="1">
            <w:col w:w="9960"/>
          </w:cols>
          <w:pgMar w:left="960" w:top="823"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9960"/>
          </w:cols>
          <w:pgMar w:left="960" w:top="823" w:right="960" w:bottom="33" w:gutter="0" w:footer="0" w:header="0"/>
          <w:type w:val="continuous"/>
        </w:sectPr>
      </w:pPr>
    </w:p>
    <w:bookmarkStart w:id="42" w:name="page43"/>
    <w:bookmarkEnd w:id="42"/>
    <w:p>
      <w:pPr>
        <w:ind w:right="160"/>
        <w:spacing w:after="0" w:line="299" w:lineRule="auto"/>
        <w:rPr>
          <w:sz w:val="20"/>
          <w:szCs w:val="20"/>
          <w:color w:val="auto"/>
        </w:rPr>
      </w:pPr>
      <w:r>
        <w:rPr>
          <w:rFonts w:ascii="Arial" w:cs="Arial" w:eastAsia="Arial" w:hAnsi="Arial"/>
          <w:sz w:val="19"/>
          <w:szCs w:val="19"/>
          <w:b w:val="1"/>
          <w:bCs w:val="1"/>
          <w:i w:val="1"/>
          <w:iCs w:val="1"/>
          <w:color w:val="auto"/>
        </w:rPr>
        <w:t xml:space="preserve">Operating Expense. </w:t>
      </w:r>
      <w:r>
        <w:rPr>
          <w:rFonts w:ascii="Arial" w:cs="Arial" w:eastAsia="Arial" w:hAnsi="Arial"/>
          <w:sz w:val="19"/>
          <w:szCs w:val="19"/>
          <w:color w:val="auto"/>
        </w:rPr>
        <w:t>The table below includes data related to the Company's operating expense for the years ended December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31 (in millions, except percentage changes):</w:t>
      </w:r>
    </w:p>
    <w:p>
      <w:pPr>
        <w:sectPr>
          <w:pgSz w:w="11880" w:h="15480" w:orient="portrait"/>
          <w:cols w:equalWidth="0" w:num="1">
            <w:col w:w="9900"/>
          </w:cols>
          <w:pgMar w:left="960" w:top="581" w:right="102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tabs>
          <w:tab w:leader="none" w:pos="4560" w:val="left"/>
        </w:tabs>
        <w:rPr>
          <w:sz w:val="20"/>
          <w:szCs w:val="20"/>
          <w:color w:val="auto"/>
        </w:rPr>
      </w:pPr>
      <w:r>
        <w:rPr>
          <w:rFonts w:ascii="Arial" w:cs="Arial" w:eastAsia="Arial" w:hAnsi="Arial"/>
          <w:sz w:val="17"/>
          <w:szCs w:val="17"/>
          <w:color w:val="auto"/>
        </w:rPr>
        <w:t>Salaries and related costs</w:t>
      </w:r>
      <w:r>
        <w:rPr>
          <w:sz w:val="20"/>
          <w:szCs w:val="20"/>
          <w:color w:val="auto"/>
        </w:rPr>
        <w:tab/>
      </w:r>
      <w:r>
        <w:rPr>
          <w:rFonts w:ascii="Arial" w:cs="Arial" w:eastAsia="Arial" w:hAnsi="Arial"/>
          <w:sz w:val="14"/>
          <w:szCs w:val="14"/>
          <w:color w:val="auto"/>
        </w:rPr>
        <w:t>$</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Aircraft fuel</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color w:val="auto"/>
        </w:rPr>
        <w:t>Landing fees and other rent</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Aircraft maintenance materials and outside repairs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Depreciation and amortization</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Regional capacity purchase</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Distribution expenses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Aircraft rent</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color w:val="auto"/>
        </w:rPr>
        <w:t>Special charges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operating expenses</w:t>
      </w:r>
    </w:p>
    <w:p>
      <w:pPr>
        <w:spacing w:after="0" w:line="100" w:lineRule="exact"/>
        <w:rPr>
          <w:sz w:val="20"/>
          <w:szCs w:val="20"/>
          <w:color w:val="auto"/>
        </w:rPr>
      </w:pPr>
    </w:p>
    <w:p>
      <w:pPr>
        <w:ind w:left="280"/>
        <w:spacing w:after="0"/>
        <w:tabs>
          <w:tab w:leader="none" w:pos="4560" w:val="left"/>
        </w:tabs>
        <w:rPr>
          <w:sz w:val="20"/>
          <w:szCs w:val="20"/>
          <w:color w:val="auto"/>
        </w:rPr>
      </w:pPr>
      <w:r>
        <w:rPr>
          <w:rFonts w:ascii="Arial" w:cs="Arial" w:eastAsia="Arial" w:hAnsi="Arial"/>
          <w:sz w:val="17"/>
          <w:szCs w:val="17"/>
          <w:color w:val="auto"/>
        </w:rPr>
        <w:t>Total operating expenses</w:t>
      </w:r>
      <w:r>
        <w:rPr>
          <w:sz w:val="20"/>
          <w:szCs w:val="20"/>
          <w:color w:val="auto"/>
        </w:rPr>
        <w:tab/>
      </w:r>
      <w:r>
        <w:rPr>
          <w:rFonts w:ascii="Arial" w:cs="Arial" w:eastAsia="Arial" w:hAnsi="Arial"/>
          <w:sz w:val="14"/>
          <w:szCs w:val="14"/>
          <w:color w:val="auto"/>
        </w:rPr>
        <w:t>$</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5"/>
          <w:szCs w:val="15"/>
          <w:color w:val="auto"/>
        </w:rPr>
        <w:t>(a) NM - Greater than 100% change or otherwise not meaningful.</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80" w:type="dxa"/>
            <w:vAlign w:val="bottom"/>
            <w:vMerge w:val="restart"/>
          </w:tcPr>
          <w:p>
            <w:pPr>
              <w:jc w:val="right"/>
              <w:ind w:right="453"/>
              <w:spacing w:after="0"/>
              <w:rPr>
                <w:sz w:val="20"/>
                <w:szCs w:val="20"/>
                <w:color w:val="auto"/>
              </w:rPr>
            </w:pPr>
            <w:r>
              <w:rPr>
                <w:rFonts w:ascii="Arial" w:cs="Arial" w:eastAsia="Arial" w:hAnsi="Arial"/>
                <w:sz w:val="17"/>
                <w:szCs w:val="17"/>
                <w:b w:val="1"/>
                <w:bCs w:val="1"/>
                <w:color w:val="auto"/>
                <w:w w:val="84"/>
              </w:rPr>
              <w:t>2025</w:t>
            </w:r>
          </w:p>
        </w:tc>
        <w:tc>
          <w:tcPr>
            <w:tcW w:w="300" w:type="dxa"/>
            <w:vAlign w:val="bottom"/>
          </w:tcPr>
          <w:p>
            <w:pPr>
              <w:spacing w:after="0"/>
              <w:rPr>
                <w:sz w:val="16"/>
                <w:szCs w:val="16"/>
                <w:color w:val="auto"/>
              </w:rPr>
            </w:pPr>
          </w:p>
        </w:tc>
        <w:tc>
          <w:tcPr>
            <w:tcW w:w="980" w:type="dxa"/>
            <w:vAlign w:val="bottom"/>
            <w:vMerge w:val="restart"/>
          </w:tcPr>
          <w:p>
            <w:pPr>
              <w:jc w:val="right"/>
              <w:ind w:right="373"/>
              <w:spacing w:after="0"/>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33"/>
              <w:spacing w:after="0"/>
              <w:rPr>
                <w:sz w:val="20"/>
                <w:szCs w:val="20"/>
                <w:color w:val="auto"/>
              </w:rPr>
            </w:pPr>
            <w:r>
              <w:rPr>
                <w:rFonts w:ascii="Arial" w:cs="Arial" w:eastAsia="Arial" w:hAnsi="Arial"/>
                <w:sz w:val="17"/>
                <w:szCs w:val="17"/>
                <w:b w:val="1"/>
                <w:bCs w:val="1"/>
                <w:color w:val="auto"/>
              </w:rPr>
              <w:t>Increase</w:t>
            </w:r>
          </w:p>
        </w:tc>
        <w:tc>
          <w:tcPr>
            <w:tcW w:w="60" w:type="dxa"/>
            <w:vAlign w:val="bottom"/>
          </w:tcPr>
          <w:p>
            <w:pPr>
              <w:spacing w:after="0"/>
              <w:rPr>
                <w:sz w:val="16"/>
                <w:szCs w:val="16"/>
                <w:color w:val="auto"/>
              </w:rPr>
            </w:pPr>
          </w:p>
        </w:tc>
        <w:tc>
          <w:tcPr>
            <w:tcW w:w="1280" w:type="dxa"/>
            <w:vAlign w:val="bottom"/>
            <w:vMerge w:val="restart"/>
          </w:tcPr>
          <w:p>
            <w:pPr>
              <w:jc w:val="right"/>
              <w:ind w:right="33"/>
              <w:spacing w:after="0"/>
              <w:rPr>
                <w:sz w:val="20"/>
                <w:szCs w:val="20"/>
                <w:color w:val="auto"/>
              </w:rPr>
            </w:pPr>
            <w:r>
              <w:rPr>
                <w:rFonts w:ascii="Arial" w:cs="Arial" w:eastAsia="Arial" w:hAnsi="Arial"/>
                <w:sz w:val="17"/>
                <w:szCs w:val="17"/>
                <w:b w:val="1"/>
                <w:bCs w:val="1"/>
                <w:color w:val="auto"/>
              </w:rPr>
              <w:t>% Change (a)</w:t>
            </w:r>
          </w:p>
        </w:tc>
        <w:tc>
          <w:tcPr>
            <w:tcW w:w="0" w:type="dxa"/>
            <w:vAlign w:val="bottom"/>
          </w:tcPr>
          <w:p>
            <w:pPr>
              <w:spacing w:after="0"/>
              <w:rPr>
                <w:sz w:val="1"/>
                <w:szCs w:val="1"/>
                <w:color w:val="auto"/>
              </w:rPr>
            </w:pPr>
          </w:p>
        </w:tc>
      </w:tr>
      <w:tr>
        <w:trPr>
          <w:trHeight w:val="231"/>
        </w:trPr>
        <w:tc>
          <w:tcPr>
            <w:tcW w:w="880" w:type="dxa"/>
            <w:vAlign w:val="bottom"/>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w w:val="94"/>
              </w:rPr>
              <w:t>(Decrease)</w:t>
            </w:r>
          </w:p>
        </w:tc>
        <w:tc>
          <w:tcPr>
            <w:tcW w:w="60" w:type="dxa"/>
            <w:vAlign w:val="bottom"/>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17,647</w:t>
            </w:r>
          </w:p>
        </w:tc>
        <w:tc>
          <w:tcPr>
            <w:tcW w:w="3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16,678</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969</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77"/>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11,396</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11,756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(360)</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77"/>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3,849</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3,437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412</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77"/>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3,294</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3,063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231</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77"/>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2,939</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2,928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77"/>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2,693</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177</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77"/>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2,109</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(122)</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77"/>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252</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77"/>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259</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147</w:t>
            </w:r>
          </w:p>
        </w:tc>
        <w:tc>
          <w:tcPr>
            <w:tcW w:w="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80"/>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9,919</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38"/>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54,356</w:t>
            </w:r>
          </w:p>
        </w:tc>
        <w:tc>
          <w:tcPr>
            <w:tcW w:w="3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51,967</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2,389</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-3172460</wp:posOffset>
                </wp:positionH>
                <wp:positionV relativeFrom="paragraph">
                  <wp:posOffset>-1598295</wp:posOffset>
                </wp:positionV>
                <wp:extent cx="6264910" cy="17589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4910" cy="175895"/>
                        </a:xfrm>
                        <a:prstGeom prst="rect">
                          <a:avLst/>
                        </a:prstGeom>
                        <a:solidFill>
                          <a:srgbClr val="E6E6E6"/>
                        </a:solidFill>
                      </wps:spPr>
                      <wps:bodyPr/>
                    </wps:wsp>
                  </a:graphicData>
                </a:graphic>
              </wp:anchor>
            </w:drawing>
          </mc:Choice>
          <mc:Fallback>
            <w:pict>
              <v:rect id="Shape 32" o:spid="_x0000_s1057" style="position:absolute;margin-left:-249.7999pt;margin-top:-125.8499pt;width:493.3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-3172460</wp:posOffset>
                </wp:positionH>
                <wp:positionV relativeFrom="paragraph">
                  <wp:posOffset>-1247140</wp:posOffset>
                </wp:positionV>
                <wp:extent cx="6264910" cy="17589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4910" cy="175895"/>
                        </a:xfrm>
                        <a:prstGeom prst="rect">
                          <a:avLst/>
                        </a:prstGeom>
                        <a:solidFill>
                          <a:srgbClr val="E6E6E6"/>
                        </a:solidFill>
                      </wps:spPr>
                      <wps:bodyPr/>
                    </wps:wsp>
                  </a:graphicData>
                </a:graphic>
              </wp:anchor>
            </w:drawing>
          </mc:Choice>
          <mc:Fallback>
            <w:pict>
              <v:rect id="Shape 33" o:spid="_x0000_s1058" style="position:absolute;margin-left:-249.7999pt;margin-top:-98.1999pt;width:493.3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-3172460</wp:posOffset>
                </wp:positionH>
                <wp:positionV relativeFrom="paragraph">
                  <wp:posOffset>-895985</wp:posOffset>
                </wp:positionV>
                <wp:extent cx="6264910" cy="17589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4910" cy="175895"/>
                        </a:xfrm>
                        <a:prstGeom prst="rect">
                          <a:avLst/>
                        </a:prstGeom>
                        <a:solidFill>
                          <a:srgbClr val="E6E6E6"/>
                        </a:solidFill>
                      </wps:spPr>
                      <wps:bodyPr/>
                    </wps:wsp>
                  </a:graphicData>
                </a:graphic>
              </wp:anchor>
            </w:drawing>
          </mc:Choice>
          <mc:Fallback>
            <w:pict>
              <v:rect id="Shape 34" o:spid="_x0000_s1059" style="position:absolute;margin-left:-249.7999pt;margin-top:-70.5499pt;width:493.3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-3172460</wp:posOffset>
                </wp:positionH>
                <wp:positionV relativeFrom="paragraph">
                  <wp:posOffset>-544830</wp:posOffset>
                </wp:positionV>
                <wp:extent cx="6264910" cy="17589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4910" cy="175895"/>
                        </a:xfrm>
                        <a:prstGeom prst="rect">
                          <a:avLst/>
                        </a:prstGeom>
                        <a:solidFill>
                          <a:srgbClr val="E6E6E6"/>
                        </a:solidFill>
                      </wps:spPr>
                      <wps:bodyPr/>
                    </wps:wsp>
                  </a:graphicData>
                </a:graphic>
              </wp:anchor>
            </w:drawing>
          </mc:Choice>
          <mc:Fallback>
            <w:pict>
              <v:rect id="Shape 35" o:spid="_x0000_s1060" style="position:absolute;margin-left:-249.7999pt;margin-top:-42.8999pt;width:493.3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drawing>
          <wp:anchor simplePos="0" relativeHeight="251657728" behindDoc="1" locked="0" layoutInCell="0" allowOverlap="1">
            <wp:simplePos x="0" y="0"/>
            <wp:positionH relativeFrom="column">
              <wp:posOffset>-3172460</wp:posOffset>
            </wp:positionH>
            <wp:positionV relativeFrom="paragraph">
              <wp:posOffset>-1962150</wp:posOffset>
            </wp:positionV>
            <wp:extent cx="627824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6278245" cy="188595"/>
                    </a:xfrm>
                    <a:prstGeom prst="rect">
                      <a:avLst/>
                    </a:prstGeom>
                    <a:noFill/>
                  </pic:spPr>
                </pic:pic>
              </a:graphicData>
            </a:graphic>
          </wp:anchor>
        </w:drawing>
        <w:drawing>
          <wp:anchor simplePos="0" relativeHeight="251657728" behindDoc="1" locked="0" layoutInCell="0" allowOverlap="1">
            <wp:simplePos x="0" y="0"/>
            <wp:positionH relativeFrom="column">
              <wp:posOffset>-3172460</wp:posOffset>
            </wp:positionH>
            <wp:positionV relativeFrom="paragraph">
              <wp:posOffset>-206375</wp:posOffset>
            </wp:positionV>
            <wp:extent cx="6265545" cy="2133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6265545" cy="213360"/>
                    </a:xfrm>
                    <a:prstGeom prst="rect">
                      <a:avLst/>
                    </a:prstGeom>
                    <a:noFill/>
                  </pic:spPr>
                </pic:pic>
              </a:graphicData>
            </a:graphic>
          </wp:anchor>
        </w:drawing>
      </w:r>
    </w:p>
    <w:p>
      <w:pPr>
        <w:spacing w:after="0" w:line="378" w:lineRule="exact"/>
        <w:rPr>
          <w:sz w:val="20"/>
          <w:szCs w:val="20"/>
          <w:color w:val="auto"/>
        </w:rPr>
      </w:pPr>
    </w:p>
    <w:p>
      <w:pPr>
        <w:sectPr>
          <w:pgSz w:w="11880" w:h="15480" w:orient="portrait"/>
          <w:cols w:equalWidth="0" w:num="2">
            <w:col w:w="4660" w:space="340"/>
            <w:col w:w="4900"/>
          </w:cols>
          <w:pgMar w:left="960" w:top="581" w:right="1020" w:bottom="33" w:gutter="0" w:footer="0" w:header="0"/>
          <w:type w:val="continuous"/>
        </w:sectPr>
      </w:pPr>
    </w:p>
    <w:p>
      <w:pPr>
        <w:spacing w:after="0" w:line="80" w:lineRule="exact"/>
        <w:rPr>
          <w:sz w:val="20"/>
          <w:szCs w:val="20"/>
          <w:color w:val="auto"/>
        </w:rPr>
      </w:pPr>
    </w:p>
    <w:p>
      <w:pPr>
        <w:ind w:right="260"/>
        <w:spacing w:after="0" w:line="274" w:lineRule="auto"/>
        <w:rPr>
          <w:sz w:val="20"/>
          <w:szCs w:val="20"/>
          <w:color w:val="auto"/>
        </w:rPr>
      </w:pPr>
      <w:r>
        <w:rPr>
          <w:rFonts w:ascii="Arial" w:cs="Arial" w:eastAsia="Arial" w:hAnsi="Arial"/>
          <w:sz w:val="19"/>
          <w:szCs w:val="19"/>
          <w:color w:val="auto"/>
        </w:rPr>
        <w:t>Salaries and related costs increased $969 million, or 5.8%, in 2025 as compared to 2024, primarily due to increased pay as a result of the increase in flight activity, an increase in headcount of approximately 5.5%, and an increase in pay rates and benefits for eligible employee groups.</w:t>
      </w:r>
    </w:p>
    <w:p>
      <w:pPr>
        <w:spacing w:after="0" w:line="125"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Aircraft fuel expense decreased $360 million, or 3.1%, in 2025 as compared to 2024, primarily due to a lower average price per gallon of fuel, partially offset by increased consumption from increased flight activity.</w:t>
      </w:r>
    </w:p>
    <w:p>
      <w:pPr>
        <w:spacing w:after="0" w:line="105" w:lineRule="exact"/>
        <w:rPr>
          <w:sz w:val="20"/>
          <w:szCs w:val="20"/>
          <w:color w:val="auto"/>
        </w:rPr>
      </w:pPr>
    </w:p>
    <w:p>
      <w:pPr>
        <w:jc w:val="both"/>
        <w:ind w:right="140"/>
        <w:spacing w:after="0" w:line="274" w:lineRule="auto"/>
        <w:rPr>
          <w:sz w:val="20"/>
          <w:szCs w:val="20"/>
          <w:color w:val="auto"/>
        </w:rPr>
      </w:pPr>
      <w:r>
        <w:rPr>
          <w:rFonts w:ascii="Arial" w:cs="Arial" w:eastAsia="Arial" w:hAnsi="Arial"/>
          <w:sz w:val="19"/>
          <w:szCs w:val="19"/>
          <w:color w:val="auto"/>
        </w:rPr>
        <w:t>Landing fees and other rent increased $412 million, or 12.0%, in 2025 as compared to 2024, primarily due to rate increases at various airports, terminal expansions and other increases in the number of airport gates, and higher landed weight volume due to increased flight activity.</w:t>
      </w:r>
    </w:p>
    <w:p>
      <w:pPr>
        <w:spacing w:after="0" w:line="125" w:lineRule="exact"/>
        <w:rPr>
          <w:sz w:val="20"/>
          <w:szCs w:val="20"/>
          <w:color w:val="auto"/>
        </w:rPr>
      </w:pPr>
    </w:p>
    <w:p>
      <w:pPr>
        <w:ind w:right="220"/>
        <w:spacing w:after="0" w:line="274" w:lineRule="auto"/>
        <w:rPr>
          <w:sz w:val="20"/>
          <w:szCs w:val="20"/>
          <w:color w:val="auto"/>
        </w:rPr>
      </w:pPr>
      <w:r>
        <w:rPr>
          <w:rFonts w:ascii="Arial" w:cs="Arial" w:eastAsia="Arial" w:hAnsi="Arial"/>
          <w:sz w:val="19"/>
          <w:szCs w:val="19"/>
          <w:color w:val="auto"/>
        </w:rPr>
        <w:t>Aircraft maintenance materials and outside repairs costs increased $231 million, or 7.5%, in 2025 as compared to 2024, primarily due to higher volumes of engine overhauls and component part repairs as well as increased cost of materials due to increased flight activity.</w:t>
      </w:r>
    </w:p>
    <w:p>
      <w:pPr>
        <w:spacing w:after="0" w:line="125" w:lineRule="exact"/>
        <w:rPr>
          <w:sz w:val="20"/>
          <w:szCs w:val="20"/>
          <w:color w:val="auto"/>
        </w:rPr>
      </w:pPr>
    </w:p>
    <w:p>
      <w:pPr>
        <w:ind w:right="880"/>
        <w:spacing w:after="0" w:line="294" w:lineRule="auto"/>
        <w:rPr>
          <w:sz w:val="20"/>
          <w:szCs w:val="20"/>
          <w:color w:val="auto"/>
        </w:rPr>
      </w:pPr>
      <w:r>
        <w:rPr>
          <w:rFonts w:ascii="Arial" w:cs="Arial" w:eastAsia="Arial" w:hAnsi="Arial"/>
          <w:sz w:val="19"/>
          <w:szCs w:val="19"/>
          <w:color w:val="auto"/>
        </w:rPr>
        <w:t>Regional capacity purchase costs increased $177 million, or 7.0%, in 2025 as compared to 2024, primarily due to an approximately 9% increase in regional flight activity as well as increases in contractual rates.</w:t>
      </w:r>
    </w:p>
    <w:p>
      <w:pPr>
        <w:spacing w:after="0" w:line="105" w:lineRule="exact"/>
        <w:rPr>
          <w:sz w:val="20"/>
          <w:szCs w:val="20"/>
          <w:color w:val="auto"/>
        </w:rPr>
      </w:pPr>
    </w:p>
    <w:p>
      <w:pPr>
        <w:ind w:right="180"/>
        <w:spacing w:after="0" w:line="323" w:lineRule="auto"/>
        <w:rPr>
          <w:sz w:val="20"/>
          <w:szCs w:val="20"/>
          <w:color w:val="auto"/>
        </w:rPr>
      </w:pPr>
      <w:r>
        <w:rPr>
          <w:rFonts w:ascii="Arial" w:cs="Arial" w:eastAsia="Arial" w:hAnsi="Arial"/>
          <w:sz w:val="18"/>
          <w:szCs w:val="18"/>
          <w:color w:val="auto"/>
        </w:rPr>
        <w:t>Distribution expenses decreased $122 million, or 5.5%, in 2025 as compared to 2024, primarily due to a change in the mix of sales channels as well as the refinement of assumptions used in determining our credit card fees expense.</w:t>
      </w:r>
    </w:p>
    <w:p>
      <w:pPr>
        <w:spacing w:after="0" w:line="83" w:lineRule="exact"/>
        <w:rPr>
          <w:sz w:val="20"/>
          <w:szCs w:val="20"/>
          <w:color w:val="auto"/>
        </w:rPr>
      </w:pPr>
    </w:p>
    <w:p>
      <w:pPr>
        <w:ind w:right="100"/>
        <w:spacing w:after="0" w:line="294" w:lineRule="auto"/>
        <w:rPr>
          <w:sz w:val="20"/>
          <w:szCs w:val="20"/>
          <w:color w:val="auto"/>
        </w:rPr>
      </w:pPr>
      <w:r>
        <w:rPr>
          <w:rFonts w:ascii="Arial" w:cs="Arial" w:eastAsia="Arial" w:hAnsi="Arial"/>
          <w:sz w:val="19"/>
          <w:szCs w:val="19"/>
          <w:color w:val="auto"/>
        </w:rPr>
        <w:t>Aircraft rent increased $59 million, or 30.4%, in 2025 as compared to 2024, primarily due to an increase in new aircraft leases compared to the prior year.</w:t>
      </w:r>
    </w:p>
    <w:p>
      <w:pPr>
        <w:spacing w:after="0" w:line="27" w:lineRule="exact"/>
        <w:rPr>
          <w:sz w:val="20"/>
          <w:szCs w:val="20"/>
          <w:color w:val="auto"/>
        </w:rPr>
      </w:pPr>
    </w:p>
    <w:p>
      <w:pPr>
        <w:ind w:right="140"/>
        <w:spacing w:after="0" w:line="294" w:lineRule="auto"/>
        <w:rPr>
          <w:sz w:val="20"/>
          <w:szCs w:val="20"/>
          <w:color w:val="auto"/>
        </w:rPr>
      </w:pPr>
      <w:r>
        <w:rPr>
          <w:rFonts w:ascii="Arial" w:cs="Arial" w:eastAsia="Arial" w:hAnsi="Arial"/>
          <w:sz w:val="19"/>
          <w:szCs w:val="19"/>
          <w:color w:val="auto"/>
        </w:rPr>
        <w:t>For details on the Company's Special Charges, see Note 13 to the financial statements included in Part II, Item 8 of this report for additional information.</w:t>
      </w:r>
    </w:p>
    <w:p>
      <w:pPr>
        <w:spacing w:after="0" w:line="105" w:lineRule="exact"/>
        <w:rPr>
          <w:sz w:val="20"/>
          <w:szCs w:val="20"/>
          <w:color w:val="auto"/>
        </w:rPr>
      </w:pPr>
    </w:p>
    <w:p>
      <w:pPr>
        <w:ind w:right="120"/>
        <w:spacing w:after="0" w:line="296" w:lineRule="auto"/>
        <w:rPr>
          <w:sz w:val="20"/>
          <w:szCs w:val="20"/>
          <w:color w:val="auto"/>
        </w:rPr>
      </w:pPr>
      <w:r>
        <w:rPr>
          <w:rFonts w:ascii="Arial" w:cs="Arial" w:eastAsia="Arial" w:hAnsi="Arial"/>
          <w:sz w:val="18"/>
          <w:szCs w:val="18"/>
          <w:color w:val="auto"/>
        </w:rPr>
        <w:t>Other operating expenses increased $866 million, or 9.6%, in 2025 as compared to 2024, primarily due to an increase in flight activity and on-board passengers, including increased costs for on-board catering, ground handling and passenger services, crew-related expenses, as well as expenditures related to information technology projects and services.</w:t>
      </w:r>
    </w:p>
    <w:p>
      <w:pPr>
        <w:sectPr>
          <w:pgSz w:w="11880" w:h="15480" w:orient="portrait"/>
          <w:cols w:equalWidth="0" w:num="1">
            <w:col w:w="9900"/>
          </w:cols>
          <w:pgMar w:left="960" w:top="581" w:right="1020" w:bottom="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9900"/>
          </w:cols>
          <w:pgMar w:left="960" w:top="581" w:right="1020" w:bottom="33"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 xml:space="preserve">Nonoperating Income (Expense). </w:t>
      </w:r>
      <w:r>
        <w:rPr>
          <w:rFonts w:ascii="Arial" w:cs="Arial" w:eastAsia="Arial" w:hAnsi="Arial"/>
          <w:sz w:val="18"/>
          <w:szCs w:val="18"/>
          <w:color w:val="auto"/>
        </w:rPr>
        <w:t>The following table illustrates the year-over-year dollar and percentage changes in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Company's nonoperating income (expense) for the years ended December 31 (in millions, except percentage changes):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7"/>
                <w:szCs w:val="17"/>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7"/>
                <w:szCs w:val="17"/>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73"/>
              <w:spacing w:after="0"/>
              <w:rPr>
                <w:sz w:val="20"/>
                <w:szCs w:val="20"/>
                <w:color w:val="auto"/>
              </w:rPr>
            </w:pPr>
            <w:r>
              <w:rPr>
                <w:rFonts w:ascii="Arial" w:cs="Arial" w:eastAsia="Arial" w:hAnsi="Arial"/>
                <w:sz w:val="17"/>
                <w:szCs w:val="17"/>
                <w:b w:val="1"/>
                <w:bCs w:val="1"/>
                <w:color w:val="auto"/>
              </w:rPr>
              <w:t>Increase</w:t>
            </w:r>
          </w:p>
        </w:tc>
        <w:tc>
          <w:tcPr>
            <w:tcW w:w="120" w:type="dxa"/>
            <w:vAlign w:val="bottom"/>
          </w:tcPr>
          <w:p>
            <w:pPr>
              <w:spacing w:after="0"/>
              <w:rPr>
                <w:sz w:val="16"/>
                <w:szCs w:val="16"/>
                <w:color w:val="auto"/>
              </w:rPr>
            </w:pPr>
          </w:p>
        </w:tc>
        <w:tc>
          <w:tcPr>
            <w:tcW w:w="1320" w:type="dxa"/>
            <w:vAlign w:val="bottom"/>
            <w:vMerge w:val="restart"/>
          </w:tcPr>
          <w:p>
            <w:pPr>
              <w:jc w:val="right"/>
              <w:ind w:right="173"/>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31"/>
        </w:trPr>
        <w:tc>
          <w:tcPr>
            <w:tcW w:w="432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w w:val="94"/>
              </w:rPr>
              <w:t>(Decrease)</w:t>
            </w:r>
          </w:p>
        </w:tc>
        <w:tc>
          <w:tcPr>
            <w:tcW w:w="120" w:type="dxa"/>
            <w:vAlign w:val="bottom"/>
            <w:tcBorders>
              <w:bottom w:val="single" w:sz="8" w:color="E6E6E6"/>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320" w:type="dxa"/>
            <w:vAlign w:val="bottom"/>
            <w:shd w:val="clear" w:color="auto" w:fill="E6E6E6"/>
          </w:tcPr>
          <w:p>
            <w:pPr>
              <w:ind w:left="60"/>
              <w:spacing w:after="0"/>
              <w:rPr>
                <w:sz w:val="20"/>
                <w:szCs w:val="20"/>
                <w:color w:val="auto"/>
              </w:rPr>
            </w:pPr>
            <w:r>
              <w:rPr>
                <w:rFonts w:ascii="Arial" w:cs="Arial" w:eastAsia="Arial" w:hAnsi="Arial"/>
                <w:sz w:val="17"/>
                <w:szCs w:val="17"/>
                <w:color w:val="auto"/>
              </w:rPr>
              <w:t>Interest expense</w:t>
            </w:r>
          </w:p>
        </w:tc>
        <w:tc>
          <w:tcPr>
            <w:tcW w:w="300" w:type="dxa"/>
            <w:vAlign w:val="bottom"/>
            <w:shd w:val="clear" w:color="auto" w:fill="E6E6E6"/>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(1,373)</w:t>
            </w:r>
          </w:p>
        </w:tc>
        <w:tc>
          <w:tcPr>
            <w:tcW w:w="420" w:type="dxa"/>
            <w:vAlign w:val="bottom"/>
            <w:gridSpan w:val="2"/>
            <w:shd w:val="clear" w:color="auto" w:fill="E6E6E6"/>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(1,629)</w:t>
            </w:r>
          </w:p>
        </w:tc>
        <w:tc>
          <w:tcPr>
            <w:tcW w:w="320" w:type="dxa"/>
            <w:vAlign w:val="bottom"/>
            <w:gridSpan w:val="2"/>
            <w:shd w:val="clear" w:color="auto" w:fill="E6E6E6"/>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(256)</w:t>
            </w:r>
          </w:p>
        </w:tc>
        <w:tc>
          <w:tcPr>
            <w:tcW w:w="144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69"/>
        </w:trPr>
        <w:tc>
          <w:tcPr>
            <w:tcW w:w="4320" w:type="dxa"/>
            <w:vAlign w:val="bottom"/>
          </w:tcPr>
          <w:p>
            <w:pPr>
              <w:ind w:left="60"/>
              <w:spacing w:after="0"/>
              <w:rPr>
                <w:sz w:val="20"/>
                <w:szCs w:val="20"/>
                <w:color w:val="auto"/>
              </w:rPr>
            </w:pPr>
            <w:r>
              <w:rPr>
                <w:rFonts w:ascii="Arial" w:cs="Arial" w:eastAsia="Arial" w:hAnsi="Arial"/>
                <w:sz w:val="17"/>
                <w:szCs w:val="17"/>
                <w:color w:val="auto"/>
              </w:rPr>
              <w:t>Interest income</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(115)</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98"/>
        </w:trPr>
        <w:tc>
          <w:tcPr>
            <w:tcW w:w="4320" w:type="dxa"/>
            <w:vAlign w:val="bottom"/>
            <w:shd w:val="clear" w:color="auto" w:fill="E6E6E6"/>
          </w:tcPr>
          <w:p>
            <w:pPr>
              <w:ind w:left="60"/>
              <w:spacing w:after="0"/>
              <w:rPr>
                <w:sz w:val="20"/>
                <w:szCs w:val="20"/>
                <w:color w:val="auto"/>
              </w:rPr>
            </w:pPr>
            <w:r>
              <w:rPr>
                <w:rFonts w:ascii="Arial" w:cs="Arial" w:eastAsia="Arial" w:hAnsi="Arial"/>
                <w:sz w:val="17"/>
                <w:szCs w:val="17"/>
                <w:color w:val="auto"/>
              </w:rPr>
              <w:t>Interest capitalized</w:t>
            </w: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206</w:t>
            </w:r>
          </w:p>
        </w:tc>
        <w:tc>
          <w:tcPr>
            <w:tcW w:w="12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227</w:t>
            </w:r>
          </w:p>
        </w:tc>
        <w:tc>
          <w:tcPr>
            <w:tcW w:w="1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(21)</w:t>
            </w:r>
          </w:p>
        </w:tc>
        <w:tc>
          <w:tcPr>
            <w:tcW w:w="144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84"/>
        </w:trPr>
        <w:tc>
          <w:tcPr>
            <w:tcW w:w="4320" w:type="dxa"/>
            <w:vAlign w:val="bottom"/>
          </w:tcPr>
          <w:p>
            <w:pPr>
              <w:ind w:left="60"/>
              <w:spacing w:after="0"/>
              <w:rPr>
                <w:sz w:val="20"/>
                <w:szCs w:val="20"/>
                <w:color w:val="auto"/>
              </w:rPr>
            </w:pPr>
            <w:r>
              <w:rPr>
                <w:rFonts w:ascii="Arial" w:cs="Arial" w:eastAsia="Arial" w:hAnsi="Arial"/>
                <w:sz w:val="17"/>
                <w:szCs w:val="17"/>
                <w:color w:val="auto"/>
              </w:rPr>
              <w:t>Unrealized gains (losses) on investments, net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203</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88"/>
        </w:trPr>
        <w:tc>
          <w:tcPr>
            <w:tcW w:w="4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Miscellaneous, net</w:t>
            </w:r>
          </w:p>
        </w:tc>
        <w:tc>
          <w:tcPr>
            <w:tcW w:w="30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144</w:t>
            </w:r>
          </w:p>
        </w:tc>
        <w:tc>
          <w:tcPr>
            <w:tcW w:w="12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(53)</w:t>
            </w:r>
          </w:p>
        </w:tc>
        <w:tc>
          <w:tcPr>
            <w:tcW w:w="12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197</w:t>
            </w:r>
          </w:p>
        </w:tc>
        <w:tc>
          <w:tcPr>
            <w:tcW w:w="120" w:type="dxa"/>
            <w:vAlign w:val="bottom"/>
            <w:tcBorders>
              <w:bottom w:val="single" w:sz="8" w:color="E6E6E6"/>
            </w:tcBorders>
            <w:shd w:val="clear" w:color="auto" w:fill="E6E6E6"/>
          </w:tcPr>
          <w:p>
            <w:pPr>
              <w:spacing w:after="0"/>
              <w:rPr>
                <w:sz w:val="24"/>
                <w:szCs w:val="24"/>
                <w:color w:val="auto"/>
              </w:rPr>
            </w:pPr>
          </w:p>
        </w:tc>
        <w:tc>
          <w:tcPr>
            <w:tcW w:w="1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52"/>
        </w:trPr>
        <w:tc>
          <w:tcPr>
            <w:tcW w:w="4320" w:type="dxa"/>
            <w:vAlign w:val="bottom"/>
          </w:tcPr>
          <w:p>
            <w:pPr>
              <w:ind w:left="280"/>
              <w:spacing w:after="0"/>
              <w:rPr>
                <w:sz w:val="20"/>
                <w:szCs w:val="20"/>
                <w:color w:val="auto"/>
              </w:rPr>
            </w:pPr>
            <w:r>
              <w:rPr>
                <w:rFonts w:ascii="Arial" w:cs="Arial" w:eastAsia="Arial" w:hAnsi="Arial"/>
                <w:sz w:val="17"/>
                <w:szCs w:val="17"/>
                <w:color w:val="auto"/>
              </w:rPr>
              <w:t>Total nonoperating expense, net</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(408)</w:t>
            </w: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(928)</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(520)</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-1130300</wp:posOffset>
            </wp:positionV>
            <wp:extent cx="361124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extLst>
                    </a:blip>
                    <a:srcRect/>
                    <a:stretch>
                      <a:fillRect/>
                    </a:stretch>
                  </pic:blipFill>
                  <pic:spPr bwMode="auto">
                    <a:xfrm>
                      <a:off x="0" y="0"/>
                      <a:ext cx="3611245" cy="2540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-215265</wp:posOffset>
            </wp:positionV>
            <wp:extent cx="178117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extLst>
                    </a:blip>
                    <a:srcRect/>
                    <a:stretch>
                      <a:fillRect/>
                    </a:stretch>
                  </pic:blipFill>
                  <pic:spPr bwMode="auto">
                    <a:xfrm>
                      <a:off x="0" y="0"/>
                      <a:ext cx="1781175" cy="25400"/>
                    </a:xfrm>
                    <a:prstGeom prst="rect">
                      <a:avLst/>
                    </a:prstGeom>
                    <a:noFill/>
                  </pic:spPr>
                </pic:pic>
              </a:graphicData>
            </a:graphic>
          </wp:anchor>
        </w:drawing>
      </w:r>
    </w:p>
    <w:p>
      <w:pPr>
        <w:spacing w:after="0" w:line="162" w:lineRule="exact"/>
        <w:rPr>
          <w:sz w:val="20"/>
          <w:szCs w:val="20"/>
          <w:color w:val="auto"/>
        </w:rPr>
      </w:pPr>
    </w:p>
    <w:p>
      <w:pPr>
        <w:ind w:right="420"/>
        <w:spacing w:after="0" w:line="323" w:lineRule="auto"/>
        <w:rPr>
          <w:sz w:val="20"/>
          <w:szCs w:val="20"/>
          <w:color w:val="auto"/>
        </w:rPr>
      </w:pPr>
      <w:r>
        <w:rPr>
          <w:rFonts w:ascii="Arial" w:cs="Arial" w:eastAsia="Arial" w:hAnsi="Arial"/>
          <w:sz w:val="18"/>
          <w:szCs w:val="18"/>
          <w:color w:val="auto"/>
        </w:rPr>
        <w:t>Interest expense decreased $256 million, or 15.7%, in 2025 as compared to 2024, primarily due to lower debt balances as a result of various debt prepayments and scheduled amortization and a reduction in the average cost of debt.</w:t>
      </w:r>
    </w:p>
    <w:p>
      <w:pPr>
        <w:spacing w:after="0" w:line="83"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Interest income decreased $115 million, or 15.9%, in 2025 as compared to 2024, primarily due to lower interest rates and lower levels of cash and short-term investments. See Note 9 to the financial statements included in Part II, Item 8 of this report for additional information.</w:t>
      </w:r>
    </w:p>
    <w:p>
      <w:pPr>
        <w:spacing w:after="0" w:line="125" w:lineRule="exact"/>
        <w:rPr>
          <w:sz w:val="20"/>
          <w:szCs w:val="20"/>
          <w:color w:val="auto"/>
        </w:rPr>
      </w:pPr>
    </w:p>
    <w:p>
      <w:pPr>
        <w:jc w:val="both"/>
        <w:ind w:right="220"/>
        <w:spacing w:after="0" w:line="321" w:lineRule="auto"/>
        <w:rPr>
          <w:sz w:val="20"/>
          <w:szCs w:val="20"/>
          <w:color w:val="auto"/>
        </w:rPr>
      </w:pPr>
      <w:r>
        <w:rPr>
          <w:rFonts w:ascii="Arial" w:cs="Arial" w:eastAsia="Arial" w:hAnsi="Arial"/>
          <w:sz w:val="17"/>
          <w:szCs w:val="17"/>
          <w:color w:val="auto"/>
        </w:rPr>
        <w:t>Unrealized gains (losses) on investments, net was $4 million in unrealized gains, net in 2025 as compared to $199 million in unrealized losses, net in 2024, primarily due to the change in the fair value of the Company's investments in equity securities. See Notes 9 and 13 to the financial statements included in Part II, Item 8 of this report for additional information.</w:t>
      </w:r>
    </w:p>
    <w:p>
      <w:pPr>
        <w:spacing w:after="0" w:line="89" w:lineRule="exact"/>
        <w:rPr>
          <w:sz w:val="20"/>
          <w:szCs w:val="20"/>
          <w:color w:val="auto"/>
        </w:rPr>
      </w:pPr>
    </w:p>
    <w:p>
      <w:pPr>
        <w:ind w:right="220"/>
        <w:spacing w:after="0" w:line="283" w:lineRule="auto"/>
        <w:rPr>
          <w:sz w:val="20"/>
          <w:szCs w:val="20"/>
          <w:color w:val="auto"/>
        </w:rPr>
      </w:pPr>
      <w:r>
        <w:rPr>
          <w:rFonts w:ascii="Arial" w:cs="Arial" w:eastAsia="Arial" w:hAnsi="Arial"/>
          <w:sz w:val="18"/>
          <w:szCs w:val="18"/>
          <w:color w:val="auto"/>
        </w:rPr>
        <w:t>Miscellaneous, net changed by $197 million in 2025 as compared to 2024, primarily due to $128 million of debt extinguishment and modification fees in the year-ago period as compared to $20 million in 2025, foreign exchange gains recorded in the current period as compared to losses in the year-ago-period and an increase in the benefit from the Company's net periodic benefit cost of its pensions and postretirement benefit plans. See Notes 10 and 13 to the financial statements included in Part II, Item 8 of this report for additional information on the debt prepayments and refinancing.</w:t>
      </w:r>
    </w:p>
    <w:p>
      <w:pPr>
        <w:spacing w:after="0" w:line="114" w:lineRule="exact"/>
        <w:rPr>
          <w:sz w:val="20"/>
          <w:szCs w:val="20"/>
          <w:color w:val="auto"/>
        </w:rPr>
      </w:pPr>
    </w:p>
    <w:p>
      <w:pPr>
        <w:ind w:right="80"/>
        <w:spacing w:after="0" w:line="299" w:lineRule="auto"/>
        <w:rPr>
          <w:sz w:val="20"/>
          <w:szCs w:val="20"/>
          <w:color w:val="auto"/>
        </w:rPr>
      </w:pPr>
      <w:r>
        <w:rPr>
          <w:rFonts w:ascii="Arial" w:cs="Arial" w:eastAsia="Arial" w:hAnsi="Arial"/>
          <w:sz w:val="19"/>
          <w:szCs w:val="19"/>
          <w:b w:val="1"/>
          <w:bCs w:val="1"/>
          <w:i w:val="1"/>
          <w:iCs w:val="1"/>
          <w:color w:val="auto"/>
        </w:rPr>
        <w:t xml:space="preserve">Income Taxes. </w:t>
      </w:r>
      <w:r>
        <w:rPr>
          <w:rFonts w:ascii="Arial" w:cs="Arial" w:eastAsia="Arial" w:hAnsi="Arial"/>
          <w:sz w:val="19"/>
          <w:szCs w:val="19"/>
          <w:color w:val="auto"/>
        </w:rPr>
        <w:t>See Note 7 to the financial statements included in Part II, Item 8 of this report for information related to income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taxes.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19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deploy a disciplined and balanced approach to capital allocation, including returns to stockholders through potential share repurchases. As of December 31, 2025, the Company had $12.2 billion in unrestricted cash, cash equivalents and short-term investments as compared to approximately $14.5 billion as of December 31, 2024. We believe that our existing cash, cash equivalents and short-term investments, together with cash generated from operations, will be sufficient to satisfy our anticipated liquidity needs for the next 12 months, and we expect to meet our long-term liquidity needs with our anticipated access to the capital markets and projected cash from operations. We regularly assess our anticipated working capital needs, debt and leverage levels, debt maturities, capital expenditure requirements (including in connection with our capital commitments for our firm order aircraft and any changes to such commitments), planned UAL common stock or Warrant purchases under our share repurchase program and future investments or acquisitions in order to maximize stockholder return, efficiently finance our ongoing operations and maintain flexibility for future strategic transactions. We also regularly evaluate our liquidity and capital structure to efficiently manage financial risks, liquidity access and cost of capital.</w:t>
      </w:r>
    </w:p>
    <w:p>
      <w:pPr>
        <w:spacing w:after="0" w:line="119" w:lineRule="exact"/>
        <w:rPr>
          <w:sz w:val="20"/>
          <w:szCs w:val="20"/>
          <w:color w:val="auto"/>
        </w:rPr>
      </w:pPr>
    </w:p>
    <w:p>
      <w:pPr>
        <w:jc w:val="both"/>
        <w:ind w:right="260"/>
        <w:spacing w:after="0" w:line="274" w:lineRule="auto"/>
        <w:rPr>
          <w:sz w:val="20"/>
          <w:szCs w:val="20"/>
          <w:color w:val="auto"/>
        </w:rPr>
      </w:pPr>
      <w:r>
        <w:rPr>
          <w:rFonts w:ascii="Arial" w:cs="Arial" w:eastAsia="Arial" w:hAnsi="Arial"/>
          <w:sz w:val="19"/>
          <w:szCs w:val="19"/>
          <w:color w:val="auto"/>
        </w:rPr>
        <w:t>The Company has a $3.0 billion revolving credit facility as of December 31, 2025. The revolving credit facility is secured by certain route authorities and airport slots and gates. No borrowings were outstanding under the revolving credit facility as of December 31, 2025.</w:t>
      </w:r>
    </w:p>
    <w:p>
      <w:pPr>
        <w:spacing w:after="0" w:line="125"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On July 7, 2025, Mileage Plus Holdings, LLC ("MPH"), a direct wholly owned subsidiary of United, and Mileage Plus Intellectual Property Assets, Ltd., an indirect wholly owned subsidiary of MPH ("MIPA" and, together with MPH, the "Issuers"), redeemed in full (the "Redemption") all $1.52 billion aggregate principal amount of the Issuers' outstanding MileagePlus 6.5% senior secured notes due 2027 (the "MileagePlus Notes"), which were secured by substantially all of the assets of the Issuers and their subsidiaries. As a result of the Redemption and the July 2024 voluntarily prepayment in full of the $1.80 billion outstanding principal balance of the secured term loan facility, which was secured ratably with the MileagePlus Notes, all indebtedness secured by the MileagePlus assets have been fully repaid.</w:t>
      </w:r>
    </w:p>
    <w:p>
      <w:pPr>
        <w:spacing w:after="0" w:line="126" w:lineRule="exact"/>
        <w:rPr>
          <w:sz w:val="20"/>
          <w:szCs w:val="20"/>
          <w:color w:val="auto"/>
        </w:rPr>
      </w:pPr>
    </w:p>
    <w:p>
      <w:pPr>
        <w:ind w:right="160"/>
        <w:spacing w:after="0" w:line="357" w:lineRule="auto"/>
        <w:rPr>
          <w:sz w:val="20"/>
          <w:szCs w:val="20"/>
          <w:color w:val="auto"/>
        </w:rPr>
      </w:pPr>
      <w:r>
        <w:rPr>
          <w:rFonts w:ascii="Arial" w:cs="Arial" w:eastAsia="Arial" w:hAnsi="Arial"/>
          <w:sz w:val="17"/>
          <w:szCs w:val="17"/>
          <w:color w:val="auto"/>
        </w:rPr>
        <w:t>We have a significant amount of fixed obligations, including debt, leases of aircraft, airport and other facilities, and pension funding obligations. As of December 31, 2025, the Company had approximately $31.0 billion of debt, finance lease, operating</w:t>
      </w:r>
    </w:p>
    <w:p>
      <w:pPr>
        <w:sectPr>
          <w:pgSz w:w="11880" w:h="15480" w:orient="portrait"/>
          <w:cols w:equalWidth="0" w:num="1">
            <w:col w:w="9960"/>
          </w:cols>
          <w:pgMar w:left="960" w:top="581" w:right="960" w:bottom="33"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9960"/>
          </w:cols>
          <w:pgMar w:left="960" w:top="581" w:right="960" w:bottom="33" w:gutter="0" w:footer="0" w:header="0"/>
          <w:type w:val="continuous"/>
        </w:sectPr>
      </w:pPr>
    </w:p>
    <w:bookmarkStart w:id="44" w:name="page45"/>
    <w:bookmarkEnd w:id="44"/>
    <w:p>
      <w:pPr>
        <w:ind w:right="20"/>
        <w:spacing w:after="0" w:line="273" w:lineRule="auto"/>
        <w:rPr>
          <w:sz w:val="20"/>
          <w:szCs w:val="20"/>
          <w:color w:val="auto"/>
        </w:rPr>
      </w:pPr>
      <w:r>
        <w:rPr>
          <w:rFonts w:ascii="Arial" w:cs="Arial" w:eastAsia="Arial" w:hAnsi="Arial"/>
          <w:sz w:val="18"/>
          <w:szCs w:val="18"/>
          <w:color w:val="auto"/>
        </w:rPr>
        <w:t>lease and other financial liabilities, including $5.1 billion that will become due in the next 12 months. In addition, we have substantial noncancelable commitments for capital expenditures, including the acquisition of certain new aircraft and related spare engines. Our debt agreements contain customary terms and conditions as well as various affirmative, negative and financial covenants that, among other things, limit our ability under certain circumstances to create liens on collateral, make certain dividends, stock repurchases, restricted investments and other restricted payments, and consolidate, merge, sell, or otherwise dispose of all or substantially all of our assets. Our debt agreements also contain events of default customary for similar financings including, in certain cases, cross-payment default and cross-acceleration to other material indebtedness. Certain of our debt agreements contain financial covenants that require the Company to maintain at least $2.0 billion of unrestricted liquidity at all times, which includes unrestricted cash, certain liquid and short-term investments and any undrawn amounts under any revolving credit facility, and to maintain a minimum ratio of appraised value of collateral to the outstanding debt secured by such collateral on a senior basis of 1.6 to 1.0, tested semi-annually. As of December 31, 2025, UAL and United were in compliance with their respective debt covenants under these agreements. As of December 31, 2025, a substantial portion of the Company's assets, principally aircraft and certain related assets, certain route authorities and airport slots and gates, was pledged under various loan and other agreements. See Note 10 to the financial statements included in Part II, Item 8 of this report for additional information on aircraft financing and other debt instruments.</w:t>
      </w:r>
    </w:p>
    <w:p>
      <w:pPr>
        <w:spacing w:after="0" w:line="13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On February 2, 2026, UAL issued, in a public offering, $1,000,000,000 principal amount of its 5.375% Senior Notes due 2031 (the "2031 Notes"), which are guaranteed by United. The 2031 Notes, issued at a price of 100% of their principal amount, bear interest at a rate of 5.375% per annum, payable semi-annually on March 1 and September 1 of each year, beginning September 1, 2026 and maturing on March 1, 2031. UAL, at its option, may redeem the 2031 Notes at any time prior to September 1, 2030, in whole or in part, at a redemption price equal to the greater of (1) 100% of the principal amount of the 2031 Notes to be redeemed and (2) a make-whole amount, if any, plus accrued and unpaid interest on the principal amount being redeemed to the redemption date. At any time on or after September 1, 2030, UAL may redeem the 2031 Notes, in whole or in part, at a redemption price equal to 100% of the principal amount of the 2031 Notes to be redeemed, plus accrued and unpaid interest on the principal amount being redeemed to the redemption date.</w:t>
      </w:r>
    </w:p>
    <w:p>
      <w:pPr>
        <w:spacing w:after="0" w:line="128" w:lineRule="exact"/>
        <w:rPr>
          <w:sz w:val="20"/>
          <w:szCs w:val="20"/>
          <w:color w:val="auto"/>
        </w:rPr>
      </w:pPr>
    </w:p>
    <w:p>
      <w:pPr>
        <w:jc w:val="both"/>
        <w:ind w:right="60"/>
        <w:spacing w:after="0" w:line="268" w:lineRule="auto"/>
        <w:rPr>
          <w:sz w:val="20"/>
          <w:szCs w:val="20"/>
          <w:color w:val="auto"/>
        </w:rPr>
      </w:pPr>
      <w:r>
        <w:rPr>
          <w:rFonts w:ascii="Arial" w:cs="Arial" w:eastAsia="Arial" w:hAnsi="Arial"/>
          <w:sz w:val="19"/>
          <w:szCs w:val="19"/>
          <w:color w:val="auto"/>
        </w:rPr>
        <w:t>On February 3, 2026, the Company entered into Amendment No. 4 to Term Loan Credit and Guaranty Agreement that lowered the margin on its interest rate from 2.00% to 1.75%, in the case of Term SOFR Rate (as such term is defined in the Term Loan Credit and Guaranty Agreement, dated as of April 21, 2021, as amended) loans, and from 1.00% to 0.75%, in the case of loans at other market rates.</w:t>
      </w:r>
    </w:p>
    <w:p>
      <w:pPr>
        <w:spacing w:after="0" w:line="13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On February 6, 2026, UAL issued, in a public offering, $1,000,000,000 principal amount of its 4.875% Senior Notes due 2029 (the "2029 Notes"), which are guaranteed by United. The 2029 Notes, issued at a price of 100% of their principal amount, bear interest at a rate of 4.875% per annum, payable semi-annually on March 1 and September 1 of each year, beginning September 1, 2026 and maturing on March 1, 2029. UAL, at its option, may redeem the 2029 Notes at any time prior to December 1, 2028, in whole or in part, at a redemption price equal to the greater of (1) 100% of the principal amount of the 2029 Notes to be redeemed and (2) a make-whole amount, if any, plus accrued and unpaid interest on the principal amount being redeemed to the redemption date. At any time on or after December 1, 2028, UAL may redeem the 2029 Notes, in whole or in part, at a redemption price equal to 100% of the principal amount of the 2029 Notes to be redeemed, plus accrued and unpaid interest on the principal amount being redeemed to the redemption date.</w:t>
      </w:r>
    </w:p>
    <w:p>
      <w:pPr>
        <w:spacing w:after="0" w:line="12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For 2026, the Company expects less than $8.0 billion of adjusted capital expenditures, in light of certain aircraft delivery delays. Adjusted capital expenditures is a financial measure not calculated in accordance with generally accepted accounting principles ("GAAP"). It is calculated as capital expenditures, net of flight equipment purchase deposit returns, plus property and equipment acquired through the issuance or modification of debt, finance leases and other financial liabilities and operating leases converted to finance leases. We are not providing a target for or a reconciliation to capital expenditures, net of flight equipment purchase deposit returns, the most directly comparable GAAP measure, because we are not able to predict non-cash capital expenditures without unreasonable efforts, and therefore we also are not able to determine the probable significance of such items. We believe that adjusting capital expenditures for assets acquired through the issuance or modification of debt, finance leases and other financial liabilities as well as operating to finance lease conversions is useful to investors in order to appropriately reflect the total amounts spent on capital expenditures. The Company's estimate for aircraft expenditures reflects its current assumptions regarding delayed aircraft deliveries. See Item 2. Properties in Part I of this report and Note 12 to the financial statements included in Part II, Item 8 of this report for additional information on commitments, including aircraft expenditures reflecting contractual delivery dates without adjustment for expected delays. The Company has backstop financing commitments available from certain of its aircraft manufacturers for a limited number of its future aircraft deliveries, subject to certain customary conditions.</w:t>
      </w:r>
    </w:p>
    <w:p>
      <w:pPr>
        <w:sectPr>
          <w:pgSz w:w="11880" w:h="15480" w:orient="portrait"/>
          <w:cols w:equalWidth="0" w:num="1">
            <w:col w:w="9940"/>
          </w:cols>
          <w:pgMar w:left="960" w:top="586"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9940"/>
          </w:cols>
          <w:pgMar w:left="960" w:top="586" w:right="980" w:bottom="33" w:gutter="0" w:footer="0" w:header="0"/>
          <w:type w:val="continuous"/>
        </w:sectPr>
      </w:pPr>
    </w:p>
    <w:bookmarkStart w:id="45" w:name="page46"/>
    <w:bookmarkEnd w:id="45"/>
    <w:p>
      <w:pPr>
        <w:spacing w:after="0"/>
        <w:rPr>
          <w:sz w:val="20"/>
          <w:szCs w:val="20"/>
          <w:color w:val="auto"/>
        </w:rPr>
      </w:pPr>
      <w:r>
        <w:rPr>
          <w:rFonts w:ascii="Arial" w:cs="Arial" w:eastAsia="Arial" w:hAnsi="Arial"/>
          <w:sz w:val="19"/>
          <w:szCs w:val="19"/>
          <w:b w:val="1"/>
          <w:bCs w:val="1"/>
          <w:i w:val="1"/>
          <w:iCs w:val="1"/>
          <w:u w:val="single" w:color="auto"/>
          <w:color w:val="auto"/>
        </w:rPr>
        <w:t>Sources and Uses of Cash</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our cash flow for the years ended December 31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2023</w:t>
            </w:r>
          </w:p>
        </w:tc>
      </w:tr>
      <w:tr>
        <w:trPr>
          <w:trHeight w:val="260"/>
        </w:trPr>
        <w:tc>
          <w:tcPr>
            <w:tcW w:w="6160" w:type="dxa"/>
            <w:vAlign w:val="bottom"/>
          </w:tcPr>
          <w:p>
            <w:pPr>
              <w:ind w:left="60"/>
              <w:spacing w:after="0"/>
              <w:rPr>
                <w:sz w:val="20"/>
                <w:szCs w:val="20"/>
                <w:color w:val="auto"/>
              </w:rPr>
            </w:pPr>
            <w:r>
              <w:rPr>
                <w:rFonts w:ascii="Arial" w:cs="Arial" w:eastAsia="Arial" w:hAnsi="Arial"/>
                <w:sz w:val="19"/>
                <w:szCs w:val="19"/>
                <w:color w:val="auto"/>
              </w:rPr>
              <w:t>Total cash provided by (used in):</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3"/>
        </w:trPr>
        <w:tc>
          <w:tcPr>
            <w:tcW w:w="6160" w:type="dxa"/>
            <w:vAlign w:val="bottom"/>
            <w:shd w:val="clear" w:color="auto" w:fill="E6E6E6"/>
          </w:tcPr>
          <w:p>
            <w:pPr>
              <w:ind w:left="180"/>
              <w:spacing w:after="0"/>
              <w:rPr>
                <w:sz w:val="20"/>
                <w:szCs w:val="20"/>
                <w:color w:val="auto"/>
              </w:rPr>
            </w:pPr>
            <w:r>
              <w:rPr>
                <w:rFonts w:ascii="Arial" w:cs="Arial" w:eastAsia="Arial" w:hAnsi="Arial"/>
                <w:sz w:val="19"/>
                <w:szCs w:val="19"/>
                <w:color w:val="auto"/>
              </w:rPr>
              <w:t>Operating activities</w:t>
            </w:r>
          </w:p>
        </w:tc>
        <w:tc>
          <w:tcPr>
            <w:tcW w:w="280" w:type="dxa"/>
            <w:vAlign w:val="bottom"/>
            <w:shd w:val="clear" w:color="auto" w:fill="E6E6E6"/>
          </w:tcPr>
          <w:p>
            <w:pPr>
              <w:jc w:val="right"/>
              <w:ind w:right="53"/>
              <w:spacing w:after="0"/>
              <w:rPr>
                <w:sz w:val="20"/>
                <w:szCs w:val="20"/>
                <w:color w:val="auto"/>
              </w:rPr>
            </w:pPr>
            <w:r>
              <w:rPr>
                <w:rFonts w:ascii="Arial" w:cs="Arial" w:eastAsia="Arial" w:hAnsi="Arial"/>
                <w:sz w:val="17"/>
                <w:szCs w:val="17"/>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8,431</w:t>
            </w:r>
          </w:p>
        </w:tc>
        <w:tc>
          <w:tcPr>
            <w:tcW w:w="380" w:type="dxa"/>
            <w:vAlign w:val="bottom"/>
            <w:gridSpan w:val="2"/>
            <w:shd w:val="clear" w:color="auto" w:fill="E6E6E6"/>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9,445</w:t>
            </w:r>
          </w:p>
        </w:tc>
        <w:tc>
          <w:tcPr>
            <w:tcW w:w="380" w:type="dxa"/>
            <w:vAlign w:val="bottom"/>
            <w:gridSpan w:val="2"/>
            <w:shd w:val="clear" w:color="auto" w:fill="E6E6E6"/>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6,911</w:t>
            </w:r>
          </w:p>
        </w:tc>
      </w:tr>
      <w:tr>
        <w:trPr>
          <w:trHeight w:val="270"/>
        </w:trPr>
        <w:tc>
          <w:tcPr>
            <w:tcW w:w="6160" w:type="dxa"/>
            <w:vAlign w:val="bottom"/>
          </w:tcPr>
          <w:p>
            <w:pPr>
              <w:ind w:left="180"/>
              <w:spacing w:after="0"/>
              <w:rPr>
                <w:sz w:val="20"/>
                <w:szCs w:val="20"/>
                <w:color w:val="auto"/>
              </w:rPr>
            </w:pPr>
            <w:r>
              <w:rPr>
                <w:rFonts w:ascii="Arial" w:cs="Arial" w:eastAsia="Arial" w:hAnsi="Arial"/>
                <w:sz w:val="19"/>
                <w:szCs w:val="19"/>
                <w:color w:val="auto"/>
              </w:rPr>
              <w:t>Investing activities</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(2,651)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(6,106)</w:t>
            </w:r>
          </w:p>
        </w:tc>
      </w:tr>
      <w:tr>
        <w:trPr>
          <w:trHeight w:val="292"/>
        </w:trPr>
        <w:tc>
          <w:tcPr>
            <w:tcW w:w="616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9"/>
                <w:szCs w:val="19"/>
                <w:color w:val="auto"/>
              </w:rPr>
              <w:t>Financing activities</w:t>
            </w:r>
          </w:p>
        </w:tc>
        <w:tc>
          <w:tcPr>
            <w:tcW w:w="28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(4,945)</w:t>
            </w:r>
          </w:p>
        </w:tc>
        <w:tc>
          <w:tcPr>
            <w:tcW w:w="10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(4,182)</w:t>
            </w:r>
          </w:p>
        </w:tc>
        <w:tc>
          <w:tcPr>
            <w:tcW w:w="10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(1,892)</w:t>
            </w:r>
          </w:p>
        </w:tc>
      </w:tr>
      <w:tr>
        <w:trPr>
          <w:trHeight w:val="219"/>
        </w:trPr>
        <w:tc>
          <w:tcPr>
            <w:tcW w:w="6160" w:type="dxa"/>
            <w:vAlign w:val="bottom"/>
          </w:tcPr>
          <w:p>
            <w:pPr>
              <w:ind w:left="60"/>
              <w:spacing w:after="0"/>
              <w:rPr>
                <w:sz w:val="20"/>
                <w:szCs w:val="20"/>
                <w:color w:val="auto"/>
              </w:rPr>
            </w:pPr>
            <w:r>
              <w:rPr>
                <w:rFonts w:ascii="Arial" w:cs="Arial" w:eastAsia="Arial" w:hAnsi="Arial"/>
                <w:sz w:val="19"/>
                <w:szCs w:val="19"/>
                <w:color w:val="auto"/>
              </w:rPr>
              <w:t>Net increase (decrease) in cash, cash equivalents and restricted cash</w:t>
            </w:r>
          </w:p>
        </w:tc>
        <w:tc>
          <w:tcPr>
            <w:tcW w:w="28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(2,865)</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2,612</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(1,087)</w:t>
            </w:r>
          </w:p>
        </w:tc>
      </w:tr>
      <w:tr>
        <w:trPr>
          <w:trHeight w:val="20"/>
        </w:trPr>
        <w:tc>
          <w:tcPr>
            <w:tcW w:w="6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-206375</wp:posOffset>
            </wp:positionV>
            <wp:extent cx="240030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extLst>
                    </a:blip>
                    <a:srcRect/>
                    <a:stretch>
                      <a:fillRect/>
                    </a:stretch>
                  </pic:blipFill>
                  <pic:spPr bwMode="auto">
                    <a:xfrm>
                      <a:off x="0" y="0"/>
                      <a:ext cx="2400300" cy="2540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See the Statements of Consolidated Cash Flows included in Part II, Item 8 of this report for additional information.</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9"/>
          <w:szCs w:val="19"/>
          <w:b w:val="1"/>
          <w:bCs w:val="1"/>
          <w:i w:val="1"/>
          <w:iCs w:val="1"/>
          <w:color w:val="auto"/>
        </w:rPr>
        <w:t xml:space="preserve">Operating Activities. </w:t>
      </w:r>
      <w:r>
        <w:rPr>
          <w:rFonts w:ascii="Arial" w:cs="Arial" w:eastAsia="Arial" w:hAnsi="Arial"/>
          <w:sz w:val="19"/>
          <w:szCs w:val="19"/>
          <w:color w:val="auto"/>
        </w:rPr>
        <w:t>Cash flows provided by operating activities for 2025 were $1.0 billion lower than 2024 primarily due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operating income decrease period-over-period and a net change in various working capital items, most notably $0.3 billion related to pension contributions in 2025.</w:t>
      </w:r>
    </w:p>
    <w:p>
      <w:pPr>
        <w:spacing w:after="0" w:line="117" w:lineRule="exact"/>
        <w:rPr>
          <w:sz w:val="20"/>
          <w:szCs w:val="20"/>
          <w:color w:val="auto"/>
        </w:rPr>
      </w:pPr>
    </w:p>
    <w:p>
      <w:pPr>
        <w:jc w:val="both"/>
        <w:ind w:right="180"/>
        <w:spacing w:after="0" w:line="277" w:lineRule="auto"/>
        <w:rPr>
          <w:sz w:val="20"/>
          <w:szCs w:val="20"/>
          <w:color w:val="auto"/>
        </w:rPr>
      </w:pPr>
      <w:r>
        <w:rPr>
          <w:rFonts w:ascii="Arial" w:cs="Arial" w:eastAsia="Arial" w:hAnsi="Arial"/>
          <w:sz w:val="19"/>
          <w:szCs w:val="19"/>
          <w:b w:val="1"/>
          <w:bCs w:val="1"/>
          <w:i w:val="1"/>
          <w:iCs w:val="1"/>
          <w:color w:val="auto"/>
        </w:rPr>
        <w:t xml:space="preserve">Investing Activities. </w:t>
      </w:r>
      <w:r>
        <w:rPr>
          <w:rFonts w:ascii="Arial" w:cs="Arial" w:eastAsia="Arial" w:hAnsi="Arial"/>
          <w:sz w:val="19"/>
          <w:szCs w:val="19"/>
          <w:color w:val="auto"/>
        </w:rPr>
        <w:t>Cash flows used in investing activities increased $3.7 billion in 2025 as compared to the year-ago period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mainly related to approximately $3.3 billion higher net activity in purchases and sales of short-term and other investments, as well as a $0.3 billion increase in 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Financing Activities. </w:t>
      </w:r>
      <w:r>
        <w:rPr>
          <w:rFonts w:ascii="Arial" w:cs="Arial" w:eastAsia="Arial" w:hAnsi="Arial"/>
          <w:sz w:val="19"/>
          <w:szCs w:val="19"/>
          <w:color w:val="auto"/>
        </w:rPr>
        <w:t>Significant financing events in 2025 were as follows:</w:t>
      </w:r>
    </w:p>
    <w:p>
      <w:pPr>
        <w:spacing w:after="0" w:line="191" w:lineRule="exact"/>
        <w:rPr>
          <w:sz w:val="20"/>
          <w:szCs w:val="20"/>
          <w:color w:val="auto"/>
        </w:rPr>
      </w:pPr>
    </w:p>
    <w:p>
      <w:pPr>
        <w:ind w:right="60"/>
        <w:spacing w:after="0" w:line="276" w:lineRule="auto"/>
        <w:rPr>
          <w:sz w:val="20"/>
          <w:szCs w:val="20"/>
          <w:color w:val="auto"/>
        </w:rPr>
      </w:pPr>
      <w:r>
        <w:rPr>
          <w:rFonts w:ascii="Arial" w:cs="Arial" w:eastAsia="Arial" w:hAnsi="Arial"/>
          <w:sz w:val="19"/>
          <w:szCs w:val="19"/>
          <w:b w:val="1"/>
          <w:bCs w:val="1"/>
          <w:i w:val="1"/>
          <w:iCs w:val="1"/>
          <w:color w:val="auto"/>
        </w:rPr>
        <w:t>Debt, Finance Lease and Other Financial Liability Principal Payments</w:t>
      </w:r>
      <w:r>
        <w:rPr>
          <w:rFonts w:ascii="Arial" w:cs="Arial" w:eastAsia="Arial" w:hAnsi="Arial"/>
          <w:sz w:val="19"/>
          <w:szCs w:val="19"/>
          <w:color w:val="auto"/>
        </w:rPr>
        <w:t>. During 2025, the Company made payments for debt,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finance leases, and other financial liabilities of $4.8 billion, including the $1.52 billion prepayment of the outstanding principal balance of its MileagePlus senior secured notes.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Debt Issuances. </w:t>
      </w:r>
      <w:r>
        <w:rPr>
          <w:rFonts w:ascii="Arial" w:cs="Arial" w:eastAsia="Arial" w:hAnsi="Arial"/>
          <w:sz w:val="19"/>
          <w:szCs w:val="19"/>
          <w:color w:val="auto"/>
        </w:rPr>
        <w:t>In 2025, the Company raised:</w:t>
      </w:r>
    </w:p>
    <w:p>
      <w:pPr>
        <w:spacing w:after="0" w:line="192" w:lineRule="exact"/>
        <w:rPr>
          <w:sz w:val="20"/>
          <w:szCs w:val="20"/>
          <w:color w:val="auto"/>
        </w:rPr>
      </w:pPr>
    </w:p>
    <w:p>
      <w:pPr>
        <w:ind w:left="700" w:hanging="348"/>
        <w:spacing w:after="0"/>
        <w:tabs>
          <w:tab w:leader="none" w:pos="700" w:val="left"/>
        </w:tabs>
        <w:numPr>
          <w:ilvl w:val="0"/>
          <w:numId w:val="19"/>
        </w:numPr>
        <w:rPr>
          <w:rFonts w:ascii="Arial" w:cs="Arial" w:eastAsia="Arial" w:hAnsi="Arial"/>
          <w:sz w:val="19"/>
          <w:szCs w:val="19"/>
          <w:b w:val="1"/>
          <w:bCs w:val="1"/>
          <w:i w:val="1"/>
          <w:iCs w:val="1"/>
          <w:color w:val="auto"/>
          <w:strike w:val="1"/>
        </w:rPr>
      </w:pPr>
      <w:r>
        <w:rPr>
          <w:rFonts w:ascii="Arial" w:cs="Arial" w:eastAsia="Arial" w:hAnsi="Arial"/>
          <w:sz w:val="19"/>
          <w:szCs w:val="19"/>
          <w:color w:val="auto"/>
        </w:rPr>
        <w:t>$539 million through the issuance of debt for new aircraft financings</w:t>
      </w:r>
    </w:p>
    <w:p>
      <w:pPr>
        <w:spacing w:after="0" w:line="188" w:lineRule="exact"/>
        <w:rPr>
          <w:rFonts w:ascii="Arial" w:cs="Arial" w:eastAsia="Arial" w:hAnsi="Arial"/>
          <w:sz w:val="19"/>
          <w:szCs w:val="19"/>
          <w:b w:val="1"/>
          <w:bCs w:val="1"/>
          <w:i w:val="1"/>
          <w:iCs w:val="1"/>
          <w:color w:val="auto"/>
          <w:strike w:val="1"/>
        </w:rPr>
      </w:pPr>
    </w:p>
    <w:p>
      <w:pPr>
        <w:ind w:left="700" w:right="960" w:hanging="348"/>
        <w:spacing w:after="0" w:line="294"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$258 million of debt to finance the construction of a maintenance, repair and overhaul complex at Orlando International Airport.</w:t>
      </w:r>
    </w:p>
    <w:p>
      <w:pPr>
        <w:spacing w:after="0" w:line="105" w:lineRule="exact"/>
        <w:rPr>
          <w:sz w:val="20"/>
          <w:szCs w:val="20"/>
          <w:color w:val="auto"/>
        </w:rPr>
      </w:pPr>
    </w:p>
    <w:p>
      <w:pPr>
        <w:ind w:right="480"/>
        <w:spacing w:after="0" w:line="294" w:lineRule="auto"/>
        <w:rPr>
          <w:sz w:val="20"/>
          <w:szCs w:val="20"/>
          <w:color w:val="auto"/>
        </w:rPr>
      </w:pPr>
      <w:r>
        <w:rPr>
          <w:rFonts w:ascii="Arial" w:cs="Arial" w:eastAsia="Arial" w:hAnsi="Arial"/>
          <w:sz w:val="19"/>
          <w:szCs w:val="19"/>
          <w:color w:val="auto"/>
        </w:rPr>
        <w:t>See Note 10 and Note 11 to the financial statements included in Part II, Item 8 of this report for additional information on aircraft financing.</w:t>
      </w:r>
    </w:p>
    <w:p>
      <w:pPr>
        <w:spacing w:after="0" w:line="102" w:lineRule="exact"/>
        <w:rPr>
          <w:sz w:val="20"/>
          <w:szCs w:val="20"/>
          <w:color w:val="auto"/>
        </w:rPr>
      </w:pPr>
    </w:p>
    <w:p>
      <w:pPr>
        <w:spacing w:after="0" w:line="264" w:lineRule="auto"/>
        <w:rPr>
          <w:sz w:val="20"/>
          <w:szCs w:val="20"/>
          <w:color w:val="auto"/>
        </w:rPr>
      </w:pPr>
      <w:r>
        <w:rPr>
          <w:rFonts w:ascii="Arial" w:cs="Arial" w:eastAsia="Arial" w:hAnsi="Arial"/>
          <w:sz w:val="19"/>
          <w:szCs w:val="19"/>
          <w:b w:val="1"/>
          <w:bCs w:val="1"/>
          <w:i w:val="1"/>
          <w:iCs w:val="1"/>
          <w:color w:val="auto"/>
        </w:rPr>
        <w:t xml:space="preserve">Share Repurchases. </w:t>
      </w:r>
      <w:r>
        <w:rPr>
          <w:rFonts w:ascii="Arial" w:cs="Arial" w:eastAsia="Arial" w:hAnsi="Arial"/>
          <w:sz w:val="19"/>
          <w:szCs w:val="19"/>
          <w:color w:val="auto"/>
        </w:rPr>
        <w:t>On October 15, 2024, the Company's Board authorized a new share repurchase program, allowing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purchases of up to $1.5 billion in the aggregate of outstanding UAL common stock. In 2025, the Company repurchased 8.1 million shares of UAL common stock at an average price of $78.75 for a total investment of approximately $640 million as part of the share repurchase program. As of February 5, 2026, the dollar value of shares that may yet be purchased under the program is approximately $0.8 billion. See Note 3 to the financial statements included in Part II, Item 8 of this report for additional information on the share repurchase program.</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Significant financing events in 2024 were as follows:</w:t>
      </w:r>
    </w:p>
    <w:p>
      <w:pPr>
        <w:spacing w:after="0" w:line="186" w:lineRule="exact"/>
        <w:rPr>
          <w:sz w:val="20"/>
          <w:szCs w:val="20"/>
          <w:color w:val="auto"/>
        </w:rPr>
      </w:pPr>
    </w:p>
    <w:p>
      <w:pPr>
        <w:jc w:val="both"/>
        <w:ind w:right="80"/>
        <w:spacing w:after="0" w:line="269" w:lineRule="auto"/>
        <w:rPr>
          <w:sz w:val="20"/>
          <w:szCs w:val="20"/>
          <w:color w:val="auto"/>
        </w:rPr>
      </w:pPr>
      <w:r>
        <w:rPr>
          <w:rFonts w:ascii="Arial" w:cs="Arial" w:eastAsia="Arial" w:hAnsi="Arial"/>
          <w:sz w:val="19"/>
          <w:szCs w:val="19"/>
          <w:b w:val="1"/>
          <w:bCs w:val="1"/>
          <w:i w:val="1"/>
          <w:iCs w:val="1"/>
          <w:color w:val="auto"/>
        </w:rPr>
        <w:t xml:space="preserve">Debt, Finance Lease and Other Financial Liability Principal Payments. </w:t>
      </w:r>
      <w:r>
        <w:rPr>
          <w:rFonts w:ascii="Arial" w:cs="Arial" w:eastAsia="Arial" w:hAnsi="Arial"/>
          <w:sz w:val="19"/>
          <w:szCs w:val="19"/>
          <w:color w:val="auto"/>
        </w:rPr>
        <w:t>During 2024, the Company made payments for debt,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finance leases, and other financial liabilities of $10.1 billion, including the $3.9 billion prepayment of its 2021 term loan, $1.8 billion prepayment of the outstanding principal balance of its MileagePlus term loan, and a $0.4 billion prepayment of its 2024 term loan.</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Debt Issuances. </w:t>
      </w:r>
      <w:r>
        <w:rPr>
          <w:rFonts w:ascii="Arial" w:cs="Arial" w:eastAsia="Arial" w:hAnsi="Arial"/>
          <w:sz w:val="19"/>
          <w:szCs w:val="19"/>
          <w:color w:val="auto"/>
        </w:rPr>
        <w:t>In 2024, the Company raised:</w:t>
      </w:r>
    </w:p>
    <w:p>
      <w:pPr>
        <w:spacing w:after="0" w:line="114" w:lineRule="exact"/>
        <w:rPr>
          <w:sz w:val="20"/>
          <w:szCs w:val="20"/>
          <w:color w:val="auto"/>
        </w:rPr>
      </w:pPr>
    </w:p>
    <w:p>
      <w:pPr>
        <w:ind w:left="700" w:hanging="348"/>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$2.5 billion under the new term loan facility;</w:t>
      </w:r>
    </w:p>
    <w:p>
      <w:pPr>
        <w:spacing w:after="0" w:line="111" w:lineRule="exact"/>
        <w:rPr>
          <w:rFonts w:ascii="Arial" w:cs="Arial" w:eastAsia="Arial" w:hAnsi="Arial"/>
          <w:sz w:val="19"/>
          <w:szCs w:val="19"/>
          <w:color w:val="auto"/>
        </w:rPr>
      </w:pPr>
    </w:p>
    <w:p>
      <w:pPr>
        <w:ind w:left="700" w:right="400" w:hanging="348"/>
        <w:spacing w:after="0" w:line="294"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$1.4 billion through the issuance of equipment notes (the "2024 Equipment Notes") secured by 48 Boeing aircraft delivered new from the manufacturer from October 2010 to December 2023; and</w:t>
      </w:r>
    </w:p>
    <w:p>
      <w:pPr>
        <w:spacing w:after="0" w:line="27" w:lineRule="exact"/>
        <w:rPr>
          <w:rFonts w:ascii="Arial" w:cs="Arial" w:eastAsia="Arial" w:hAnsi="Arial"/>
          <w:sz w:val="19"/>
          <w:szCs w:val="19"/>
          <w:color w:val="auto"/>
        </w:rPr>
      </w:pPr>
    </w:p>
    <w:p>
      <w:pPr>
        <w:ind w:left="700" w:right="280" w:hanging="348"/>
        <w:spacing w:after="0" w:line="294"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$2.2 billion through the issuance of debt, not including the 2024 Equipment Notes, and other financial liabilities on aircraft.</w:t>
      </w:r>
    </w:p>
    <w:p>
      <w:pPr>
        <w:sectPr>
          <w:pgSz w:w="11880" w:h="15480" w:orient="portrait"/>
          <w:cols w:equalWidth="0" w:num="1">
            <w:col w:w="9920"/>
          </w:cols>
          <w:pgMar w:left="960" w:top="578"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9920"/>
          </w:cols>
          <w:pgMar w:left="960" w:top="578" w:right="1000" w:bottom="33" w:gutter="0" w:footer="0" w:header="0"/>
          <w:type w:val="continuous"/>
        </w:sectPr>
      </w:pPr>
    </w:p>
    <w:bookmarkStart w:id="46" w:name="page47"/>
    <w:bookmarkEnd w:id="46"/>
    <w:p>
      <w:pPr>
        <w:ind w:right="60"/>
        <w:spacing w:after="0" w:line="360" w:lineRule="auto"/>
        <w:rPr>
          <w:sz w:val="20"/>
          <w:szCs w:val="20"/>
          <w:color w:val="auto"/>
        </w:rPr>
      </w:pPr>
      <w:r>
        <w:rPr>
          <w:rFonts w:ascii="Arial" w:cs="Arial" w:eastAsia="Arial" w:hAnsi="Arial"/>
          <w:sz w:val="17"/>
          <w:szCs w:val="17"/>
          <w:b w:val="1"/>
          <w:bCs w:val="1"/>
          <w:i w:val="1"/>
          <w:iCs w:val="1"/>
          <w:color w:val="auto"/>
        </w:rPr>
        <w:t>Share Repurchases</w:t>
      </w:r>
      <w:r>
        <w:rPr>
          <w:rFonts w:ascii="Arial" w:cs="Arial" w:eastAsia="Arial" w:hAnsi="Arial"/>
          <w:sz w:val="17"/>
          <w:szCs w:val="17"/>
          <w:color w:val="auto"/>
        </w:rPr>
        <w:t>. During the quarter ended December 31, 2024, the Company repurchased 997,076 shares of UAL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at an average price of $81.26 for a total investment of approximately $81 million as part of the share repurchase program.</w:t>
      </w:r>
    </w:p>
    <w:p>
      <w:pPr>
        <w:spacing w:after="0" w:line="57"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For additional information regarding these Liquidity and Capital Resource matters, see Notes 10, 11 and 12 to the financial statements included in Part II, Item 8 of this report. For information regarding non-cash investing and financing activities, see the Company's statements of consolidated cash flows. For a discussion of the Company's sources and uses of cash in 2024 as compared to 2023, see "Liquidity and Capital Resources" in Part II, Item 7. Management's Discussion and Analysis of Financial Condition and Results of Operations in the 2024 Annual Report.</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Credit Ratings. </w:t>
      </w:r>
      <w:r>
        <w:rPr>
          <w:rFonts w:ascii="Arial" w:cs="Arial" w:eastAsia="Arial" w:hAnsi="Arial"/>
          <w:sz w:val="19"/>
          <w:szCs w:val="19"/>
          <w:color w:val="auto"/>
        </w:rPr>
        <w:t>As of the filing date of this report, UAL and United had the following corporate credit ratings:</w:t>
      </w:r>
    </w:p>
    <w:p>
      <w:pPr>
        <w:spacing w:after="0" w:line="333" w:lineRule="exact"/>
        <w:rPr>
          <w:sz w:val="20"/>
          <w:szCs w:val="20"/>
          <w:color w:val="auto"/>
        </w:rPr>
      </w:pPr>
    </w:p>
    <w:tbl>
      <w:tblPr>
        <w:tblLayout w:type="fixed"/>
        <w:tblInd w:w="1040" w:type="dxa"/>
        <w:tblCellMar>
          <w:top w:w="0" w:type="dxa"/>
          <w:left w:w="0" w:type="dxa"/>
          <w:bottom w:w="0" w:type="dxa"/>
          <w:right w:w="0" w:type="dxa"/>
        </w:tblCellMar>
      </w:tblPr>
      <w:tr>
        <w:trPr>
          <w:trHeight w:val="256"/>
        </w:trPr>
        <w:tc>
          <w:tcPr>
            <w:tcW w:w="1780" w:type="dxa"/>
            <w:vAlign w:val="bottom"/>
            <w:tcBorders>
              <w:bottom w:val="single" w:sz="8" w:color="E6E6E6"/>
            </w:tcBorders>
          </w:tcPr>
          <w:p>
            <w:pPr>
              <w:spacing w:after="0"/>
              <w:rPr>
                <w:sz w:val="22"/>
                <w:szCs w:val="22"/>
                <w:color w:val="auto"/>
              </w:rPr>
            </w:pPr>
          </w:p>
        </w:tc>
        <w:tc>
          <w:tcPr>
            <w:tcW w:w="1800" w:type="dxa"/>
            <w:vAlign w:val="bottom"/>
            <w:tcBorders>
              <w:bottom w:val="single" w:sz="8" w:color="auto"/>
            </w:tcBorders>
          </w:tcPr>
          <w:p>
            <w:pPr>
              <w:ind w:left="720"/>
              <w:spacing w:after="0"/>
              <w:rPr>
                <w:sz w:val="20"/>
                <w:szCs w:val="20"/>
                <w:color w:val="auto"/>
              </w:rPr>
            </w:pPr>
            <w:r>
              <w:rPr>
                <w:rFonts w:ascii="Arial" w:cs="Arial" w:eastAsia="Arial" w:hAnsi="Arial"/>
                <w:sz w:val="19"/>
                <w:szCs w:val="19"/>
                <w:color w:val="auto"/>
              </w:rPr>
              <w:t>S&amp;P</w:t>
            </w:r>
          </w:p>
        </w:tc>
        <w:tc>
          <w:tcPr>
            <w:tcW w:w="60" w:type="dxa"/>
            <w:vAlign w:val="bottom"/>
            <w:tcBorders>
              <w:bottom w:val="single" w:sz="8" w:color="E6E6E6"/>
            </w:tcBorders>
          </w:tcPr>
          <w:p>
            <w:pPr>
              <w:spacing w:after="0"/>
              <w:rPr>
                <w:sz w:val="22"/>
                <w:szCs w:val="22"/>
                <w:color w:val="auto"/>
              </w:rPr>
            </w:pPr>
          </w:p>
        </w:tc>
        <w:tc>
          <w:tcPr>
            <w:tcW w:w="1800" w:type="dxa"/>
            <w:vAlign w:val="bottom"/>
            <w:tcBorders>
              <w:bottom w:val="single" w:sz="8" w:color="auto"/>
            </w:tcBorders>
          </w:tcPr>
          <w:p>
            <w:pPr>
              <w:ind w:left="560"/>
              <w:spacing w:after="0"/>
              <w:rPr>
                <w:sz w:val="20"/>
                <w:szCs w:val="20"/>
                <w:color w:val="auto"/>
              </w:rPr>
            </w:pPr>
            <w:r>
              <w:rPr>
                <w:rFonts w:ascii="Arial" w:cs="Arial" w:eastAsia="Arial" w:hAnsi="Arial"/>
                <w:sz w:val="19"/>
                <w:szCs w:val="19"/>
                <w:color w:val="auto"/>
              </w:rPr>
              <w:t>Moody's</w:t>
            </w:r>
          </w:p>
        </w:tc>
        <w:tc>
          <w:tcPr>
            <w:tcW w:w="80" w:type="dxa"/>
            <w:vAlign w:val="bottom"/>
            <w:tcBorders>
              <w:bottom w:val="single" w:sz="8" w:color="E6E6E6"/>
            </w:tcBorders>
          </w:tcPr>
          <w:p>
            <w:pPr>
              <w:spacing w:after="0"/>
              <w:rPr>
                <w:sz w:val="22"/>
                <w:szCs w:val="22"/>
                <w:color w:val="auto"/>
              </w:rPr>
            </w:pPr>
          </w:p>
        </w:tc>
        <w:tc>
          <w:tcPr>
            <w:tcW w:w="2360" w:type="dxa"/>
            <w:vAlign w:val="bottom"/>
            <w:tcBorders>
              <w:bottom w:val="single" w:sz="8" w:color="auto"/>
            </w:tcBorders>
          </w:tcPr>
          <w:p>
            <w:pPr>
              <w:jc w:val="right"/>
              <w:ind w:right="883"/>
              <w:spacing w:after="0"/>
              <w:rPr>
                <w:sz w:val="20"/>
                <w:szCs w:val="20"/>
                <w:color w:val="auto"/>
              </w:rPr>
            </w:pPr>
            <w:r>
              <w:rPr>
                <w:rFonts w:ascii="Arial" w:cs="Arial" w:eastAsia="Arial" w:hAnsi="Arial"/>
                <w:sz w:val="19"/>
                <w:szCs w:val="19"/>
                <w:color w:val="auto"/>
              </w:rPr>
              <w:t>Fitch</w:t>
            </w:r>
          </w:p>
        </w:tc>
      </w:tr>
      <w:tr>
        <w:trPr>
          <w:trHeight w:val="267"/>
        </w:trPr>
        <w:tc>
          <w:tcPr>
            <w:tcW w:w="1780" w:type="dxa"/>
            <w:vAlign w:val="bottom"/>
            <w:shd w:val="clear" w:color="auto" w:fill="E6E6E6"/>
          </w:tcPr>
          <w:p>
            <w:pPr>
              <w:ind w:left="40"/>
              <w:spacing w:after="0"/>
              <w:rPr>
                <w:sz w:val="20"/>
                <w:szCs w:val="20"/>
                <w:color w:val="auto"/>
              </w:rPr>
            </w:pPr>
            <w:r>
              <w:rPr>
                <w:rFonts w:ascii="Arial" w:cs="Arial" w:eastAsia="Arial" w:hAnsi="Arial"/>
                <w:sz w:val="19"/>
                <w:szCs w:val="19"/>
                <w:color w:val="auto"/>
              </w:rPr>
              <w:t>UAL</w:t>
            </w:r>
          </w:p>
        </w:tc>
        <w:tc>
          <w:tcPr>
            <w:tcW w:w="1800" w:type="dxa"/>
            <w:vAlign w:val="bottom"/>
            <w:shd w:val="clear" w:color="auto" w:fill="E6E6E6"/>
          </w:tcPr>
          <w:p>
            <w:pPr>
              <w:ind w:left="740"/>
              <w:spacing w:after="0"/>
              <w:rPr>
                <w:sz w:val="20"/>
                <w:szCs w:val="20"/>
                <w:color w:val="auto"/>
              </w:rPr>
            </w:pPr>
            <w:r>
              <w:rPr>
                <w:rFonts w:ascii="Arial" w:cs="Arial" w:eastAsia="Arial" w:hAnsi="Arial"/>
                <w:sz w:val="19"/>
                <w:szCs w:val="19"/>
                <w:color w:val="auto"/>
              </w:rPr>
              <w:t>BB+</w:t>
            </w:r>
          </w:p>
        </w:tc>
        <w:tc>
          <w:tcPr>
            <w:tcW w:w="60" w:type="dxa"/>
            <w:vAlign w:val="bottom"/>
            <w:shd w:val="clear" w:color="auto" w:fill="E6E6E6"/>
          </w:tcPr>
          <w:p>
            <w:pPr>
              <w:spacing w:after="0"/>
              <w:rPr>
                <w:sz w:val="23"/>
                <w:szCs w:val="23"/>
                <w:color w:val="auto"/>
              </w:rPr>
            </w:pPr>
          </w:p>
        </w:tc>
        <w:tc>
          <w:tcPr>
            <w:tcW w:w="1800" w:type="dxa"/>
            <w:vAlign w:val="bottom"/>
            <w:shd w:val="clear" w:color="auto" w:fill="E6E6E6"/>
          </w:tcPr>
          <w:p>
            <w:pPr>
              <w:jc w:val="center"/>
              <w:spacing w:after="0"/>
              <w:rPr>
                <w:sz w:val="20"/>
                <w:szCs w:val="20"/>
                <w:color w:val="auto"/>
              </w:rPr>
            </w:pPr>
            <w:r>
              <w:rPr>
                <w:rFonts w:ascii="Arial" w:cs="Arial" w:eastAsia="Arial" w:hAnsi="Arial"/>
                <w:sz w:val="19"/>
                <w:szCs w:val="19"/>
                <w:color w:val="auto"/>
                <w:w w:val="94"/>
              </w:rPr>
              <w:t>Ba1</w:t>
            </w:r>
          </w:p>
        </w:tc>
        <w:tc>
          <w:tcPr>
            <w:tcW w:w="80" w:type="dxa"/>
            <w:vAlign w:val="bottom"/>
            <w:shd w:val="clear" w:color="auto" w:fill="E6E6E6"/>
          </w:tcPr>
          <w:p>
            <w:pPr>
              <w:spacing w:after="0"/>
              <w:rPr>
                <w:sz w:val="23"/>
                <w:szCs w:val="23"/>
                <w:color w:val="auto"/>
              </w:rPr>
            </w:pPr>
          </w:p>
        </w:tc>
        <w:tc>
          <w:tcPr>
            <w:tcW w:w="2360" w:type="dxa"/>
            <w:vAlign w:val="bottom"/>
            <w:shd w:val="clear" w:color="auto" w:fill="E6E6E6"/>
          </w:tcPr>
          <w:p>
            <w:pPr>
              <w:jc w:val="right"/>
              <w:ind w:right="883"/>
              <w:spacing w:after="0"/>
              <w:rPr>
                <w:sz w:val="20"/>
                <w:szCs w:val="20"/>
                <w:color w:val="auto"/>
              </w:rPr>
            </w:pPr>
            <w:r>
              <w:rPr>
                <w:rFonts w:ascii="Arial" w:cs="Arial" w:eastAsia="Arial" w:hAnsi="Arial"/>
                <w:sz w:val="19"/>
                <w:szCs w:val="19"/>
                <w:color w:val="auto"/>
              </w:rPr>
              <w:t>BB+</w:t>
            </w:r>
          </w:p>
        </w:tc>
      </w:tr>
      <w:tr>
        <w:trPr>
          <w:trHeight w:val="264"/>
        </w:trPr>
        <w:tc>
          <w:tcPr>
            <w:tcW w:w="1780" w:type="dxa"/>
            <w:vAlign w:val="bottom"/>
          </w:tcPr>
          <w:p>
            <w:pPr>
              <w:ind w:left="40"/>
              <w:spacing w:after="0"/>
              <w:rPr>
                <w:sz w:val="20"/>
                <w:szCs w:val="20"/>
                <w:color w:val="auto"/>
              </w:rPr>
            </w:pPr>
            <w:r>
              <w:rPr>
                <w:rFonts w:ascii="Arial" w:cs="Arial" w:eastAsia="Arial" w:hAnsi="Arial"/>
                <w:sz w:val="19"/>
                <w:szCs w:val="19"/>
                <w:color w:val="auto"/>
              </w:rPr>
              <w:t>United</w:t>
            </w:r>
          </w:p>
        </w:tc>
        <w:tc>
          <w:tcPr>
            <w:tcW w:w="1800" w:type="dxa"/>
            <w:vAlign w:val="bottom"/>
          </w:tcPr>
          <w:p>
            <w:pPr>
              <w:ind w:left="740"/>
              <w:spacing w:after="0"/>
              <w:rPr>
                <w:sz w:val="20"/>
                <w:szCs w:val="20"/>
                <w:color w:val="auto"/>
              </w:rPr>
            </w:pPr>
            <w:r>
              <w:rPr>
                <w:rFonts w:ascii="Arial" w:cs="Arial" w:eastAsia="Arial" w:hAnsi="Arial"/>
                <w:sz w:val="19"/>
                <w:szCs w:val="19"/>
                <w:color w:val="auto"/>
              </w:rPr>
              <w:t>BB+</w:t>
            </w:r>
          </w:p>
        </w:tc>
        <w:tc>
          <w:tcPr>
            <w:tcW w:w="1860" w:type="dxa"/>
            <w:vAlign w:val="bottom"/>
            <w:gridSpan w:val="2"/>
          </w:tcPr>
          <w:p>
            <w:pPr>
              <w:jc w:val="right"/>
              <w:ind w:right="723"/>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2"/>
                <w:szCs w:val="22"/>
                <w:color w:val="auto"/>
              </w:rPr>
            </w:pPr>
          </w:p>
        </w:tc>
        <w:tc>
          <w:tcPr>
            <w:tcW w:w="2360" w:type="dxa"/>
            <w:vAlign w:val="bottom"/>
          </w:tcPr>
          <w:p>
            <w:pPr>
              <w:jc w:val="right"/>
              <w:ind w:right="883"/>
              <w:spacing w:after="0"/>
              <w:rPr>
                <w:sz w:val="20"/>
                <w:szCs w:val="20"/>
                <w:color w:val="auto"/>
              </w:rPr>
            </w:pPr>
            <w:r>
              <w:rPr>
                <w:rFonts w:ascii="Arial" w:cs="Arial" w:eastAsia="Arial" w:hAnsi="Arial"/>
                <w:sz w:val="19"/>
                <w:szCs w:val="19"/>
                <w:color w:val="auto"/>
              </w:rPr>
              <w:t>BB+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-354965</wp:posOffset>
            </wp:positionV>
            <wp:extent cx="389763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extLst>
                    </a:blip>
                    <a:srcRect/>
                    <a:stretch>
                      <a:fillRect/>
                    </a:stretch>
                  </pic:blipFill>
                  <pic:spPr bwMode="auto">
                    <a:xfrm>
                      <a:off x="0" y="0"/>
                      <a:ext cx="389763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657860</wp:posOffset>
                </wp:positionH>
                <wp:positionV relativeFrom="paragraph">
                  <wp:posOffset>7620</wp:posOffset>
                </wp:positionV>
                <wp:extent cx="500824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824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8pt,0.6pt" to="446.15pt,0.6pt" o:allowincell="f" strokecolor="#000000" strokeweight="0.97pt"/>
            </w:pict>
          </mc:Fallback>
        </mc:AlternateContent>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*The credit agency does not issue corporate credit ratings for subsidiary entities.</w:t>
      </w:r>
    </w:p>
    <w:p>
      <w:pPr>
        <w:spacing w:after="0" w:line="258"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color w:val="auto"/>
        </w:rPr>
        <w:t>The Company has been able to secure financing with investment grade credit ratings for certain enhanced equipment trust certificates ("EETCs"), term loans and secured bond financings. Downgrades from these rating levels, among other things, could restrict the availability, or increase the cost, of future financing for the Company as well as affect the fair market value of existing debt. A rating reflects only the view of a rating agency and is not a recommendation to buy, sell or hold securities. Ratings can be revised upward or downward at any time by a rating agency if such rating agency decides that circumstances warrant such a change. Currently Moody's and Fitch have assigned the Company a stable outlook and S&amp;P a positive outlook.</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Liquidity Matters</w:t>
      </w:r>
    </w:p>
    <w:p>
      <w:pPr>
        <w:spacing w:after="0" w:line="196" w:lineRule="exact"/>
        <w:rPr>
          <w:sz w:val="20"/>
          <w:szCs w:val="20"/>
          <w:color w:val="auto"/>
        </w:rPr>
      </w:pPr>
    </w:p>
    <w:p>
      <w:pPr>
        <w:ind w:right="80"/>
        <w:spacing w:after="0" w:line="357" w:lineRule="auto"/>
        <w:rPr>
          <w:sz w:val="20"/>
          <w:szCs w:val="20"/>
          <w:color w:val="auto"/>
        </w:rPr>
      </w:pPr>
      <w:r>
        <w:rPr>
          <w:rFonts w:ascii="Arial" w:cs="Arial" w:eastAsia="Arial" w:hAnsi="Arial"/>
          <w:sz w:val="17"/>
          <w:szCs w:val="17"/>
          <w:color w:val="auto"/>
        </w:rPr>
        <w:t>Below is a summary of additional liquidity matters. See the indicated notes to our consolidated financial statements included in Part II, Item 8 of this report for additional details related to these and other matters affecting our liquidity and commitments.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800" w:type="dxa"/>
            <w:vAlign w:val="bottom"/>
            <w:shd w:val="clear" w:color="auto" w:fill="E6E6E6"/>
          </w:tcPr>
          <w:p>
            <w:pPr>
              <w:ind w:left="60"/>
              <w:spacing w:after="0"/>
              <w:rPr>
                <w:sz w:val="20"/>
                <w:szCs w:val="20"/>
                <w:color w:val="auto"/>
              </w:rPr>
            </w:pPr>
            <w:r>
              <w:rPr>
                <w:rFonts w:ascii="Arial" w:cs="Arial" w:eastAsia="Arial" w:hAnsi="Arial"/>
                <w:sz w:val="19"/>
                <w:szCs w:val="19"/>
                <w:color w:val="auto"/>
              </w:rPr>
              <w:t>Pension and other postretirement plans</w:t>
            </w:r>
          </w:p>
        </w:tc>
        <w:tc>
          <w:tcPr>
            <w:tcW w:w="3160" w:type="dxa"/>
            <w:vAlign w:val="bottom"/>
            <w:shd w:val="clear" w:color="auto" w:fill="E6E6E6"/>
          </w:tcPr>
          <w:p>
            <w:pPr>
              <w:ind w:left="1800"/>
              <w:spacing w:after="0"/>
              <w:rPr>
                <w:sz w:val="20"/>
                <w:szCs w:val="20"/>
                <w:color w:val="auto"/>
              </w:rPr>
            </w:pPr>
            <w:r>
              <w:rPr>
                <w:rFonts w:ascii="Arial" w:cs="Arial" w:eastAsia="Arial" w:hAnsi="Arial"/>
                <w:sz w:val="19"/>
                <w:szCs w:val="19"/>
                <w:color w:val="auto"/>
              </w:rPr>
              <w:t>Note 8</w:t>
            </w:r>
          </w:p>
        </w:tc>
      </w:tr>
      <w:tr>
        <w:trPr>
          <w:trHeight w:val="270"/>
        </w:trPr>
        <w:tc>
          <w:tcPr>
            <w:tcW w:w="6800" w:type="dxa"/>
            <w:vAlign w:val="bottom"/>
          </w:tcPr>
          <w:p>
            <w:pPr>
              <w:ind w:left="60"/>
              <w:spacing w:after="0"/>
              <w:rPr>
                <w:sz w:val="20"/>
                <w:szCs w:val="20"/>
                <w:color w:val="auto"/>
              </w:rPr>
            </w:pPr>
            <w:r>
              <w:rPr>
                <w:rFonts w:ascii="Arial" w:cs="Arial" w:eastAsia="Arial" w:hAnsi="Arial"/>
                <w:sz w:val="19"/>
                <w:szCs w:val="19"/>
                <w:color w:val="auto"/>
              </w:rPr>
              <w:t>Long-term debt and debt covenants</w:t>
            </w:r>
          </w:p>
        </w:tc>
        <w:tc>
          <w:tcPr>
            <w:tcW w:w="3160" w:type="dxa"/>
            <w:vAlign w:val="bottom"/>
          </w:tcPr>
          <w:p>
            <w:pPr>
              <w:ind w:left="1800"/>
              <w:spacing w:after="0"/>
              <w:rPr>
                <w:sz w:val="20"/>
                <w:szCs w:val="20"/>
                <w:color w:val="auto"/>
              </w:rPr>
            </w:pPr>
            <w:r>
              <w:rPr>
                <w:rFonts w:ascii="Arial" w:cs="Arial" w:eastAsia="Arial" w:hAnsi="Arial"/>
                <w:sz w:val="19"/>
                <w:szCs w:val="19"/>
                <w:color w:val="auto"/>
              </w:rPr>
              <w:t>Note 10</w:t>
            </w:r>
          </w:p>
        </w:tc>
      </w:tr>
      <w:tr>
        <w:trPr>
          <w:trHeight w:val="283"/>
        </w:trPr>
        <w:tc>
          <w:tcPr>
            <w:tcW w:w="6800" w:type="dxa"/>
            <w:vAlign w:val="bottom"/>
            <w:shd w:val="clear" w:color="auto" w:fill="E6E6E6"/>
          </w:tcPr>
          <w:p>
            <w:pPr>
              <w:ind w:left="60"/>
              <w:spacing w:after="0"/>
              <w:rPr>
                <w:sz w:val="20"/>
                <w:szCs w:val="20"/>
                <w:color w:val="auto"/>
              </w:rPr>
            </w:pPr>
            <w:r>
              <w:rPr>
                <w:rFonts w:ascii="Arial" w:cs="Arial" w:eastAsia="Arial" w:hAnsi="Arial"/>
                <w:sz w:val="19"/>
                <w:szCs w:val="19"/>
                <w:color w:val="auto"/>
              </w:rPr>
              <w:t>Leases</w:t>
            </w:r>
          </w:p>
        </w:tc>
        <w:tc>
          <w:tcPr>
            <w:tcW w:w="3160" w:type="dxa"/>
            <w:vAlign w:val="bottom"/>
            <w:shd w:val="clear" w:color="auto" w:fill="E6E6E6"/>
          </w:tcPr>
          <w:p>
            <w:pPr>
              <w:ind w:left="1800"/>
              <w:spacing w:after="0"/>
              <w:rPr>
                <w:sz w:val="20"/>
                <w:szCs w:val="20"/>
                <w:color w:val="auto"/>
              </w:rPr>
            </w:pPr>
            <w:r>
              <w:rPr>
                <w:rFonts w:ascii="Arial" w:cs="Arial" w:eastAsia="Arial" w:hAnsi="Arial"/>
                <w:sz w:val="19"/>
                <w:szCs w:val="19"/>
                <w:color w:val="auto"/>
              </w:rPr>
              <w:t>Note 11</w:t>
            </w:r>
          </w:p>
        </w:tc>
      </w:tr>
      <w:tr>
        <w:trPr>
          <w:trHeight w:val="266"/>
        </w:trPr>
        <w:tc>
          <w:tcPr>
            <w:tcW w:w="680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Commitments, contingencies and capacity purchase agreements</w:t>
            </w:r>
          </w:p>
        </w:tc>
        <w:tc>
          <w:tcPr>
            <w:tcW w:w="3160" w:type="dxa"/>
            <w:vAlign w:val="bottom"/>
            <w:tcBorders>
              <w:bottom w:val="single" w:sz="8" w:color="auto"/>
            </w:tcBorders>
          </w:tcPr>
          <w:p>
            <w:pPr>
              <w:ind w:left="1800"/>
              <w:spacing w:after="0"/>
              <w:rPr>
                <w:sz w:val="20"/>
                <w:szCs w:val="20"/>
                <w:color w:val="auto"/>
              </w:rPr>
            </w:pPr>
            <w:r>
              <w:rPr>
                <w:rFonts w:ascii="Arial" w:cs="Arial" w:eastAsia="Arial" w:hAnsi="Arial"/>
                <w:sz w:val="19"/>
                <w:szCs w:val="19"/>
                <w:color w:val="auto"/>
              </w:rPr>
              <w:t>Note 12</w:t>
            </w:r>
          </w:p>
        </w:tc>
      </w:tr>
    </w:tbl>
    <w:p>
      <w:pPr>
        <w:spacing w:after="0" w:line="12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Company's business is capital intensive, requiring significant amounts of capital to fund the acquisition of assets, particularly aircraft. In the past, the Company has funded the acquisition of aircraft with cash, by using EETC financing, by entering into finance or operating leases, or through other financings. The Company also often enters into long-term lease commitments with airports to ensure access to terminal, cargo, maintenance and other required facilities.</w:t>
      </w:r>
    </w:p>
    <w:p>
      <w:pPr>
        <w:spacing w:after="0" w:line="116" w:lineRule="exact"/>
        <w:rPr>
          <w:sz w:val="20"/>
          <w:szCs w:val="20"/>
          <w:color w:val="auto"/>
        </w:rPr>
      </w:pPr>
    </w:p>
    <w:p>
      <w:pPr>
        <w:ind w:right="240"/>
        <w:spacing w:after="0" w:line="294" w:lineRule="auto"/>
        <w:rPr>
          <w:sz w:val="20"/>
          <w:szCs w:val="20"/>
          <w:color w:val="auto"/>
        </w:rPr>
      </w:pPr>
      <w:r>
        <w:rPr>
          <w:rFonts w:ascii="Arial" w:cs="Arial" w:eastAsia="Arial" w:hAnsi="Arial"/>
          <w:sz w:val="19"/>
          <w:szCs w:val="19"/>
          <w:color w:val="auto"/>
        </w:rPr>
        <w:t>The table below provides a summary of the Company's current and long-term material cash requirements as of December 31, 2025 (in billions):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vMerge w:val="restart"/>
          </w:tcPr>
          <w:p>
            <w:pPr>
              <w:jc w:val="right"/>
              <w:ind w:right="163"/>
              <w:spacing w:after="0"/>
              <w:rPr>
                <w:sz w:val="20"/>
                <w:szCs w:val="20"/>
                <w:color w:val="auto"/>
              </w:rPr>
            </w:pPr>
            <w:r>
              <w:rPr>
                <w:rFonts w:ascii="Arial" w:cs="Arial" w:eastAsia="Arial" w:hAnsi="Arial"/>
                <w:sz w:val="19"/>
                <w:szCs w:val="19"/>
                <w:b w:val="1"/>
                <w:bCs w:val="1"/>
                <w:color w:val="auto"/>
                <w:w w:val="99"/>
              </w:rPr>
              <w:t>2026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ind w:right="163"/>
              <w:spacing w:after="0"/>
              <w:rPr>
                <w:sz w:val="20"/>
                <w:szCs w:val="20"/>
                <w:color w:val="auto"/>
              </w:rPr>
            </w:pPr>
            <w:r>
              <w:rPr>
                <w:rFonts w:ascii="Arial" w:cs="Arial" w:eastAsia="Arial" w:hAnsi="Arial"/>
                <w:sz w:val="19"/>
                <w:szCs w:val="19"/>
                <w:b w:val="1"/>
                <w:bCs w:val="1"/>
                <w:color w:val="auto"/>
              </w:rPr>
              <w:t>2027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restart"/>
          </w:tcPr>
          <w:p>
            <w:pPr>
              <w:jc w:val="right"/>
              <w:ind w:right="163"/>
              <w:spacing w:after="0"/>
              <w:rPr>
                <w:sz w:val="20"/>
                <w:szCs w:val="20"/>
                <w:color w:val="auto"/>
              </w:rPr>
            </w:pPr>
            <w:r>
              <w:rPr>
                <w:rFonts w:ascii="Arial" w:cs="Arial" w:eastAsia="Arial" w:hAnsi="Arial"/>
                <w:sz w:val="19"/>
                <w:szCs w:val="19"/>
                <w:b w:val="1"/>
                <w:bCs w:val="1"/>
                <w:color w:val="auto"/>
                <w:w w:val="99"/>
              </w:rPr>
              <w:t>2028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ind w:right="183"/>
              <w:spacing w:after="0"/>
              <w:rPr>
                <w:sz w:val="20"/>
                <w:szCs w:val="20"/>
                <w:color w:val="auto"/>
              </w:rPr>
            </w:pPr>
            <w:r>
              <w:rPr>
                <w:rFonts w:ascii="Arial" w:cs="Arial" w:eastAsia="Arial" w:hAnsi="Arial"/>
                <w:sz w:val="19"/>
                <w:szCs w:val="19"/>
                <w:b w:val="1"/>
                <w:bCs w:val="1"/>
                <w:color w:val="auto"/>
                <w:w w:val="99"/>
              </w:rPr>
              <w:t>2029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vMerge w:val="restart"/>
          </w:tcPr>
          <w:p>
            <w:pPr>
              <w:jc w:val="right"/>
              <w:ind w:right="163"/>
              <w:spacing w:after="0"/>
              <w:rPr>
                <w:sz w:val="20"/>
                <w:szCs w:val="20"/>
                <w:color w:val="auto"/>
              </w:rPr>
            </w:pPr>
            <w:r>
              <w:rPr>
                <w:rFonts w:ascii="Arial" w:cs="Arial" w:eastAsia="Arial" w:hAnsi="Arial"/>
                <w:sz w:val="19"/>
                <w:szCs w:val="19"/>
                <w:b w:val="1"/>
                <w:bCs w:val="1"/>
                <w:color w:val="auto"/>
                <w:w w:val="99"/>
              </w:rPr>
              <w:t>2030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43"/>
              <w:spacing w:after="0"/>
              <w:rPr>
                <w:sz w:val="20"/>
                <w:szCs w:val="20"/>
                <w:color w:val="auto"/>
              </w:rPr>
            </w:pPr>
            <w:r>
              <w:rPr>
                <w:rFonts w:ascii="Arial" w:cs="Arial" w:eastAsia="Arial" w:hAnsi="Arial"/>
                <w:sz w:val="19"/>
                <w:szCs w:val="19"/>
                <w:b w:val="1"/>
                <w:bCs w:val="1"/>
                <w:color w:val="auto"/>
              </w:rPr>
              <w:t>After</w:t>
            </w:r>
          </w:p>
        </w:tc>
        <w:tc>
          <w:tcPr>
            <w:tcW w:w="0" w:type="dxa"/>
            <w:vAlign w:val="bottom"/>
          </w:tcPr>
          <w:p>
            <w:pPr>
              <w:spacing w:after="0"/>
              <w:rPr>
                <w:sz w:val="1"/>
                <w:szCs w:val="1"/>
                <w:color w:val="auto"/>
              </w:rPr>
            </w:pPr>
          </w:p>
        </w:tc>
      </w:tr>
      <w:tr>
        <w:trPr>
          <w:trHeight w:val="255"/>
        </w:trPr>
        <w:tc>
          <w:tcPr>
            <w:tcW w:w="3980" w:type="dxa"/>
            <w:vAlign w:val="bottom"/>
            <w:tcBorders>
              <w:bottom w:val="single" w:sz="8" w:color="E6E6E6"/>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b w:val="1"/>
                <w:bCs w:val="1"/>
                <w:color w:val="auto"/>
              </w:rPr>
              <w:t>2030</w:t>
            </w:r>
          </w:p>
        </w:tc>
        <w:tc>
          <w:tcPr>
            <w:tcW w:w="0" w:type="dxa"/>
            <w:vAlign w:val="bottom"/>
          </w:tcPr>
          <w:p>
            <w:pPr>
              <w:spacing w:after="0"/>
              <w:rPr>
                <w:sz w:val="1"/>
                <w:szCs w:val="1"/>
                <w:color w:val="auto"/>
              </w:rPr>
            </w:pPr>
          </w:p>
        </w:tc>
      </w:tr>
      <w:tr>
        <w:trPr>
          <w:trHeight w:val="281"/>
        </w:trPr>
        <w:tc>
          <w:tcPr>
            <w:tcW w:w="404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Long-term debt and related interest (a)</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5.0</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2.8</w:t>
            </w:r>
          </w:p>
        </w:tc>
        <w:tc>
          <w:tcPr>
            <w:tcW w:w="280" w:type="dxa"/>
            <w:vAlign w:val="bottom"/>
            <w:gridSpan w:val="3"/>
            <w:shd w:val="clear" w:color="auto" w:fill="E6E6E6"/>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2.6</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3.6</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3.0</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9.0</w:t>
            </w:r>
          </w:p>
        </w:tc>
        <w:tc>
          <w:tcPr>
            <w:tcW w:w="0" w:type="dxa"/>
            <w:vAlign w:val="bottom"/>
          </w:tcPr>
          <w:p>
            <w:pPr>
              <w:spacing w:after="0"/>
              <w:rPr>
                <w:sz w:val="1"/>
                <w:szCs w:val="1"/>
                <w:color w:val="auto"/>
              </w:rPr>
            </w:pPr>
          </w:p>
        </w:tc>
      </w:tr>
      <w:tr>
        <w:trPr>
          <w:trHeight w:val="285"/>
        </w:trPr>
        <w:tc>
          <w:tcPr>
            <w:tcW w:w="4040" w:type="dxa"/>
            <w:vAlign w:val="bottom"/>
            <w:gridSpan w:val="2"/>
          </w:tcPr>
          <w:p>
            <w:pPr>
              <w:ind w:left="60"/>
              <w:spacing w:after="0"/>
              <w:rPr>
                <w:sz w:val="20"/>
                <w:szCs w:val="20"/>
                <w:color w:val="auto"/>
              </w:rPr>
            </w:pPr>
            <w:r>
              <w:rPr>
                <w:rFonts w:ascii="Arial" w:cs="Arial" w:eastAsia="Arial" w:hAnsi="Arial"/>
                <w:sz w:val="19"/>
                <w:szCs w:val="19"/>
                <w:color w:val="auto"/>
              </w:rPr>
              <w:t>Finance leases</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0.2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7"/>
        </w:trPr>
        <w:tc>
          <w:tcPr>
            <w:tcW w:w="404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Operating leases (b)</w:t>
            </w:r>
          </w:p>
        </w:tc>
        <w:tc>
          <w:tcPr>
            <w:tcW w:w="22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0.9</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0.9</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0.7</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0.8</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285"/>
        </w:trPr>
        <w:tc>
          <w:tcPr>
            <w:tcW w:w="4040" w:type="dxa"/>
            <w:vAlign w:val="bottom"/>
            <w:gridSpan w:val="2"/>
          </w:tcPr>
          <w:p>
            <w:pPr>
              <w:ind w:left="60"/>
              <w:spacing w:after="0"/>
              <w:rPr>
                <w:sz w:val="20"/>
                <w:szCs w:val="20"/>
                <w:color w:val="auto"/>
              </w:rPr>
            </w:pPr>
            <w:r>
              <w:rPr>
                <w:rFonts w:ascii="Arial" w:cs="Arial" w:eastAsia="Arial" w:hAnsi="Arial"/>
                <w:sz w:val="19"/>
                <w:szCs w:val="19"/>
                <w:color w:val="auto"/>
              </w:rPr>
              <w:t>Leases not yet commenced (c)</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0.3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0.5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0.5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0.5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297"/>
        </w:trPr>
        <w:tc>
          <w:tcPr>
            <w:tcW w:w="404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Other financial liabilities</w:t>
            </w:r>
          </w:p>
        </w:tc>
        <w:tc>
          <w:tcPr>
            <w:tcW w:w="22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0.4</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0.6</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0.2</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0.2</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0.2</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2.7</w:t>
            </w:r>
          </w:p>
        </w:tc>
        <w:tc>
          <w:tcPr>
            <w:tcW w:w="0" w:type="dxa"/>
            <w:vAlign w:val="bottom"/>
          </w:tcPr>
          <w:p>
            <w:pPr>
              <w:spacing w:after="0"/>
              <w:rPr>
                <w:sz w:val="1"/>
                <w:szCs w:val="1"/>
                <w:color w:val="auto"/>
              </w:rPr>
            </w:pPr>
          </w:p>
        </w:tc>
      </w:tr>
      <w:tr>
        <w:trPr>
          <w:trHeight w:val="285"/>
        </w:trPr>
        <w:tc>
          <w:tcPr>
            <w:tcW w:w="4040" w:type="dxa"/>
            <w:vAlign w:val="bottom"/>
            <w:gridSpan w:val="2"/>
          </w:tcPr>
          <w:p>
            <w:pPr>
              <w:ind w:left="60"/>
              <w:spacing w:after="0"/>
              <w:rPr>
                <w:sz w:val="20"/>
                <w:szCs w:val="20"/>
                <w:color w:val="auto"/>
              </w:rPr>
            </w:pPr>
            <w:r>
              <w:rPr>
                <w:rFonts w:ascii="Arial" w:cs="Arial" w:eastAsia="Arial" w:hAnsi="Arial"/>
                <w:sz w:val="19"/>
                <w:szCs w:val="19"/>
                <w:color w:val="auto"/>
              </w:rPr>
              <w:t>Regional CPAs (d)</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6.2</w:t>
            </w:r>
          </w:p>
        </w:tc>
        <w:tc>
          <w:tcPr>
            <w:tcW w:w="0" w:type="dxa"/>
            <w:vAlign w:val="bottom"/>
          </w:tcPr>
          <w:p>
            <w:pPr>
              <w:spacing w:after="0"/>
              <w:rPr>
                <w:sz w:val="1"/>
                <w:szCs w:val="1"/>
                <w:color w:val="auto"/>
              </w:rPr>
            </w:pPr>
          </w:p>
        </w:tc>
      </w:tr>
      <w:tr>
        <w:trPr>
          <w:trHeight w:val="193"/>
        </w:trPr>
        <w:tc>
          <w:tcPr>
            <w:tcW w:w="4040" w:type="dxa"/>
            <w:vAlign w:val="bottom"/>
            <w:gridSpan w:val="2"/>
            <w:shd w:val="clear" w:color="auto" w:fill="E6E6E6"/>
          </w:tcPr>
          <w:p>
            <w:pPr>
              <w:ind w:left="60"/>
              <w:spacing w:after="0" w:line="193" w:lineRule="exact"/>
              <w:rPr>
                <w:sz w:val="20"/>
                <w:szCs w:val="20"/>
                <w:color w:val="auto"/>
              </w:rPr>
            </w:pPr>
            <w:r>
              <w:rPr>
                <w:rFonts w:ascii="Arial" w:cs="Arial" w:eastAsia="Arial" w:hAnsi="Arial"/>
                <w:sz w:val="19"/>
                <w:szCs w:val="19"/>
                <w:color w:val="auto"/>
              </w:rPr>
              <w:t>Postretirement benefit payments and pension</w:t>
            </w:r>
          </w:p>
        </w:tc>
        <w:tc>
          <w:tcPr>
            <w:tcW w:w="220" w:type="dxa"/>
            <w:vAlign w:val="bottom"/>
            <w:shd w:val="clear" w:color="auto" w:fill="E6E6E6"/>
          </w:tcPr>
          <w:p>
            <w:pPr>
              <w:spacing w:after="0"/>
              <w:rPr>
                <w:sz w:val="16"/>
                <w:szCs w:val="16"/>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0.3</w:t>
            </w:r>
          </w:p>
        </w:tc>
        <w:tc>
          <w:tcPr>
            <w:tcW w:w="8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0.3</w:t>
            </w:r>
          </w:p>
        </w:tc>
        <w:tc>
          <w:tcPr>
            <w:tcW w:w="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0.2</w:t>
            </w:r>
          </w:p>
        </w:tc>
        <w:tc>
          <w:tcPr>
            <w:tcW w:w="8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0.2</w:t>
            </w: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0.2</w:t>
            </w:r>
          </w:p>
        </w:tc>
        <w:tc>
          <w:tcPr>
            <w:tcW w:w="8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0.3</w:t>
            </w:r>
          </w:p>
        </w:tc>
        <w:tc>
          <w:tcPr>
            <w:tcW w:w="0" w:type="dxa"/>
            <w:vAlign w:val="bottom"/>
          </w:tcPr>
          <w:p>
            <w:pPr>
              <w:spacing w:after="0"/>
              <w:rPr>
                <w:sz w:val="1"/>
                <w:szCs w:val="1"/>
                <w:color w:val="auto"/>
              </w:rPr>
            </w:pPr>
          </w:p>
        </w:tc>
      </w:tr>
      <w:tr>
        <w:trPr>
          <w:trHeight w:val="265"/>
        </w:trPr>
        <w:tc>
          <w:tcPr>
            <w:tcW w:w="404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funding (e)</w:t>
            </w:r>
          </w:p>
        </w:tc>
        <w:tc>
          <w:tcPr>
            <w:tcW w:w="220" w:type="dxa"/>
            <w:vAlign w:val="bottom"/>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720" w:type="dxa"/>
            <w:vAlign w:val="bottom"/>
            <w:vMerge w:val="continue"/>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720" w:type="dxa"/>
            <w:vAlign w:val="bottom"/>
            <w:vMerge w:val="continue"/>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74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040" w:type="dxa"/>
            <w:vAlign w:val="bottom"/>
            <w:tcBorders>
              <w:bottom w:val="single" w:sz="8" w:color="E6E6E6"/>
            </w:tcBorders>
            <w:gridSpan w:val="2"/>
          </w:tcPr>
          <w:p>
            <w:pPr>
              <w:ind w:left="60"/>
              <w:spacing w:after="0"/>
              <w:rPr>
                <w:sz w:val="20"/>
                <w:szCs w:val="20"/>
                <w:color w:val="auto"/>
              </w:rPr>
            </w:pPr>
            <w:r>
              <w:rPr>
                <w:rFonts w:ascii="Arial" w:cs="Arial" w:eastAsia="Arial" w:hAnsi="Arial"/>
                <w:sz w:val="19"/>
                <w:szCs w:val="19"/>
                <w:color w:val="auto"/>
              </w:rPr>
              <w:t>Capital and other purchases (f)</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12.6</w:t>
            </w: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5.6</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w:t>
            </w: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9.0</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8.7</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13.8</w:t>
            </w:r>
          </w:p>
        </w:tc>
        <w:tc>
          <w:tcPr>
            <w:tcW w:w="0" w:type="dxa"/>
            <w:vAlign w:val="bottom"/>
          </w:tcPr>
          <w:p>
            <w:pPr>
              <w:spacing w:after="0"/>
              <w:rPr>
                <w:sz w:val="1"/>
                <w:szCs w:val="1"/>
                <w:color w:val="auto"/>
              </w:rPr>
            </w:pPr>
          </w:p>
        </w:tc>
      </w:tr>
      <w:tr>
        <w:trPr>
          <w:trHeight w:val="290"/>
        </w:trPr>
        <w:tc>
          <w:tcPr>
            <w:tcW w:w="3980" w:type="dxa"/>
            <w:vAlign w:val="bottom"/>
            <w:tcBorders>
              <w:bottom w:val="single" w:sz="8" w:color="auto"/>
            </w:tcBorders>
            <w:shd w:val="clear" w:color="auto" w:fill="E6E6E6"/>
          </w:tcPr>
          <w:p>
            <w:pPr>
              <w:ind w:left="180"/>
              <w:spacing w:after="0"/>
              <w:rPr>
                <w:sz w:val="20"/>
                <w:szCs w:val="20"/>
                <w:color w:val="auto"/>
              </w:rPr>
            </w:pPr>
            <w:r>
              <w:rPr>
                <w:rFonts w:ascii="Arial" w:cs="Arial" w:eastAsia="Arial" w:hAnsi="Arial"/>
                <w:sz w:val="19"/>
                <w:szCs w:val="19"/>
                <w:color w:val="auto"/>
              </w:rPr>
              <w:t>Total</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22.4</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14.0</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gridSpan w:val="2"/>
            <w:shd w:val="clear" w:color="auto" w:fill="E6E6E6"/>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14.7</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16.5</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15.2</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-1795780</wp:posOffset>
            </wp:positionV>
            <wp:extent cx="374967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a:extLst>
                        <a:ext uri="{28A0092B-C50C-407E-A947-70E740481C1C}"/>
                      </a:extLst>
                    </a:blip>
                    <a:srcRect/>
                    <a:stretch>
                      <a:fillRect/>
                    </a:stretch>
                  </pic:blipFill>
                  <pic:spPr bwMode="auto">
                    <a:xfrm>
                      <a:off x="0" y="0"/>
                      <a:ext cx="3749675" cy="2540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-215265</wp:posOffset>
            </wp:positionV>
            <wp:extent cx="374967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extLst>
                        <a:ext uri="{28A0092B-C50C-407E-A947-70E740481C1C}"/>
                      </a:extLst>
                    </a:blip>
                    <a:srcRect/>
                    <a:stretch>
                      <a:fillRect/>
                    </a:stretch>
                  </pic:blipFill>
                  <pic:spPr bwMode="auto">
                    <a:xfrm>
                      <a:off x="0" y="0"/>
                      <a:ext cx="3749675" cy="2540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-43180</wp:posOffset>
            </wp:positionV>
            <wp:extent cx="6318885" cy="50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extLst>
                    </a:blip>
                    <a:srcRect/>
                    <a:stretch>
                      <a:fillRect/>
                    </a:stretch>
                  </pic:blipFill>
                  <pic:spPr bwMode="auto">
                    <a:xfrm>
                      <a:off x="0" y="0"/>
                      <a:ext cx="6318885" cy="50165"/>
                    </a:xfrm>
                    <a:prstGeom prst="rect">
                      <a:avLst/>
                    </a:prstGeom>
                    <a:noFill/>
                  </pic:spPr>
                </pic:pic>
              </a:graphicData>
            </a:graphic>
          </wp:anchor>
        </w:drawing>
      </w:r>
    </w:p>
    <w:p>
      <w:pPr>
        <w:spacing w:after="0" w:line="38" w:lineRule="exact"/>
        <w:rPr>
          <w:sz w:val="20"/>
          <w:szCs w:val="20"/>
          <w:color w:val="auto"/>
        </w:rPr>
      </w:pPr>
    </w:p>
    <w:p>
      <w:pPr>
        <w:ind w:left="360" w:right="120" w:hanging="357"/>
        <w:spacing w:after="0" w:line="254" w:lineRule="auto"/>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Long-term debt presented in the Company's financial statements is net of $117 million of debt discount, premiums and debt issuance costs which are being amortized over the debt terms. Cash requirements do not include the debt discount, premiums and debt issuance costs. Future interest payments on variable rate debt were computed using the rates as of December 31, 2025.</w:t>
      </w:r>
    </w:p>
    <w:p>
      <w:pPr>
        <w:sectPr>
          <w:pgSz w:w="11880" w:h="15480" w:orient="portrait"/>
          <w:cols w:equalWidth="0" w:num="1">
            <w:col w:w="9960"/>
          </w:cols>
          <w:pgMar w:left="960" w:top="583"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9960"/>
          </w:cols>
          <w:pgMar w:left="960" w:top="583" w:right="960" w:bottom="33" w:gutter="0" w:footer="0" w:header="0"/>
          <w:type w:val="continuous"/>
        </w:sectPr>
      </w:pPr>
    </w:p>
    <w:bookmarkStart w:id="47" w:name="page48"/>
    <w:bookmarkEnd w:id="47"/>
    <w:p>
      <w:pPr>
        <w:ind w:left="360" w:right="160" w:hanging="357"/>
        <w:spacing w:after="0" w:line="266" w:lineRule="auto"/>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future payments under fixed rate operating lease obligations. See Note 11 to the financial statements included in Part II, Item 8 of this report for information on variable rate and short-term operating leases.</w:t>
      </w:r>
    </w:p>
    <w:p>
      <w:pPr>
        <w:spacing w:after="0" w:line="3" w:lineRule="exact"/>
        <w:rPr>
          <w:rFonts w:ascii="Arial" w:cs="Arial" w:eastAsia="Arial" w:hAnsi="Arial"/>
          <w:sz w:val="16"/>
          <w:szCs w:val="16"/>
          <w:color w:val="auto"/>
        </w:rPr>
      </w:pPr>
    </w:p>
    <w:p>
      <w:pPr>
        <w:ind w:left="360" w:right="20" w:hanging="357"/>
        <w:spacing w:after="0" w:line="266" w:lineRule="auto"/>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future payments under leases that have not yet commenced and are not included in the consolidated balance sheet. See Note 11 to the financial statements included in Part II, Item 8 of this report for information on these leases.</w:t>
      </w:r>
    </w:p>
    <w:p>
      <w:pPr>
        <w:spacing w:after="0" w:line="3" w:lineRule="exact"/>
        <w:rPr>
          <w:rFonts w:ascii="Arial" w:cs="Arial" w:eastAsia="Arial" w:hAnsi="Arial"/>
          <w:sz w:val="16"/>
          <w:szCs w:val="16"/>
          <w:color w:val="auto"/>
        </w:rPr>
      </w:pPr>
    </w:p>
    <w:p>
      <w:pPr>
        <w:ind w:left="360" w:right="100" w:hanging="357"/>
        <w:spacing w:after="0" w:line="250" w:lineRule="auto"/>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our estimates of future minimum noncancelable commitments under our CPAs and does not include the portion of the underlying obligations for aircraft and facility rent that is disclosed as part of operating lease obligations. Amounts also exclude a portion of United's finance lease obligations recorded for certain of its CPAs. See Note 12 to the financial statements included in Part II, Item 8 of this report for the significant assumptions used to estimate the payments.</w:t>
      </w:r>
    </w:p>
    <w:p>
      <w:pPr>
        <w:spacing w:after="0" w:line="17" w:lineRule="exact"/>
        <w:rPr>
          <w:rFonts w:ascii="Arial" w:cs="Arial" w:eastAsia="Arial" w:hAnsi="Arial"/>
          <w:sz w:val="16"/>
          <w:szCs w:val="16"/>
          <w:color w:val="auto"/>
        </w:rPr>
      </w:pPr>
    </w:p>
    <w:p>
      <w:pPr>
        <w:ind w:left="360" w:right="120" w:hanging="357"/>
        <w:spacing w:after="0" w:line="292"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represent postretirement benefit payments and an estimate of the minimum funding requirements as determined by government regulations for United's U.S. pension plans through 2035. Amounts are subject to change based on numerous assumptions, including the performance of assets in the plans and bond rates. Postretirement benefit payments approximate plan contributions as plans are substantially unfunded. See Note 8 to the financial statements included in Part II, Item 8 of this report for additional information on these benefit plans.</w:t>
      </w:r>
    </w:p>
    <w:p>
      <w:pPr>
        <w:ind w:left="360" w:right="400" w:hanging="357"/>
        <w:spacing w:after="0" w:line="266" w:lineRule="auto"/>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contractual commitments for firm order aircraft, spare engines and other purchase commitments. See Note 12 to the financial statements included in Part II, Item 8 of this report for a discussion of our purchase commitments.</w:t>
      </w:r>
    </w:p>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has significant financial obligations and guarantees that could impact its future cash flow. As of December 31, 2025, the Company has $502 million in letters of credit and surety bonds with expiration dates through 2036, some of which are cash collateralized. Additionally, United is involved in fuel consortia at major airports, which help reduce fuel distribution and storage costs. The consortia (and in limited cases, the participating carriers) have entered into long-term agreements to lease certain airport fuel storage and distribution facilities that are typically financed through various debt obligations. The Company has indirect guarantees for approximately $2.9 billion in loans secured by fuel facility leases in which United participates, with a contingent exposure of about $513 million. These indirect guarantees are set to expire between 2027 and 2056. The Company's contingent exposure could increase in the future if the participation of other air carriers in such fuel consortia decreases. See Note 12 to the financial statements included in Part II, Item 8 of this report for more information related to these guarantees and increased cost provisions.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Policies</w:t>
      </w:r>
    </w:p>
    <w:p>
      <w:pPr>
        <w:spacing w:after="0" w:line="196"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color w:val="auto"/>
        </w:rPr>
        <w:t>Critical accounting policies are defined as those that are affected by significant judgments and uncertainties which potentially could result in materially different accounting under different assumptions and conditions. The Company has prepared the financial statements in conformity with GAAP, which requires management to make estimates and assumptions that affect the reported amounts in the financial statements. Actual results could differ from those estimates. See Note 1 and Note 2 to the financial statements included in Part II, Item 8 of this report for additional discussion of these estimates and other significant accounting policies. The Company has identified the following critical accounting policies that impact the preparation of the financial statements.</w:t>
      </w:r>
    </w:p>
    <w:p>
      <w:pPr>
        <w:spacing w:after="0" w:line="130" w:lineRule="exact"/>
        <w:rPr>
          <w:sz w:val="20"/>
          <w:szCs w:val="20"/>
          <w:color w:val="auto"/>
        </w:rPr>
      </w:pPr>
    </w:p>
    <w:p>
      <w:pPr>
        <w:ind w:right="440"/>
        <w:spacing w:after="0" w:line="324" w:lineRule="auto"/>
        <w:rPr>
          <w:sz w:val="20"/>
          <w:szCs w:val="20"/>
          <w:color w:val="auto"/>
        </w:rPr>
      </w:pPr>
      <w:r>
        <w:rPr>
          <w:rFonts w:ascii="Arial" w:cs="Arial" w:eastAsia="Arial" w:hAnsi="Arial"/>
          <w:sz w:val="17"/>
          <w:szCs w:val="17"/>
          <w:b w:val="1"/>
          <w:bCs w:val="1"/>
          <w:i w:val="1"/>
          <w:iCs w:val="1"/>
          <w:color w:val="auto"/>
        </w:rPr>
        <w:t xml:space="preserve">Frequent Flyer Accounting. </w:t>
      </w:r>
      <w:r>
        <w:rPr>
          <w:rFonts w:ascii="Arial" w:cs="Arial" w:eastAsia="Arial" w:hAnsi="Arial"/>
          <w:sz w:val="17"/>
          <w:szCs w:val="17"/>
          <w:color w:val="auto"/>
        </w:rPr>
        <w:t>As discussed in Note 2 to the financial statements included in Part II, Item 8 of this report,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MileagePlus members earn miles through various travel and non-travel activities and those miles can be redeemed for free (other than taxes and government-imposed fees), discounted or upgraded air travel and non-travel awards.</w:t>
      </w:r>
    </w:p>
    <w:p>
      <w:pPr>
        <w:spacing w:after="0" w:line="83"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b w:val="1"/>
          <w:bCs w:val="1"/>
          <w:i w:val="1"/>
          <w:iCs w:val="1"/>
          <w:color w:val="auto"/>
        </w:rPr>
        <w:t>Co-Brand Agreement</w:t>
      </w:r>
      <w:r>
        <w:rPr>
          <w:rFonts w:ascii="Arial" w:cs="Arial" w:eastAsia="Arial" w:hAnsi="Arial"/>
          <w:sz w:val="19"/>
          <w:szCs w:val="19"/>
          <w:color w:val="auto"/>
        </w:rPr>
        <w:t>. United has a contract (the "Co-Brand Agreement") to sell MileagePlus miles to its co-branded credit card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partner Chase. Chase awards miles to MileagePlus members based on their credit card activity. United identified the following significant separately identifiable performance obligations in the Co-Brand Agreement:</w:t>
      </w:r>
    </w:p>
    <w:p>
      <w:pPr>
        <w:spacing w:after="0" w:line="45" w:lineRule="exact"/>
        <w:rPr>
          <w:sz w:val="20"/>
          <w:szCs w:val="20"/>
          <w:color w:val="auto"/>
        </w:rPr>
      </w:pPr>
    </w:p>
    <w:p>
      <w:pPr>
        <w:ind w:left="960" w:right="80" w:hanging="259"/>
        <w:spacing w:after="0" w:line="265" w:lineRule="auto"/>
        <w:tabs>
          <w:tab w:leader="none" w:pos="9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MileagePlus miles awarded – United has a performance obligation to provide MileagePlus cardholders with miles to be used for air travel and non-travel award redemptions. The Company records Passenger revenue related to the travel awards when the transportation is provided and records Other operating revenue related to the non-travel awards when the goods or services are delivered. The Company records the cost associated with non-travel awards in Other operating revenue, as an agent.</w:t>
      </w:r>
    </w:p>
    <w:p>
      <w:pPr>
        <w:spacing w:after="0" w:line="55" w:lineRule="exact"/>
        <w:rPr>
          <w:rFonts w:ascii="Arial" w:cs="Arial" w:eastAsia="Arial" w:hAnsi="Arial"/>
          <w:sz w:val="19"/>
          <w:szCs w:val="19"/>
          <w:color w:val="auto"/>
        </w:rPr>
      </w:pPr>
    </w:p>
    <w:p>
      <w:pPr>
        <w:ind w:left="960" w:right="180" w:hanging="259"/>
        <w:spacing w:after="0" w:line="345" w:lineRule="auto"/>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Marketing – United has a performance obligation to provide Chase access to United's customer list and the use of United's brand. Marketing revenue is recorded to Other operating revenue as miles are delivered to Chase.</w:t>
      </w:r>
    </w:p>
    <w:p>
      <w:pPr>
        <w:ind w:left="960" w:right="360" w:hanging="259"/>
        <w:spacing w:after="0" w:line="268" w:lineRule="auto"/>
        <w:tabs>
          <w:tab w:leader="none" w:pos="9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Advertising – United has a performance obligation to provide advertising in support of the MileagePlus card in various customer contact points such as United's website, email promotions, direct mail campaigns, airport advertising and in-flight advertising. Advertising revenue is recorded to Other operating revenue as miles are delivered to Chase.</w:t>
      </w:r>
    </w:p>
    <w:p>
      <w:pPr>
        <w:spacing w:after="0" w:line="52" w:lineRule="exact"/>
        <w:rPr>
          <w:rFonts w:ascii="Arial" w:cs="Arial" w:eastAsia="Arial" w:hAnsi="Arial"/>
          <w:sz w:val="19"/>
          <w:szCs w:val="19"/>
          <w:color w:val="auto"/>
        </w:rPr>
      </w:pPr>
    </w:p>
    <w:p>
      <w:pPr>
        <w:jc w:val="both"/>
        <w:ind w:left="960" w:right="40" w:hanging="259"/>
        <w:spacing w:after="0" w:line="349"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travel-related benefits – United's performance obligations are comprised of various items such as waived bag fees, seat upgrades and lounge passes. Lounge passes are recorded to Other operating revenue as customers use the lounge passes. Bag fees and seat upgrades are recorded to Passenger revenue at the time of the associated travel.</w:t>
      </w:r>
    </w:p>
    <w:p>
      <w:pPr>
        <w:spacing w:after="0" w:line="71" w:lineRule="exact"/>
        <w:rPr>
          <w:sz w:val="20"/>
          <w:szCs w:val="20"/>
          <w:color w:val="auto"/>
        </w:rPr>
      </w:pPr>
    </w:p>
    <w:p>
      <w:pPr>
        <w:ind w:right="460"/>
        <w:spacing w:after="0" w:line="321" w:lineRule="auto"/>
        <w:rPr>
          <w:sz w:val="20"/>
          <w:szCs w:val="20"/>
          <w:color w:val="auto"/>
        </w:rPr>
      </w:pPr>
      <w:r>
        <w:rPr>
          <w:rFonts w:ascii="Arial" w:cs="Arial" w:eastAsia="Arial" w:hAnsi="Arial"/>
          <w:sz w:val="17"/>
          <w:szCs w:val="17"/>
          <w:color w:val="auto"/>
        </w:rPr>
        <w:t>United accounts for payments received under the Co-Brand Agreement by allocating them to the separately identifiable performance obligations based on management's estimated selling price of each component. The objective of using the estimated selling price based methodology is to determine the price at which United would transact a sale if the product or</w:t>
      </w:r>
    </w:p>
    <w:p>
      <w:pPr>
        <w:sectPr>
          <w:pgSz w:w="11880" w:h="15480" w:orient="portrait"/>
          <w:cols w:equalWidth="0" w:num="1">
            <w:col w:w="9940"/>
          </w:cols>
          <w:pgMar w:left="960" w:top="598" w:right="980" w:bottom="33"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9940"/>
          </w:cols>
          <w:pgMar w:left="960" w:top="598" w:right="980" w:bottom="33" w:gutter="0" w:footer="0" w:header="0"/>
          <w:type w:val="continuous"/>
        </w:sectPr>
      </w:pPr>
    </w:p>
    <w:bookmarkStart w:id="48" w:name="page49"/>
    <w:bookmarkEnd w:id="48"/>
    <w:p>
      <w:pPr>
        <w:ind w:right="60"/>
        <w:spacing w:after="0" w:line="265" w:lineRule="auto"/>
        <w:rPr>
          <w:sz w:val="20"/>
          <w:szCs w:val="20"/>
          <w:color w:val="auto"/>
        </w:rPr>
      </w:pPr>
      <w:r>
        <w:rPr>
          <w:rFonts w:ascii="Arial" w:cs="Arial" w:eastAsia="Arial" w:hAnsi="Arial"/>
          <w:sz w:val="19"/>
          <w:szCs w:val="19"/>
          <w:color w:val="auto"/>
        </w:rPr>
        <w:t>service were sold on a stand-alone basis. Accordingly, United determines the estimated selling price by considering multiple inputs and methods including, but not limited to, discounted cash flows, brand value, volume discounts, published selling prices, number of miles awarded and number of miles redeemed. The Company estimated the selling prices and volumes over the term of the Co-Brand Agreement, at the inception of the contract, in order to determine the allocation of proceeds to each of the components to be delivered.</w:t>
      </w:r>
    </w:p>
    <w:p>
      <w:pPr>
        <w:spacing w:after="0" w:line="128" w:lineRule="exact"/>
        <w:rPr>
          <w:sz w:val="20"/>
          <w:szCs w:val="20"/>
          <w:color w:val="auto"/>
        </w:rPr>
      </w:pPr>
    </w:p>
    <w:p>
      <w:pPr>
        <w:ind w:right="280"/>
        <w:spacing w:after="0" w:line="270" w:lineRule="auto"/>
        <w:rPr>
          <w:sz w:val="20"/>
          <w:szCs w:val="20"/>
          <w:color w:val="auto"/>
        </w:rPr>
      </w:pPr>
      <w:r>
        <w:rPr>
          <w:rFonts w:ascii="Arial" w:cs="Arial" w:eastAsia="Arial" w:hAnsi="Arial"/>
          <w:sz w:val="19"/>
          <w:szCs w:val="19"/>
          <w:b w:val="1"/>
          <w:bCs w:val="1"/>
          <w:i w:val="1"/>
          <w:iCs w:val="1"/>
          <w:color w:val="auto"/>
        </w:rPr>
        <w:t xml:space="preserve">Pension plans. </w:t>
      </w:r>
      <w:r>
        <w:rPr>
          <w:rFonts w:ascii="Arial" w:cs="Arial" w:eastAsia="Arial" w:hAnsi="Arial"/>
          <w:sz w:val="19"/>
          <w:szCs w:val="19"/>
          <w:color w:val="auto"/>
        </w:rPr>
        <w:t>As discussed in Note 8 to the financial statements included in Part II, Item 8 of this report, United maintains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various defined benefit pension plans for certain employees. The most critical assumptions impacting our defined benefit pension plan obligation and expenses are the weighted average discount rate and the expected long-term rate of return on the plan assets.</w:t>
      </w:r>
    </w:p>
    <w:p>
      <w:pPr>
        <w:spacing w:after="0" w:line="128" w:lineRule="exact"/>
        <w:rPr>
          <w:sz w:val="20"/>
          <w:szCs w:val="20"/>
          <w:color w:val="auto"/>
        </w:rPr>
      </w:pPr>
    </w:p>
    <w:p>
      <w:pPr>
        <w:ind w:right="120"/>
        <w:spacing w:after="0" w:line="309" w:lineRule="auto"/>
        <w:rPr>
          <w:sz w:val="20"/>
          <w:szCs w:val="20"/>
          <w:color w:val="auto"/>
        </w:rPr>
      </w:pPr>
      <w:r>
        <w:rPr>
          <w:rFonts w:ascii="Arial" w:cs="Arial" w:eastAsia="Arial" w:hAnsi="Arial"/>
          <w:sz w:val="17"/>
          <w:szCs w:val="17"/>
          <w:color w:val="auto"/>
        </w:rPr>
        <w:t>As of January 1, 2026, the Company assumed that its plans' assets would generate a long-term rate of return of 8.07%. We develop our expected long-term rate of return assumption based on historical experience and by evaluating input from the trustee managing the plans' assets. Our expected long-term rate of return on plan assets for these plans is based on a target allocation of assets, which is based on our goal of earning the highest rate of return while maintaining risk at acceptable levels.</w:t>
      </w:r>
    </w:p>
    <w:p>
      <w:pPr>
        <w:spacing w:after="0" w:line="99"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The Company's weighted average discount rate to determine its benefit obligations as of December 31, 2025 was 5.62%. The Company selected the 2025 discount rate for substantially all of its plans by using a hypothetical portfolio of high-quality bonds that would provide the necessary cash flows to match projected benefit payments.</w:t>
      </w:r>
    </w:p>
    <w:p>
      <w:pPr>
        <w:spacing w:after="0" w:line="125" w:lineRule="exact"/>
        <w:rPr>
          <w:sz w:val="20"/>
          <w:szCs w:val="20"/>
          <w:color w:val="auto"/>
        </w:rPr>
      </w:pPr>
    </w:p>
    <w:p>
      <w:pPr>
        <w:ind w:right="580"/>
        <w:spacing w:after="0" w:line="294" w:lineRule="auto"/>
        <w:rPr>
          <w:sz w:val="20"/>
          <w:szCs w:val="20"/>
          <w:color w:val="auto"/>
        </w:rPr>
      </w:pPr>
      <w:r>
        <w:rPr>
          <w:rFonts w:ascii="Arial" w:cs="Arial" w:eastAsia="Arial" w:hAnsi="Arial"/>
          <w:sz w:val="19"/>
          <w:szCs w:val="19"/>
          <w:color w:val="auto"/>
        </w:rPr>
        <w:t>The table below shows the 2026 net periodic benefit cost and the impacts of a change in certain assumptions on 2026 net periodic benefit cost and the benefit obligations at December 31, 2025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43"/>
              <w:spacing w:after="0"/>
              <w:rPr>
                <w:sz w:val="20"/>
                <w:szCs w:val="20"/>
                <w:color w:val="auto"/>
              </w:rPr>
            </w:pPr>
            <w:r>
              <w:rPr>
                <w:rFonts w:ascii="Arial" w:cs="Arial" w:eastAsia="Arial" w:hAnsi="Arial"/>
                <w:sz w:val="19"/>
                <w:szCs w:val="19"/>
                <w:b w:val="1"/>
                <w:bCs w:val="1"/>
                <w:color w:val="auto"/>
              </w:rPr>
              <w:t>Pension</w:t>
            </w:r>
          </w:p>
        </w:tc>
      </w:tr>
      <w:tr>
        <w:trPr>
          <w:trHeight w:val="255"/>
        </w:trPr>
        <w:tc>
          <w:tcPr>
            <w:tcW w:w="8520" w:type="dxa"/>
            <w:vAlign w:val="bottom"/>
            <w:tcBorders>
              <w:bottom w:val="single" w:sz="8" w:color="E6E6E6"/>
            </w:tcBorders>
          </w:tcPr>
          <w:p>
            <w:pPr>
              <w:spacing w:after="0"/>
              <w:rPr>
                <w:sz w:val="22"/>
                <w:szCs w:val="22"/>
                <w:color w:val="auto"/>
              </w:rPr>
            </w:pPr>
          </w:p>
        </w:tc>
        <w:tc>
          <w:tcPr>
            <w:tcW w:w="10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43"/>
              <w:spacing w:after="0"/>
              <w:rPr>
                <w:sz w:val="20"/>
                <w:szCs w:val="20"/>
                <w:color w:val="auto"/>
              </w:rPr>
            </w:pPr>
            <w:r>
              <w:rPr>
                <w:rFonts w:ascii="Arial" w:cs="Arial" w:eastAsia="Arial" w:hAnsi="Arial"/>
                <w:sz w:val="19"/>
                <w:szCs w:val="19"/>
                <w:b w:val="1"/>
                <w:bCs w:val="1"/>
                <w:color w:val="auto"/>
                <w:w w:val="98"/>
              </w:rPr>
              <w:t>Benefits</w:t>
            </w:r>
          </w:p>
        </w:tc>
      </w:tr>
      <w:tr>
        <w:trPr>
          <w:trHeight w:val="266"/>
        </w:trPr>
        <w:tc>
          <w:tcPr>
            <w:tcW w:w="862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2026 Net Periodic Benefit Cost</w:t>
            </w:r>
          </w:p>
        </w:tc>
        <w:tc>
          <w:tcPr>
            <w:tcW w:w="240" w:type="dxa"/>
            <w:vAlign w:val="bottom"/>
            <w:shd w:val="clear" w:color="auto" w:fill="E6E6E6"/>
          </w:tcPr>
          <w:p>
            <w:pPr>
              <w:jc w:val="right"/>
              <w:ind w:right="3"/>
              <w:spacing w:after="0"/>
              <w:rPr>
                <w:sz w:val="20"/>
                <w:szCs w:val="20"/>
                <w:color w:val="auto"/>
              </w:rPr>
            </w:pPr>
            <w:r>
              <w:rPr>
                <w:rFonts w:ascii="Arial" w:cs="Arial" w:eastAsia="Arial" w:hAnsi="Arial"/>
                <w:sz w:val="19"/>
                <w:szCs w:val="19"/>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67</w:t>
            </w:r>
          </w:p>
        </w:tc>
      </w:tr>
      <w:tr>
        <w:trPr>
          <w:trHeight w:val="572"/>
        </w:trPr>
        <w:tc>
          <w:tcPr>
            <w:tcW w:w="852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Impact on Benefit Obligation at December 31, 2025</w:t>
            </w:r>
          </w:p>
        </w:tc>
        <w:tc>
          <w:tcPr>
            <w:tcW w:w="10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1100" w:type="dxa"/>
            <w:vAlign w:val="bottom"/>
            <w:tcBorders>
              <w:bottom w:val="single" w:sz="8" w:color="E6E6E6"/>
            </w:tcBorders>
          </w:tcPr>
          <w:p>
            <w:pPr>
              <w:spacing w:after="0"/>
              <w:rPr>
                <w:sz w:val="24"/>
                <w:szCs w:val="24"/>
                <w:color w:val="auto"/>
              </w:rPr>
            </w:pPr>
          </w:p>
        </w:tc>
      </w:tr>
      <w:tr>
        <w:trPr>
          <w:trHeight w:val="267"/>
        </w:trPr>
        <w:tc>
          <w:tcPr>
            <w:tcW w:w="862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100 basis points decrease in the weighted average discount rate</w:t>
            </w:r>
          </w:p>
        </w:tc>
        <w:tc>
          <w:tcPr>
            <w:tcW w:w="240" w:type="dxa"/>
            <w:vAlign w:val="bottom"/>
            <w:shd w:val="clear" w:color="auto" w:fill="E6E6E6"/>
          </w:tcPr>
          <w:p>
            <w:pPr>
              <w:jc w:val="right"/>
              <w:ind w:right="3"/>
              <w:spacing w:after="0"/>
              <w:rPr>
                <w:sz w:val="20"/>
                <w:szCs w:val="20"/>
                <w:color w:val="auto"/>
              </w:rPr>
            </w:pPr>
            <w:r>
              <w:rPr>
                <w:rFonts w:ascii="Arial" w:cs="Arial" w:eastAsia="Arial" w:hAnsi="Arial"/>
                <w:sz w:val="19"/>
                <w:szCs w:val="19"/>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796</w:t>
            </w:r>
          </w:p>
        </w:tc>
      </w:tr>
      <w:tr>
        <w:trPr>
          <w:trHeight w:val="572"/>
        </w:trPr>
        <w:tc>
          <w:tcPr>
            <w:tcW w:w="852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Impact on 2026 Net Periodic Benefit Cost</w:t>
            </w:r>
          </w:p>
        </w:tc>
        <w:tc>
          <w:tcPr>
            <w:tcW w:w="10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1100" w:type="dxa"/>
            <w:vAlign w:val="bottom"/>
            <w:tcBorders>
              <w:bottom w:val="single" w:sz="8" w:color="E6E6E6"/>
            </w:tcBorders>
          </w:tcPr>
          <w:p>
            <w:pPr>
              <w:spacing w:after="0"/>
              <w:rPr>
                <w:sz w:val="24"/>
                <w:szCs w:val="24"/>
                <w:color w:val="auto"/>
              </w:rPr>
            </w:pPr>
          </w:p>
        </w:tc>
      </w:tr>
      <w:tr>
        <w:trPr>
          <w:trHeight w:val="267"/>
        </w:trPr>
        <w:tc>
          <w:tcPr>
            <w:tcW w:w="862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100 basis points decrease in the weighted average discount rate (a)</w:t>
            </w:r>
          </w:p>
        </w:tc>
        <w:tc>
          <w:tcPr>
            <w:tcW w:w="240" w:type="dxa"/>
            <w:vAlign w:val="bottom"/>
            <w:shd w:val="clear" w:color="auto" w:fill="E6E6E6"/>
          </w:tcPr>
          <w:p>
            <w:pPr>
              <w:jc w:val="right"/>
              <w:ind w:right="3"/>
              <w:spacing w:after="0"/>
              <w:rPr>
                <w:sz w:val="20"/>
                <w:szCs w:val="20"/>
                <w:color w:val="auto"/>
              </w:rPr>
            </w:pPr>
            <w:r>
              <w:rPr>
                <w:rFonts w:ascii="Arial" w:cs="Arial" w:eastAsia="Arial" w:hAnsi="Arial"/>
                <w:sz w:val="19"/>
                <w:szCs w:val="19"/>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87</w:t>
            </w:r>
          </w:p>
        </w:tc>
      </w:tr>
      <w:tr>
        <w:trPr>
          <w:trHeight w:val="264"/>
        </w:trPr>
        <w:tc>
          <w:tcPr>
            <w:tcW w:w="8620" w:type="dxa"/>
            <w:vAlign w:val="bottom"/>
            <w:gridSpan w:val="2"/>
          </w:tcPr>
          <w:p>
            <w:pPr>
              <w:ind w:left="60"/>
              <w:spacing w:after="0"/>
              <w:rPr>
                <w:sz w:val="20"/>
                <w:szCs w:val="20"/>
                <w:color w:val="auto"/>
              </w:rPr>
            </w:pPr>
            <w:r>
              <w:rPr>
                <w:rFonts w:ascii="Arial" w:cs="Arial" w:eastAsia="Arial" w:hAnsi="Arial"/>
                <w:sz w:val="19"/>
                <w:szCs w:val="19"/>
                <w:color w:val="auto"/>
              </w:rPr>
              <w:t>100 basis points decrease in the expected long-term rate of return on plan assets</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-1445260</wp:posOffset>
            </wp:positionV>
            <wp:extent cx="8756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2">
                      <a:extLst>
                        <a:ext uri="{28A0092B-C50C-407E-A947-70E740481C1C}"/>
                      </a:extLst>
                    </a:blip>
                    <a:srcRect/>
                    <a:stretch>
                      <a:fillRect/>
                    </a:stretch>
                  </pic:blipFill>
                  <pic:spPr bwMode="auto">
                    <a:xfrm>
                      <a:off x="0" y="0"/>
                      <a:ext cx="875665" cy="2540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-900430</wp:posOffset>
            </wp:positionV>
            <wp:extent cx="543179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3">
                      <a:extLst>
                        <a:ext uri="{28A0092B-C50C-407E-A947-70E740481C1C}"/>
                      </a:extLst>
                    </a:blip>
                    <a:srcRect/>
                    <a:stretch>
                      <a:fillRect/>
                    </a:stretch>
                  </pic:blipFill>
                  <pic:spPr bwMode="auto">
                    <a:xfrm>
                      <a:off x="0" y="0"/>
                      <a:ext cx="5431790" cy="2540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-354965</wp:posOffset>
            </wp:positionV>
            <wp:extent cx="543179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4">
                      <a:extLst>
                        <a:ext uri="{28A0092B-C50C-407E-A947-70E740481C1C}"/>
                      </a:extLst>
                    </a:blip>
                    <a:srcRect/>
                    <a:stretch>
                      <a:fillRect/>
                    </a:stretch>
                  </pic:blipFill>
                  <pic:spPr bwMode="auto">
                    <a:xfrm>
                      <a:off x="0" y="0"/>
                      <a:ext cx="543179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1270</wp:posOffset>
                </wp:positionH>
                <wp:positionV relativeFrom="paragraph">
                  <wp:posOffset>7620</wp:posOffset>
                </wp:positionV>
                <wp:extent cx="540639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0639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0.6pt" to="425.8pt,0.6pt" o:allowincell="f" strokecolor="#000000" strokeweight="0.97pt"/>
            </w:pict>
          </mc:Fallback>
        </mc:AlternateContent>
      </w:r>
    </w:p>
    <w:p>
      <w:pPr>
        <w:spacing w:after="0" w:line="2" w:lineRule="exact"/>
        <w:rPr>
          <w:sz w:val="20"/>
          <w:szCs w:val="20"/>
          <w:color w:val="auto"/>
        </w:rPr>
      </w:pPr>
    </w:p>
    <w:p>
      <w:pPr>
        <w:ind w:left="60" w:right="380" w:hanging="6"/>
        <w:spacing w:after="0" w:line="222" w:lineRule="auto"/>
        <w:tabs>
          <w:tab w:leader="none" w:pos="271"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general, as discount rates increase, the impact of changes in discount rates decreases. Therefore, these sensitivities cannot be extrapolated for larger increases or decreases in the discount rate. In addition, benefit cost is affected by other factors including, but not limited to, investment performance, contributions, demographic experience and other assumption changes.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 xml:space="preserve">Indefinite-lived intangible assets. </w:t>
      </w:r>
      <w:r>
        <w:rPr>
          <w:rFonts w:ascii="Arial" w:cs="Arial" w:eastAsia="Arial" w:hAnsi="Arial"/>
          <w:sz w:val="18"/>
          <w:szCs w:val="18"/>
          <w:color w:val="auto"/>
        </w:rPr>
        <w:t>As discussed in Note 1 to the financial statements, goodwill and indefinite-lived intangible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are assessed for impairment on an annual basis as of October 1, or more frequently if events or circumstances indicate that the asset may be impaired. For the Company's China route authority, the Company performed a quantitative assessment which involved determining the fair value of the asset and comparing that amount to the asset's carrying value. To determine the fair value of the China route authority, the Company used a discounted cash flow method. Key assumptions used in the valuation model included forecasted revenues, margin and an overall discount rate. These assumptions are inherently uncertain as they relate to future events and circumstances.</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See Note 1 to the financial statements included in Part II, Item 8 of this report for additional information.</w:t>
      </w:r>
    </w:p>
    <w:p>
      <w:pPr>
        <w:sectPr>
          <w:pgSz w:w="11880" w:h="15480" w:orient="portrait"/>
          <w:cols w:equalWidth="0" w:num="1">
            <w:col w:w="9960"/>
          </w:cols>
          <w:pgMar w:left="960" w:top="586"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9960"/>
          </w:cols>
          <w:pgMar w:left="960" w:top="586" w:right="960" w:bottom="33" w:gutter="0" w:footer="0" w:header="0"/>
          <w:type w:val="continuous"/>
        </w:sectPr>
      </w:pPr>
    </w:p>
    <w:bookmarkStart w:id="49" w:name="page50"/>
    <w:bookmarkEnd w:id="49"/>
    <w:p>
      <w:pPr>
        <w:spacing w:after="0"/>
        <w:rPr>
          <w:sz w:val="20"/>
          <w:szCs w:val="20"/>
          <w:color w:val="auto"/>
        </w:rPr>
      </w:pPr>
      <w:r>
        <w:rPr>
          <w:rFonts w:ascii="Arial" w:cs="Arial" w:eastAsia="Arial" w:hAnsi="Arial"/>
          <w:sz w:val="19"/>
          <w:szCs w:val="19"/>
          <w:b w:val="1"/>
          <w:bCs w:val="1"/>
          <w:color w:val="auto"/>
        </w:rPr>
        <w:t>Cautionary Statement Regarding Forward-Looking Statements</w:t>
      </w:r>
    </w:p>
    <w:p>
      <w:pPr>
        <w:spacing w:after="0" w:line="196"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This report contains certain "forward-looking statements," within the meaning of Section 27A of the Securities Act of 1933, as amended, and Section 21E of the Securities Exchange Act of 1934, as amended, including in Part II, Item 7. Management's Discussion and Analysis of Financial Condition and Results of Operations and elsewhere, relating to, among other things, goals, plans and projections regarding the Company's financial position, results of operations, capital allocation and investments, market position, airline capacity, fleet plan strategy, fares, booking trends, product development, corporate citizenship-related strategy initiatives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and other words and terms of similar meaning and expression are intended to identify forward-looking statements, although not all forward-looking statements contain such terms. All statements, other than those that relate solely to historical facts, are forward-looking statements.</w:t>
      </w:r>
    </w:p>
    <w:p>
      <w:pPr>
        <w:spacing w:after="0" w:line="133" w:lineRule="exact"/>
        <w:rPr>
          <w:sz w:val="20"/>
          <w:szCs w:val="20"/>
          <w:color w:val="auto"/>
        </w:rPr>
      </w:pPr>
    </w:p>
    <w:p>
      <w:pPr>
        <w:ind w:right="320"/>
        <w:spacing w:after="0" w:line="263" w:lineRule="auto"/>
        <w:rPr>
          <w:sz w:val="20"/>
          <w:szCs w:val="20"/>
          <w:color w:val="auto"/>
        </w:rPr>
      </w:pPr>
      <w:r>
        <w:rPr>
          <w:rFonts w:ascii="Arial" w:cs="Arial" w:eastAsia="Arial" w:hAnsi="Arial"/>
          <w:sz w:val="19"/>
          <w:szCs w:val="19"/>
          <w:color w:val="auto"/>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report are based upon information available to us on the date of this report. We undertake no obligation to publicly update or revise any forward-looking statement, whether as a result of new information, future events, changed circumstances or otherwise, except as required by applicable law or regulation.</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Our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unfavorable developments affecting our MileagePlus loyalty program;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(including as a result of government shutdowns); geopolitical conflict, terrorist attacks or security events (including the suspension of our overflying in Russian airspace as a result of the Russia-Ukraine military conflict and interruptions of our flying as a result of military conflicts across the globe, as well as any escalation of the broader economic consequences of any conflicts beyond their current scope or a delay in any planned resumption of service to an area impacted by conflict);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costs related to employee and retiree health, pension, labor or regulatory compliance costs on our operations or financial performance; any failure to recruit, hire, develop or train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the impacts of our significant amount of financial leverage from fixed obligations and the impacts of insufficient liquidity on our financial condition and business; failure to comply with financial and other covenants governing</w:t>
      </w:r>
    </w:p>
    <w:p>
      <w:pPr>
        <w:sectPr>
          <w:pgSz w:w="11880" w:h="15480" w:orient="portrait"/>
          <w:cols w:equalWidth="0" w:num="1">
            <w:col w:w="9960"/>
          </w:cols>
          <w:pgMar w:left="960" w:top="579"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9960"/>
          </w:cols>
          <w:pgMar w:left="960" w:top="579" w:right="960" w:bottom="33" w:gutter="0" w:footer="0" w:header="0"/>
          <w:type w:val="continuous"/>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t>our debt;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UAL common stock and warrants; and other risks and uncertainties set forth under Part I, Item 1A. Risk Factors, and under "Economic and Market Factors" and "Governmental Actions" in Part II, Item 7. Management's Discussion and Analysis of Financial Condition and Results of Operations, of this report, as well as other risks and uncertainties set forth from time to time in the reports we file with the SEC.</w:t>
      </w:r>
    </w:p>
    <w:p>
      <w:pPr>
        <w:spacing w:after="0" w:line="126"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The foregoing list sets forth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 It is routine for our internal projections and expectations to change as the year or each quarter in the year progresses, and therefore it should be clearly understood that the internal projections, beliefs and assumptions upon which we base our expectations may change. For instance, we regularly monitor future demand and booking trends and adjust capacity, as needed. As such, our actual flown capacity may differ materially from currently published flight schedules or current estimations.</w:t>
      </w:r>
    </w:p>
    <w:p>
      <w:pPr>
        <w:sectPr>
          <w:pgSz w:w="11880" w:h="15480" w:orient="portrait"/>
          <w:cols w:equalWidth="0" w:num="1">
            <w:col w:w="9940"/>
          </w:cols>
          <w:pgMar w:left="960" w:top="586"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9940"/>
          </w:cols>
          <w:pgMar w:left="960" w:top="586" w:right="980" w:bottom="33" w:gutter="0" w:footer="0" w:header="0"/>
          <w:type w:val="continuous"/>
        </w:sectPr>
      </w:pPr>
    </w:p>
    <w:bookmarkStart w:id="51" w:name="page52"/>
    <w:bookmarkEnd w:id="51"/>
    <w:p>
      <w:pPr>
        <w:spacing w:after="0"/>
        <w:tabs>
          <w:tab w:leader="none" w:pos="1380" w:val="left"/>
        </w:tabs>
        <w:rPr>
          <w:sz w:val="20"/>
          <w:szCs w:val="20"/>
          <w:color w:val="auto"/>
        </w:rPr>
      </w:pPr>
      <w:r>
        <w:rPr>
          <w:rFonts w:ascii="Arial" w:cs="Arial" w:eastAsia="Arial" w:hAnsi="Arial"/>
          <w:sz w:val="19"/>
          <w:szCs w:val="19"/>
          <w:b w:val="1"/>
          <w:bCs w:val="1"/>
          <w:color w:val="auto"/>
        </w:rPr>
        <w:t>ITEM 7A.</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exposed to market risk resulting from changes in foreign currency exchange rates and interest rates. These risks, along with other business risks, impact our cost of capital. It is our policy to manage our debt structure and foreign exchange exposure in order to manage capital costs, control financial risks and maintain financial flexibility over the long term. In managing market risks, we may employ derivatives according to documented policies and procedures, including interest rate swaps, interest rate locks, foreign currency exchange contracts and combined interest rate foreign currency contracts (cross-currency swaps). We do not use derivatives for trading or speculative purposes. We do not foresee significant changes in the strategies we use to manage market risk in the near future. All of our financial instruments are subject to counterparty credit risk considered as part of the overall fair value measurement.</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i w:val="1"/>
          <w:iCs w:val="1"/>
          <w:color w:val="auto"/>
        </w:rPr>
        <w:t xml:space="preserve">Interest Rates. </w:t>
      </w:r>
      <w:r>
        <w:rPr>
          <w:rFonts w:ascii="Arial" w:cs="Arial" w:eastAsia="Arial" w:hAnsi="Arial"/>
          <w:sz w:val="19"/>
          <w:szCs w:val="19"/>
          <w:color w:val="auto"/>
        </w:rPr>
        <w:t>Our net income is affected by fluctuations in interest rates (e.g. interest expense on variable rate debt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interest income earned on short-term investments). The Company's policy is to manage interest rate risk through a combination of fixed and variable rate debt. The following table summarizes information related to the Company's interest rate market risk at December 31, 2025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Arial" w:cs="Arial" w:eastAsia="Arial" w:hAnsi="Arial"/>
                <w:sz w:val="19"/>
                <w:szCs w:val="19"/>
                <w:b w:val="1"/>
                <w:bCs w:val="1"/>
                <w:color w:val="auto"/>
              </w:rPr>
              <w:t>Variable rate debt</w:t>
            </w: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54"/>
        </w:trPr>
        <w:tc>
          <w:tcPr>
            <w:tcW w:w="6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1"/>
        </w:trPr>
        <w:tc>
          <w:tcPr>
            <w:tcW w:w="60" w:type="dxa"/>
            <w:vAlign w:val="bottom"/>
            <w:tcBorders>
              <w:bottom w:val="single" w:sz="8" w:color="E6E6E6"/>
            </w:tcBorders>
            <w:shd w:val="clear" w:color="auto" w:fill="E6E6E6"/>
          </w:tcPr>
          <w:p>
            <w:pPr>
              <w:spacing w:after="0"/>
              <w:rPr>
                <w:sz w:val="23"/>
                <w:szCs w:val="23"/>
                <w:color w:val="auto"/>
              </w:rPr>
            </w:pPr>
          </w:p>
        </w:tc>
        <w:tc>
          <w:tcPr>
            <w:tcW w:w="766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19"/>
                <w:szCs w:val="19"/>
                <w:color w:val="auto"/>
              </w:rPr>
              <w:t>Carrying value of variable rate debt</w:t>
            </w:r>
          </w:p>
        </w:tc>
        <w:tc>
          <w:tcPr>
            <w:tcW w:w="1340" w:type="dxa"/>
            <w:vAlign w:val="bottom"/>
            <w:tcBorders>
              <w:bottom w:val="single" w:sz="8" w:color="E6E6E6"/>
            </w:tcBorders>
            <w:shd w:val="clear" w:color="auto" w:fill="E6E6E6"/>
          </w:tcPr>
          <w:p>
            <w:pPr>
              <w:jc w:val="right"/>
              <w:ind w:right="18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8,528</w:t>
            </w:r>
          </w:p>
        </w:tc>
      </w:tr>
      <w:tr>
        <w:trPr>
          <w:trHeight w:val="261"/>
        </w:trPr>
        <w:tc>
          <w:tcPr>
            <w:tcW w:w="60" w:type="dxa"/>
            <w:vAlign w:val="bottom"/>
          </w:tcPr>
          <w:p>
            <w:pPr>
              <w:spacing w:after="0"/>
              <w:rPr>
                <w:sz w:val="22"/>
                <w:szCs w:val="22"/>
                <w:color w:val="auto"/>
              </w:rPr>
            </w:pPr>
          </w:p>
        </w:tc>
        <w:tc>
          <w:tcPr>
            <w:tcW w:w="7660" w:type="dxa"/>
            <w:vAlign w:val="bottom"/>
            <w:gridSpan w:val="3"/>
          </w:tcPr>
          <w:p>
            <w:pPr>
              <w:spacing w:after="0"/>
              <w:rPr>
                <w:sz w:val="20"/>
                <w:szCs w:val="20"/>
                <w:color w:val="auto"/>
              </w:rPr>
            </w:pPr>
            <w:r>
              <w:rPr>
                <w:rFonts w:ascii="Arial" w:cs="Arial" w:eastAsia="Arial" w:hAnsi="Arial"/>
                <w:sz w:val="19"/>
                <w:szCs w:val="19"/>
                <w:color w:val="auto"/>
              </w:rPr>
              <w:t>Impact of 100 basis point increase on projected interest expense for the following year</w:t>
            </w:r>
          </w:p>
        </w:tc>
        <w:tc>
          <w:tcPr>
            <w:tcW w:w="1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30"/>
        </w:trPr>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1"/>
        </w:trPr>
        <w:tc>
          <w:tcPr>
            <w:tcW w:w="60" w:type="dxa"/>
            <w:vAlign w:val="bottom"/>
            <w:tcBorders>
              <w:bottom w:val="single" w:sz="8" w:color="E6E6E6"/>
            </w:tcBorders>
            <w:shd w:val="clear" w:color="auto" w:fill="E6E6E6"/>
          </w:tcPr>
          <w:p>
            <w:pPr>
              <w:spacing w:after="0"/>
              <w:rPr>
                <w:sz w:val="23"/>
                <w:szCs w:val="23"/>
                <w:color w:val="auto"/>
              </w:rPr>
            </w:pPr>
          </w:p>
        </w:tc>
        <w:tc>
          <w:tcPr>
            <w:tcW w:w="1260" w:type="dxa"/>
            <w:vAlign w:val="bottom"/>
            <w:tcBorders>
              <w:bottom w:val="single" w:sz="8" w:color="auto"/>
            </w:tcBorders>
            <w:shd w:val="clear" w:color="auto" w:fill="E6E6E6"/>
          </w:tcPr>
          <w:p>
            <w:pPr>
              <w:spacing w:after="0" w:line="217" w:lineRule="exact"/>
              <w:rPr>
                <w:sz w:val="20"/>
                <w:szCs w:val="20"/>
                <w:color w:val="auto"/>
              </w:rPr>
            </w:pPr>
            <w:r>
              <w:rPr>
                <w:rFonts w:ascii="Arial" w:cs="Arial" w:eastAsia="Arial" w:hAnsi="Arial"/>
                <w:sz w:val="19"/>
                <w:szCs w:val="19"/>
                <w:b w:val="1"/>
                <w:bCs w:val="1"/>
                <w:color w:val="auto"/>
                <w:w w:val="91"/>
              </w:rPr>
              <w:t>Fixed rate debt</w:t>
            </w:r>
          </w:p>
        </w:tc>
        <w:tc>
          <w:tcPr>
            <w:tcW w:w="6400" w:type="dxa"/>
            <w:vAlign w:val="bottom"/>
            <w:tcBorders>
              <w:bottom w:val="single" w:sz="8" w:color="E6E6E6"/>
            </w:tcBorders>
            <w:gridSpan w:val="2"/>
            <w:shd w:val="clear" w:color="auto" w:fill="E6E6E6"/>
          </w:tcPr>
          <w:p>
            <w:pPr>
              <w:spacing w:after="0"/>
              <w:rPr>
                <w:sz w:val="23"/>
                <w:szCs w:val="23"/>
                <w:color w:val="auto"/>
              </w:rPr>
            </w:pPr>
          </w:p>
        </w:tc>
        <w:tc>
          <w:tcPr>
            <w:tcW w:w="1340" w:type="dxa"/>
            <w:vAlign w:val="bottom"/>
            <w:tcBorders>
              <w:bottom w:val="single" w:sz="8" w:color="E6E6E6"/>
            </w:tcBorders>
            <w:shd w:val="clear" w:color="auto" w:fill="E6E6E6"/>
          </w:tcPr>
          <w:p>
            <w:pPr>
              <w:spacing w:after="0"/>
              <w:rPr>
                <w:sz w:val="23"/>
                <w:szCs w:val="23"/>
                <w:color w:val="auto"/>
              </w:rPr>
            </w:pPr>
          </w:p>
        </w:tc>
        <w:tc>
          <w:tcPr>
            <w:tcW w:w="900" w:type="dxa"/>
            <w:vAlign w:val="bottom"/>
            <w:tcBorders>
              <w:bottom w:val="single" w:sz="8" w:color="E6E6E6"/>
            </w:tcBorders>
            <w:shd w:val="clear" w:color="auto" w:fill="E6E6E6"/>
          </w:tcPr>
          <w:p>
            <w:pPr>
              <w:spacing w:after="0"/>
              <w:rPr>
                <w:sz w:val="23"/>
                <w:szCs w:val="23"/>
                <w:color w:val="auto"/>
              </w:rPr>
            </w:pPr>
          </w:p>
        </w:tc>
      </w:tr>
      <w:tr>
        <w:trPr>
          <w:trHeight w:val="261"/>
        </w:trPr>
        <w:tc>
          <w:tcPr>
            <w:tcW w:w="60" w:type="dxa"/>
            <w:vAlign w:val="bottom"/>
          </w:tcPr>
          <w:p>
            <w:pPr>
              <w:spacing w:after="0"/>
              <w:rPr>
                <w:sz w:val="22"/>
                <w:szCs w:val="22"/>
                <w:color w:val="auto"/>
              </w:rPr>
            </w:pPr>
          </w:p>
        </w:tc>
        <w:tc>
          <w:tcPr>
            <w:tcW w:w="7660" w:type="dxa"/>
            <w:vAlign w:val="bottom"/>
            <w:gridSpan w:val="3"/>
          </w:tcPr>
          <w:p>
            <w:pPr>
              <w:spacing w:after="0"/>
              <w:rPr>
                <w:sz w:val="20"/>
                <w:szCs w:val="20"/>
                <w:color w:val="auto"/>
              </w:rPr>
            </w:pPr>
            <w:r>
              <w:rPr>
                <w:rFonts w:ascii="Arial" w:cs="Arial" w:eastAsia="Arial" w:hAnsi="Arial"/>
                <w:sz w:val="19"/>
                <w:szCs w:val="19"/>
                <w:color w:val="auto"/>
              </w:rPr>
              <w:t>Carrying value of fixed rate debt</w:t>
            </w:r>
          </w:p>
        </w:tc>
        <w:tc>
          <w:tcPr>
            <w:tcW w:w="1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12,737</w:t>
            </w:r>
          </w:p>
        </w:tc>
      </w:tr>
      <w:tr>
        <w:trPr>
          <w:trHeight w:val="30"/>
        </w:trPr>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1"/>
        </w:trPr>
        <w:tc>
          <w:tcPr>
            <w:tcW w:w="60" w:type="dxa"/>
            <w:vAlign w:val="bottom"/>
            <w:tcBorders>
              <w:bottom w:val="single" w:sz="8" w:color="E6E6E6"/>
            </w:tcBorders>
            <w:shd w:val="clear" w:color="auto" w:fill="E6E6E6"/>
          </w:tcPr>
          <w:p>
            <w:pPr>
              <w:spacing w:after="0"/>
              <w:rPr>
                <w:sz w:val="23"/>
                <w:szCs w:val="23"/>
                <w:color w:val="auto"/>
              </w:rPr>
            </w:pPr>
          </w:p>
        </w:tc>
        <w:tc>
          <w:tcPr>
            <w:tcW w:w="766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19"/>
                <w:szCs w:val="19"/>
                <w:color w:val="auto"/>
              </w:rPr>
              <w:t>Fair value of fixed rate debt</w:t>
            </w:r>
          </w:p>
        </w:tc>
        <w:tc>
          <w:tcPr>
            <w:tcW w:w="1340" w:type="dxa"/>
            <w:vAlign w:val="bottom"/>
            <w:tcBorders>
              <w:bottom w:val="single" w:sz="8" w:color="E6E6E6"/>
            </w:tcBorders>
            <w:shd w:val="clear" w:color="auto" w:fill="E6E6E6"/>
          </w:tcPr>
          <w:p>
            <w:pPr>
              <w:spacing w:after="0"/>
              <w:rPr>
                <w:sz w:val="23"/>
                <w:szCs w:val="23"/>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12,734</w:t>
            </w:r>
          </w:p>
        </w:tc>
      </w:tr>
      <w:tr>
        <w:trPr>
          <w:trHeight w:val="261"/>
        </w:trPr>
        <w:tc>
          <w:tcPr>
            <w:tcW w:w="60" w:type="dxa"/>
            <w:vAlign w:val="bottom"/>
          </w:tcPr>
          <w:p>
            <w:pPr>
              <w:spacing w:after="0"/>
              <w:rPr>
                <w:sz w:val="22"/>
                <w:szCs w:val="22"/>
                <w:color w:val="auto"/>
              </w:rPr>
            </w:pPr>
          </w:p>
        </w:tc>
        <w:tc>
          <w:tcPr>
            <w:tcW w:w="7660" w:type="dxa"/>
            <w:vAlign w:val="bottom"/>
            <w:gridSpan w:val="3"/>
          </w:tcPr>
          <w:p>
            <w:pPr>
              <w:spacing w:after="0"/>
              <w:rPr>
                <w:sz w:val="20"/>
                <w:szCs w:val="20"/>
                <w:color w:val="auto"/>
              </w:rPr>
            </w:pPr>
            <w:r>
              <w:rPr>
                <w:rFonts w:ascii="Arial" w:cs="Arial" w:eastAsia="Arial" w:hAnsi="Arial"/>
                <w:sz w:val="19"/>
                <w:szCs w:val="19"/>
                <w:color w:val="auto"/>
              </w:rPr>
              <w:t>Impact of 100 basis point increase in market rates on fair value</w:t>
            </w:r>
          </w:p>
        </w:tc>
        <w:tc>
          <w:tcPr>
            <w:tcW w:w="1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(342)</w:t>
            </w:r>
          </w:p>
        </w:tc>
      </w:tr>
    </w:tbl>
    <w:p>
      <w:pPr>
        <w:spacing w:after="0" w:line="241" w:lineRule="exact"/>
        <w:rPr>
          <w:sz w:val="20"/>
          <w:szCs w:val="20"/>
          <w:color w:val="auto"/>
        </w:rPr>
      </w:pPr>
    </w:p>
    <w:p>
      <w:pPr>
        <w:ind w:right="80"/>
        <w:spacing w:after="0" w:line="321" w:lineRule="auto"/>
        <w:rPr>
          <w:sz w:val="20"/>
          <w:szCs w:val="20"/>
          <w:color w:val="auto"/>
        </w:rPr>
      </w:pPr>
      <w:r>
        <w:rPr>
          <w:rFonts w:ascii="Arial" w:cs="Arial" w:eastAsia="Arial" w:hAnsi="Arial"/>
          <w:sz w:val="17"/>
          <w:szCs w:val="17"/>
          <w:color w:val="auto"/>
        </w:rPr>
        <w:t>The Company has $8.6 billion in variable rate debt which includes increased cost provisions due to any reduced returns with respect to the loans due to any change in capital requirements or increased costs that the lenders incur in carrying these loans as a result of any change in law and $5.4 billion of these loans, from non-U.S. entities, could be affected by changes in tax laws.</w:t>
      </w:r>
    </w:p>
    <w:p>
      <w:pPr>
        <w:spacing w:after="0" w:line="8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A change in market interest rates would also impact interest income earned on our cash, cash equivalents and short-term investments. Assuming our cash, cash equivalents and short-term investments remain at their average 2025 levels, a 100 basis point increase in interest rates would result in a corresponding increase in the Company's interest income of approximately $140 million during 2026.</w:t>
      </w:r>
    </w:p>
    <w:p>
      <w:pPr>
        <w:spacing w:after="0" w:line="125" w:lineRule="exact"/>
        <w:rPr>
          <w:sz w:val="20"/>
          <w:szCs w:val="20"/>
          <w:color w:val="auto"/>
        </w:rPr>
      </w:pPr>
    </w:p>
    <w:p>
      <w:pPr>
        <w:ind w:right="240"/>
        <w:spacing w:after="0" w:line="299" w:lineRule="auto"/>
        <w:rPr>
          <w:sz w:val="20"/>
          <w:szCs w:val="20"/>
          <w:color w:val="auto"/>
        </w:rPr>
      </w:pPr>
      <w:r>
        <w:rPr>
          <w:rFonts w:ascii="Arial" w:cs="Arial" w:eastAsia="Arial" w:hAnsi="Arial"/>
          <w:sz w:val="19"/>
          <w:szCs w:val="19"/>
          <w:b w:val="1"/>
          <w:bCs w:val="1"/>
          <w:i w:val="1"/>
          <w:iCs w:val="1"/>
          <w:color w:val="auto"/>
        </w:rPr>
        <w:t xml:space="preserve">Commodity Price Risk (Aircraft Fuel). </w:t>
      </w:r>
      <w:r>
        <w:rPr>
          <w:rFonts w:ascii="Arial" w:cs="Arial" w:eastAsia="Arial" w:hAnsi="Arial"/>
          <w:sz w:val="19"/>
          <w:szCs w:val="19"/>
          <w:color w:val="auto"/>
        </w:rPr>
        <w:t>The price of aircraft fuel can significantly affect the Company's operations, results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operations, financial position and liquidity.</w:t>
      </w:r>
    </w:p>
    <w:p>
      <w:pPr>
        <w:spacing w:after="0" w:line="101"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Our operational and financial results can be significantly impacted by changes in the price and availability of aircraft fuel. To provide adequate supplies of fuel, the Company routinely enters into purchase contracts that are customarily indexed to market prices for aircraft fuel, and the Company generally has some ability to cover short-term fuel supply and infrastructure disruptions at some major demand locations. The Company's current strategy is to not enter into transactions to hedge fuel price volatility, although the Company regularly reviews its policy based on market conditions and other factors. A one-dollar change in the price of a barrel of aircraft fuel would change the Company's 2026 projected fuel expense by approximately $116 million.</w:t>
      </w:r>
    </w:p>
    <w:p>
      <w:pPr>
        <w:spacing w:after="0" w:line="101"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b w:val="1"/>
          <w:bCs w:val="1"/>
          <w:i w:val="1"/>
          <w:iCs w:val="1"/>
          <w:color w:val="auto"/>
        </w:rPr>
        <w:t xml:space="preserve">Foreign Currency. </w:t>
      </w:r>
      <w:r>
        <w:rPr>
          <w:rFonts w:ascii="Arial" w:cs="Arial" w:eastAsia="Arial" w:hAnsi="Arial"/>
          <w:sz w:val="19"/>
          <w:szCs w:val="19"/>
          <w:color w:val="auto"/>
        </w:rPr>
        <w:t>The Company generates revenues and incurs expenses in numerous foreign currencies. Changes in foreign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currency exchange rates impact the Company's results of operations through changes in the dollar value of foreign currency-denominated operating revenues and expenses. Some of the Company's more significant foreign currency exposures include the Canadian dollar, European euro, Japanese yen, Chinese renminbi, Brazilian real and Mexican peso. The Company's current strategy is to not enter into transactions to hedge its foreign currency exposure, although the Company regularly reviews its policy based on market conditions and other factors.</w:t>
      </w:r>
    </w:p>
    <w:p>
      <w:pPr>
        <w:spacing w:after="0" w:line="135" w:lineRule="exact"/>
        <w:rPr>
          <w:sz w:val="20"/>
          <w:szCs w:val="20"/>
          <w:color w:val="auto"/>
        </w:rPr>
      </w:pPr>
    </w:p>
    <w:p>
      <w:pPr>
        <w:jc w:val="both"/>
        <w:ind w:right="100"/>
        <w:spacing w:after="0" w:line="268" w:lineRule="auto"/>
        <w:rPr>
          <w:sz w:val="20"/>
          <w:szCs w:val="20"/>
          <w:color w:val="auto"/>
        </w:rPr>
      </w:pPr>
      <w:r>
        <w:rPr>
          <w:rFonts w:ascii="Arial" w:cs="Arial" w:eastAsia="Arial" w:hAnsi="Arial"/>
          <w:sz w:val="19"/>
          <w:szCs w:val="19"/>
          <w:color w:val="auto"/>
        </w:rPr>
        <w:t>The result of a uniform 1% strengthening in the value of the U.S. dollar from December 31, 2025 levels relative to each of the currencies in which the Company has foreign currency exposure would result in a decrease in pre-tax income of approximately $12 million for the year ending December 31, 2026. This sensitivity analysis was prepared based upon projected 2026 foreign currency-denominated revenues and expenses as of December 31, 2025.</w:t>
      </w:r>
    </w:p>
    <w:p>
      <w:pPr>
        <w:sectPr>
          <w:pgSz w:w="11880" w:h="15480" w:orient="portrait"/>
          <w:cols w:equalWidth="0" w:num="1">
            <w:col w:w="9960"/>
          </w:cols>
          <w:pgMar w:left="960" w:top="579"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9960"/>
          </w:cols>
          <w:pgMar w:left="960" w:top="579" w:right="960" w:bottom="33" w:gutter="0" w:footer="0" w:header="0"/>
          <w:type w:val="continuous"/>
        </w:sectPr>
      </w:pPr>
    </w:p>
    <w:bookmarkStart w:id="52" w:name="page53"/>
    <w:bookmarkEnd w:id="52"/>
    <w:p>
      <w:pPr>
        <w:spacing w:after="0"/>
        <w:tabs>
          <w:tab w:leader="none" w:pos="138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INDEX TO CONSOLIDATED FINANCIAL STATEMENTS</w:t>
      </w:r>
    </w:p>
    <w:p>
      <w:pPr>
        <w:spacing w:after="0" w:line="373" w:lineRule="exact"/>
        <w:rPr>
          <w:sz w:val="20"/>
          <w:szCs w:val="20"/>
          <w:color w:val="auto"/>
        </w:rPr>
      </w:pPr>
    </w:p>
    <w:p>
      <w:pPr>
        <w:ind w:left="400"/>
        <w:spacing w:after="0"/>
        <w:rPr>
          <w:sz w:val="20"/>
          <w:szCs w:val="20"/>
          <w:color w:val="auto"/>
        </w:rPr>
      </w:pPr>
      <w:r>
        <w:rPr>
          <w:rFonts w:ascii="Arial" w:cs="Arial" w:eastAsia="Arial" w:hAnsi="Arial"/>
          <w:sz w:val="19"/>
          <w:szCs w:val="19"/>
          <w:u w:val="single" w:color="auto"/>
          <w:color w:val="auto"/>
        </w:rPr>
        <w:t>Report of Independent Registered Public Accounting Firm (PCAOB ID:</w:t>
      </w:r>
      <w:r>
        <w:rPr>
          <w:rFonts w:ascii="Arial" w:cs="Arial" w:eastAsia="Arial" w:hAnsi="Arial"/>
          <w:sz w:val="19"/>
          <w:szCs w:val="19"/>
          <w:color w:val="auto"/>
        </w:rPr>
        <w:t xml:space="preserve"> 42)</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9"/>
          <w:szCs w:val="19"/>
          <w:u w:val="single" w:color="auto"/>
          <w:color w:val="auto"/>
        </w:rPr>
        <w:t>United Airlines Holdings, Inc.:</w:t>
      </w:r>
    </w:p>
    <w:p>
      <w:pPr>
        <w:spacing w:after="0" w:line="65"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Statements of Consolidated Operations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Statements of Consolidated Comprehensive Income (Loss)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Consolidated Balance Sheets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Statements of Consolidated Cash Flows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Statement of Consolidated Stockholders' Equity</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9"/>
          <w:szCs w:val="19"/>
          <w:u w:val="single" w:color="auto"/>
          <w:color w:val="auto"/>
        </w:rPr>
        <w:t>United Airlines, Inc.:</w:t>
      </w:r>
    </w:p>
    <w:p>
      <w:pPr>
        <w:spacing w:after="0" w:line="65"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Statements of Consolidated Operations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Statements of Consolidated Comprehensive Income (Loss)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Consolidated Balance Sheets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Statements of Consolidated Cash Flows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Statement of Consolidated Stockholder's Equity</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9"/>
          <w:szCs w:val="19"/>
          <w:u w:val="single" w:color="auto"/>
          <w:color w:val="auto"/>
        </w:rPr>
        <w:t>Combined Notes to Consolidated Financial Statements</w:t>
      </w:r>
    </w:p>
    <w:p>
      <w:pPr>
        <w:spacing w:after="0" w:line="138" w:lineRule="exact"/>
        <w:rPr>
          <w:sz w:val="20"/>
          <w:szCs w:val="20"/>
          <w:color w:val="auto"/>
        </w:rPr>
      </w:pPr>
    </w:p>
    <w:p>
      <w:pPr>
        <w:ind w:left="620" w:right="2720"/>
        <w:spacing w:after="0" w:line="319" w:lineRule="auto"/>
        <w:rPr>
          <w:sz w:val="20"/>
          <w:szCs w:val="20"/>
          <w:color w:val="auto"/>
        </w:rPr>
      </w:pPr>
      <w:r>
        <w:rPr>
          <w:rFonts w:ascii="Arial" w:cs="Arial" w:eastAsia="Arial" w:hAnsi="Arial"/>
          <w:sz w:val="19"/>
          <w:szCs w:val="19"/>
          <w:u w:val="single" w:color="auto"/>
          <w:color w:val="auto"/>
        </w:rPr>
        <w:t>Note 1 - Basis of Presentation and Significant Accounting Policies Note 2 - Revenue Recognition</w:t>
      </w:r>
    </w:p>
    <w:p>
      <w:pPr>
        <w:spacing w:after="0" w:line="1" w:lineRule="exact"/>
        <w:rPr>
          <w:sz w:val="20"/>
          <w:szCs w:val="20"/>
          <w:color w:val="auto"/>
        </w:rPr>
      </w:pPr>
    </w:p>
    <w:p>
      <w:pPr>
        <w:ind w:left="620" w:right="2900"/>
        <w:spacing w:after="0" w:line="355" w:lineRule="auto"/>
        <w:rPr>
          <w:sz w:val="20"/>
          <w:szCs w:val="20"/>
          <w:color w:val="auto"/>
        </w:rPr>
      </w:pPr>
      <w:r>
        <w:rPr>
          <w:rFonts w:ascii="Arial" w:cs="Arial" w:eastAsia="Arial" w:hAnsi="Arial"/>
          <w:sz w:val="19"/>
          <w:szCs w:val="19"/>
          <w:u w:val="single" w:color="auto"/>
          <w:color w:val="auto"/>
        </w:rPr>
        <w:t>Note 3 - Common Stockholders' Equity and Preferred Securities Note 4 - Earnings Per Share</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Note 5 - Share-Based Compensation Plans</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Note 6 - Accumulated Other Comprehensive Income (Loss) ("AOCI")</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Note 7 - Income Taxes</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Note 8 - Pension, Postretirement and Other Employee Benefit Plans</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Note 9 - Fair Value Measurements, Investments and Notes Receivable</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Note 10 - Debt</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Note 11 - Leases</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Note 12 - Commitments, Contingencies and Guarantees</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Note 13 - Special Charges (Credits)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-271145</wp:posOffset>
                </wp:positionH>
                <wp:positionV relativeFrom="paragraph">
                  <wp:posOffset>22860</wp:posOffset>
                </wp:positionV>
                <wp:extent cx="72961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961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499pt,1.8pt" to="36.1pt,1.8pt" o:allowincell="f" strokecolor="#000000" strokeweight="0.97pt"/>
            </w:pict>
          </mc:Fallback>
        </mc:AlternateConten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52</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57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58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59</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60</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61</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62</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63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64</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65</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66</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66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70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73</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74</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74</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76</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76</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78</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84</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86</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87</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90</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92</w:t>
      </w:r>
    </w:p>
    <w:p>
      <w:pPr>
        <w:spacing w:after="0" w:line="200" w:lineRule="exact"/>
        <w:rPr>
          <w:sz w:val="20"/>
          <w:szCs w:val="20"/>
          <w:color w:val="auto"/>
        </w:rPr>
      </w:pPr>
    </w:p>
    <w:p>
      <w:pPr>
        <w:sectPr>
          <w:pgSz w:w="11880" w:h="15480" w:orient="portrait"/>
          <w:cols w:equalWidth="0" w:num="2">
            <w:col w:w="8500" w:space="720"/>
            <w:col w:w="680"/>
          </w:cols>
          <w:pgMar w:left="960" w:top="579" w:right="102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9900"/>
          </w:cols>
          <w:pgMar w:left="960" w:top="579" w:right="1020" w:bottom="33" w:gutter="0" w:footer="0" w:header="0"/>
          <w:type w:val="continuous"/>
        </w:sectPr>
      </w:pPr>
    </w:p>
    <w:bookmarkStart w:id="53" w:name="page54"/>
    <w:bookmarkEnd w:id="53"/>
    <w:p>
      <w:pPr>
        <w:ind w:right="2560" w:firstLine="2548"/>
        <w:spacing w:after="0" w:line="492"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 xml:space="preserve">To the Stockholders and the Board of Directors of United Airlines Holdings, Inc. </w:t>
      </w:r>
      <w:r>
        <w:rPr>
          <w:rFonts w:ascii="Arial" w:cs="Arial" w:eastAsia="Arial" w:hAnsi="Arial"/>
          <w:sz w:val="19"/>
          <w:szCs w:val="19"/>
          <w:b w:val="1"/>
          <w:bCs w:val="1"/>
          <w:color w:val="auto"/>
        </w:rPr>
        <w:t>Opinion on the Financial Statements</w:t>
      </w:r>
    </w:p>
    <w:p>
      <w:pPr>
        <w:spacing w:after="0" w:line="2"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We have audited the accompanying consolidated balance sheets of United Airlines Holdings, Inc. (the "Company") as of December 31, 2025 and 2024, the related statements of consolidated operations,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12, 2026, expressed an unqualified opinion thereon.</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w:t>
      </w:r>
    </w:p>
    <w:p>
      <w:pPr>
        <w:spacing w:after="0" w:line="196"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The critical audit matter communicated below is a matter arising from the current period audit of the financial statements that is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880" w:h="15480" w:orient="portrait"/>
          <w:cols w:equalWidth="0" w:num="1">
            <w:col w:w="9960"/>
          </w:cols>
          <w:pgMar w:left="960" w:top="1278"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9960"/>
          </w:cols>
          <w:pgMar w:left="960" w:top="1278" w:right="960" w:bottom="33" w:gutter="0" w:footer="0" w:header="0"/>
          <w:type w:val="continuous"/>
        </w:sectPr>
      </w:pPr>
    </w:p>
    <w:bookmarkStart w:id="54" w:name="page55"/>
    <w:bookmarkEnd w:id="54"/>
    <w:p>
      <w:pPr>
        <w:spacing w:after="0" w:line="389" w:lineRule="exact"/>
        <w:rPr>
          <w:sz w:val="20"/>
          <w:szCs w:val="20"/>
          <w:color w:val="auto"/>
        </w:rPr>
      </w:pPr>
    </w:p>
    <w:p>
      <w:pPr>
        <w:ind w:right="160"/>
        <w:spacing w:after="0" w:line="254" w:lineRule="auto"/>
        <w:rPr>
          <w:sz w:val="20"/>
          <w:szCs w:val="20"/>
          <w:color w:val="auto"/>
        </w:rPr>
      </w:pPr>
      <w:r>
        <w:rPr>
          <w:rFonts w:ascii="Arial" w:cs="Arial" w:eastAsia="Arial" w:hAnsi="Arial"/>
          <w:sz w:val="19"/>
          <w:szCs w:val="19"/>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i w:val="1"/>
          <w:iCs w:val="1"/>
          <w:color w:val="auto"/>
        </w:rPr>
        <w:t>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i w:val="1"/>
          <w:iCs w:val="1"/>
          <w:color w:val="auto"/>
        </w:rPr>
        <w:t>Indefinite-lived Intangible Asset (China Route Authority) Impairment Analysis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As discussed in Note 1 of the consolidated financial statements, indefinite-lived assets are reviewed for impairment on an annual basis as of October 1, or more frequently if events or circumstances indicate that the asset may be impaired. For the Company's China route authority, the Company performed a quantitative assessment which involved determining the fair value of the asset and comparing that amount to the asset’s carrying value. At December 31, 2025, the carrying value of the Company's China route authority indefinite-lived intangible asset (the China intangible asset) was $1.0 billion.</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Auditing management's annual China intangible asset impairment test was complex and highly judgmental due to the significant estimation required in determining the fair value of the asset. The fair value estimate was sensitive to significant assumptions such as forecasted revenues, margin and an overall discount rate, each of which is affected by expectations about future market or economic conditions. As a result of the subjectivity of the assumptions, adverse changes to management's estimates could reduce the underlying cash flows used to estimate fair value and trigger impairment charges.</w:t>
      </w:r>
    </w:p>
    <w:p>
      <w:pPr>
        <w:spacing w:after="0" w:line="6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We tested the Company's design and operating effectiveness of internal controls that address the risk of material misstatement relating to the estimate of fair value of the China intangible asset used in the annual impairment test. This included testing controls over management's review of the significant assumptions used in the discounted cash flow methodology, including forecasted revenues, margin and the overall discount rate.</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test the estimated fair value of the Company's China intangible asset, we performed audit procedures that included, among others, assessing the fair value methodology used by management and evaluating the significant assumptions used in the valuation model. We compared significant assumptions to current industry, market and economic trends, and to the Company's historical results. We assessed the historical accuracy of management's estimates and performed sensitivity analyses of significant assumptions to evaluate the changes in the fair value of the China intangible asset that would result from changes in assumptions. We also involved a valuation specialist to assist in our evaluation of the Company's overall discount rate.</w:t>
      </w:r>
    </w:p>
    <w:p>
      <w:pPr>
        <w:spacing w:after="0" w:line="200" w:lineRule="exact"/>
        <w:rPr>
          <w:sz w:val="20"/>
          <w:szCs w:val="20"/>
          <w:color w:val="auto"/>
        </w:rPr>
      </w:pPr>
    </w:p>
    <w:p>
      <w:pPr>
        <w:sectPr>
          <w:pgSz w:w="11880" w:h="15480" w:orient="portrait"/>
          <w:cols w:equalWidth="0" w:num="2">
            <w:col w:w="1560" w:space="380"/>
            <w:col w:w="7900"/>
          </w:cols>
          <w:pgMar w:left="1020" w:top="652" w:right="102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Chicago, Illinois</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February 12, 2026</w:t>
      </w:r>
    </w:p>
    <w:p>
      <w:pPr>
        <w:sectPr>
          <w:pgSz w:w="11880" w:h="15480" w:orient="portrait"/>
          <w:cols w:equalWidth="0" w:num="1">
            <w:col w:w="9840"/>
          </w:cols>
          <w:pgMar w:left="1020" w:top="652" w:right="1020" w:bottom="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9840"/>
          </w:cols>
          <w:pgMar w:left="1020" w:top="652" w:right="1020" w:bottom="33" w:gutter="0" w:footer="0" w:header="0"/>
          <w:type w:val="continuous"/>
        </w:sectPr>
      </w:pPr>
    </w:p>
    <w:bookmarkStart w:id="55" w:name="page56"/>
    <w:bookmarkEnd w:id="55"/>
    <w:p>
      <w:pPr>
        <w:ind w:right="2560" w:firstLine="2548"/>
        <w:spacing w:after="0" w:line="492"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 xml:space="preserve">To the Stockholder and the Board of Directors of United Airlines, Inc. </w:t>
      </w:r>
      <w:r>
        <w:rPr>
          <w:rFonts w:ascii="Arial" w:cs="Arial" w:eastAsia="Arial" w:hAnsi="Arial"/>
          <w:sz w:val="19"/>
          <w:szCs w:val="19"/>
          <w:b w:val="1"/>
          <w:bCs w:val="1"/>
          <w:color w:val="auto"/>
        </w:rPr>
        <w:t>Opinion on the Financial Statements</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We have audited the accompanying consolidated balance sheets of United Airlines, Inc. (the "Company") as of December 31, 2025 and 2024, the related statements of consolidated operations,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5"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880" w:h="15480" w:orient="portrait"/>
          <w:cols w:equalWidth="0" w:num="1">
            <w:col w:w="9960"/>
          </w:cols>
          <w:pgMar w:left="960" w:top="1278"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9960"/>
          </w:cols>
          <w:pgMar w:left="960" w:top="1278" w:right="960" w:bottom="33" w:gutter="0" w:footer="0" w:header="0"/>
          <w:type w:val="continuous"/>
        </w:sectPr>
      </w:pPr>
    </w:p>
    <w:bookmarkStart w:id="56" w:name="page57"/>
    <w:bookmarkEnd w:id="56"/>
    <w:p>
      <w:pPr>
        <w:ind w:left="1980"/>
        <w:spacing w:after="0"/>
        <w:rPr>
          <w:sz w:val="20"/>
          <w:szCs w:val="20"/>
          <w:color w:val="auto"/>
        </w:rPr>
      </w:pPr>
      <w:r>
        <w:rPr>
          <w:rFonts w:ascii="Arial" w:cs="Arial" w:eastAsia="Arial" w:hAnsi="Arial"/>
          <w:sz w:val="19"/>
          <w:szCs w:val="19"/>
          <w:b w:val="1"/>
          <w:bCs w:val="1"/>
          <w:i w:val="1"/>
          <w:iCs w:val="1"/>
          <w:color w:val="auto"/>
        </w:rPr>
        <w:t>Indefinite-lived Intangible Asset (China Route Authority) Impairment Analysis</w:t>
      </w:r>
    </w:p>
    <w:p>
      <w:pPr>
        <w:spacing w:after="0" w:line="121" w:lineRule="exact"/>
        <w:rPr>
          <w:sz w:val="20"/>
          <w:szCs w:val="20"/>
          <w:color w:val="auto"/>
        </w:rPr>
      </w:pPr>
    </w:p>
    <w:p>
      <w:pPr>
        <w:spacing w:after="0"/>
        <w:tabs>
          <w:tab w:leader="none" w:pos="1960" w:val="left"/>
        </w:tabs>
        <w:rPr>
          <w:sz w:val="20"/>
          <w:szCs w:val="20"/>
          <w:color w:val="auto"/>
        </w:rPr>
      </w:pPr>
      <w:r>
        <w:rPr>
          <w:rFonts w:ascii="Arial" w:cs="Arial" w:eastAsia="Arial" w:hAnsi="Arial"/>
          <w:sz w:val="19"/>
          <w:szCs w:val="19"/>
          <w:b w:val="1"/>
          <w:bCs w:val="1"/>
          <w:i w:val="1"/>
          <w:iCs w:val="1"/>
          <w:color w:val="auto"/>
        </w:rPr>
        <w:t>Description of the</w:t>
      </w:r>
      <w:r>
        <w:rPr>
          <w:sz w:val="20"/>
          <w:szCs w:val="20"/>
          <w:color w:val="auto"/>
        </w:rPr>
        <w:tab/>
      </w:r>
      <w:r>
        <w:rPr>
          <w:rFonts w:ascii="Arial" w:cs="Arial" w:eastAsia="Arial" w:hAnsi="Arial"/>
          <w:sz w:val="17"/>
          <w:szCs w:val="17"/>
          <w:color w:val="auto"/>
        </w:rPr>
        <w:t>As discussed in Note 1 of the consolidated financial statements, indefinite-lived assets are reviewed</w:t>
      </w:r>
    </w:p>
    <w:p>
      <w:pPr>
        <w:spacing w:after="0" w:line="5" w:lineRule="exact"/>
        <w:rPr>
          <w:sz w:val="20"/>
          <w:szCs w:val="20"/>
          <w:color w:val="auto"/>
        </w:rPr>
      </w:pPr>
    </w:p>
    <w:p>
      <w:pPr>
        <w:ind w:left="1980" w:right="40" w:hanging="1979"/>
        <w:spacing w:after="0" w:line="263" w:lineRule="auto"/>
        <w:tabs>
          <w:tab w:leader="none" w:pos="1960" w:val="left"/>
        </w:tabs>
        <w:rPr>
          <w:sz w:val="20"/>
          <w:szCs w:val="20"/>
          <w:color w:val="auto"/>
        </w:rPr>
      </w:pPr>
      <w:r>
        <w:rPr>
          <w:rFonts w:ascii="Arial" w:cs="Arial" w:eastAsia="Arial" w:hAnsi="Arial"/>
          <w:sz w:val="19"/>
          <w:szCs w:val="19"/>
          <w:b w:val="1"/>
          <w:bCs w:val="1"/>
          <w:i w:val="1"/>
          <w:iCs w:val="1"/>
          <w:color w:val="auto"/>
        </w:rPr>
        <w:t>Matter</w:t>
      </w:r>
      <w:r>
        <w:rPr>
          <w:sz w:val="20"/>
          <w:szCs w:val="20"/>
          <w:color w:val="auto"/>
        </w:rPr>
        <w:tab/>
      </w:r>
      <w:r>
        <w:rPr>
          <w:rFonts w:ascii="Arial" w:cs="Arial" w:eastAsia="Arial" w:hAnsi="Arial"/>
          <w:sz w:val="19"/>
          <w:szCs w:val="19"/>
          <w:color w:val="auto"/>
        </w:rPr>
        <w:t>for impairment on an annual basis as of October 1, or more frequently if events or circumstances indicate that the asset may be impaired. For the Company's China route authority, the Company performed a quantitative assessment which involved determining the fair value of the asset and comparing that amount to the asset's carrying value. At December 31, 2025, the carrying value of the Company's China route authority indefinite-lived intangible asset (the China intangible asset) was $1.0 billion.</w:t>
      </w:r>
    </w:p>
    <w:p>
      <w:pPr>
        <w:spacing w:after="0" w:line="75" w:lineRule="exact"/>
        <w:rPr>
          <w:sz w:val="20"/>
          <w:szCs w:val="20"/>
          <w:color w:val="auto"/>
        </w:rPr>
      </w:pPr>
    </w:p>
    <w:p>
      <w:pPr>
        <w:jc w:val="both"/>
        <w:ind w:left="1980"/>
        <w:spacing w:after="0" w:line="262" w:lineRule="auto"/>
        <w:rPr>
          <w:sz w:val="20"/>
          <w:szCs w:val="20"/>
          <w:color w:val="auto"/>
        </w:rPr>
      </w:pPr>
      <w:r>
        <w:rPr>
          <w:rFonts w:ascii="Arial" w:cs="Arial" w:eastAsia="Arial" w:hAnsi="Arial"/>
          <w:sz w:val="19"/>
          <w:szCs w:val="19"/>
          <w:color w:val="auto"/>
        </w:rPr>
        <w:t>Auditing management's annual China intangible asset impairment test was complex and highly judgmental due to the significant estimation required in determining the fair value of the asset. The fair value estimate was sensitive to significant assumptions such as forecasted revenues, margin and an overall discount rate, each of which is affected by expectations about future market or economic conditions. As a result of the subjectivity of the assumptions, adverse changes to management's estimates could reduce the underlying cash flows used to estimate fair value and trigger impairment charges.</w:t>
      </w:r>
    </w:p>
    <w:p>
      <w:pPr>
        <w:spacing w:after="0" w:line="59" w:lineRule="exact"/>
        <w:rPr>
          <w:sz w:val="20"/>
          <w:szCs w:val="20"/>
          <w:color w:val="auto"/>
        </w:rPr>
      </w:pPr>
    </w:p>
    <w:p>
      <w:pPr>
        <w:spacing w:after="0"/>
        <w:tabs>
          <w:tab w:leader="none" w:pos="1960" w:val="left"/>
        </w:tabs>
        <w:rPr>
          <w:sz w:val="20"/>
          <w:szCs w:val="20"/>
          <w:color w:val="auto"/>
        </w:rPr>
      </w:pPr>
      <w:r>
        <w:rPr>
          <w:rFonts w:ascii="Arial" w:cs="Arial" w:eastAsia="Arial" w:hAnsi="Arial"/>
          <w:sz w:val="19"/>
          <w:szCs w:val="19"/>
          <w:b w:val="1"/>
          <w:bCs w:val="1"/>
          <w:i w:val="1"/>
          <w:iCs w:val="1"/>
          <w:color w:val="auto"/>
        </w:rPr>
        <w:t>We Addressed the</w:t>
      </w:r>
      <w:r>
        <w:rPr>
          <w:sz w:val="20"/>
          <w:szCs w:val="20"/>
          <w:color w:val="auto"/>
        </w:rPr>
        <w:tab/>
      </w:r>
      <w:r>
        <w:rPr>
          <w:rFonts w:ascii="Arial" w:cs="Arial" w:eastAsia="Arial" w:hAnsi="Arial"/>
          <w:sz w:val="17"/>
          <w:szCs w:val="17"/>
          <w:color w:val="auto"/>
        </w:rPr>
        <w:t>We tested the Company's design and operating effectiveness of internal controls that address the risk</w:t>
      </w:r>
    </w:p>
    <w:p>
      <w:pPr>
        <w:spacing w:after="0" w:line="5" w:lineRule="exact"/>
        <w:rPr>
          <w:sz w:val="20"/>
          <w:szCs w:val="20"/>
          <w:color w:val="auto"/>
        </w:rPr>
      </w:pPr>
    </w:p>
    <w:p>
      <w:pPr>
        <w:jc w:val="both"/>
        <w:ind w:left="1980" w:hanging="1978"/>
        <w:spacing w:after="0" w:line="268" w:lineRule="auto"/>
        <w:tabs>
          <w:tab w:leader="none" w:pos="1960" w:val="left"/>
        </w:tabs>
        <w:rPr>
          <w:sz w:val="20"/>
          <w:szCs w:val="20"/>
          <w:color w:val="auto"/>
        </w:rPr>
      </w:pPr>
      <w:r>
        <w:rPr>
          <w:rFonts w:ascii="Arial" w:cs="Arial" w:eastAsia="Arial" w:hAnsi="Arial"/>
          <w:sz w:val="19"/>
          <w:szCs w:val="19"/>
          <w:b w:val="1"/>
          <w:bCs w:val="1"/>
          <w:i w:val="1"/>
          <w:iCs w:val="1"/>
          <w:color w:val="auto"/>
        </w:rPr>
        <w:t>Matter in Our Audit</w:t>
      </w:r>
      <w:r>
        <w:rPr>
          <w:sz w:val="20"/>
          <w:szCs w:val="20"/>
          <w:color w:val="auto"/>
        </w:rPr>
        <w:tab/>
      </w:r>
      <w:r>
        <w:rPr>
          <w:rFonts w:ascii="Arial" w:cs="Arial" w:eastAsia="Arial" w:hAnsi="Arial"/>
          <w:sz w:val="19"/>
          <w:szCs w:val="19"/>
          <w:color w:val="auto"/>
        </w:rPr>
        <w:t>of material misstatement relating to the estimate of fair value of the China intangible asset used in the annual impairment test. This included testing controls over management's review of the significant assumptions used in the discounted cash flow methodology, including forecasted revenues, margin and the overall discount rate.</w:t>
      </w:r>
    </w:p>
    <w:p>
      <w:pPr>
        <w:spacing w:after="0" w:line="70" w:lineRule="exact"/>
        <w:rPr>
          <w:sz w:val="20"/>
          <w:szCs w:val="20"/>
          <w:color w:val="auto"/>
        </w:rPr>
      </w:pPr>
    </w:p>
    <w:p>
      <w:pPr>
        <w:jc w:val="both"/>
        <w:ind w:left="1980"/>
        <w:spacing w:after="0" w:line="277" w:lineRule="auto"/>
        <w:rPr>
          <w:sz w:val="20"/>
          <w:szCs w:val="20"/>
          <w:color w:val="auto"/>
        </w:rPr>
      </w:pPr>
      <w:r>
        <w:rPr>
          <w:rFonts w:ascii="Arial" w:cs="Arial" w:eastAsia="Arial" w:hAnsi="Arial"/>
          <w:sz w:val="18"/>
          <w:szCs w:val="18"/>
          <w:color w:val="auto"/>
        </w:rPr>
        <w:t>To test the estimated fair value of the Company's China intangible asset, we performed audit procedures that included, among others, assessing the fair value methodology used by management and evaluating the significant assumptions used in the valuation model. We compared significant assumptions to current industry, market and economic trends, and to the Company's historical results. We assessed the historical accuracy of management's estimates and performed sensitivity analyses of significant assumptions to evaluate the changes in the fair value of the China intangible asset that would result from changes in assumptions. We also involved a valuation specialist to assist in our evaluation of the Company's overall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Chicago, Illinois</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February 12, 2026</w:t>
      </w:r>
    </w:p>
    <w:p>
      <w:pPr>
        <w:sectPr>
          <w:pgSz w:w="11880" w:h="15480" w:orient="portrait"/>
          <w:cols w:equalWidth="0" w:num="1">
            <w:col w:w="9840"/>
          </w:cols>
          <w:pgMar w:left="1020" w:top="629" w:right="102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9840"/>
          </w:cols>
          <w:pgMar w:left="1020" w:top="629" w:right="1020" w:bottom="33" w:gutter="0" w:footer="0" w:header="0"/>
          <w:type w:val="continuous"/>
        </w:sectPr>
      </w:pPr>
    </w:p>
    <w:bookmarkStart w:id="57" w:name="page58"/>
    <w:bookmarkEnd w:id="57"/>
    <w:p>
      <w:pPr>
        <w:jc w:val="center"/>
        <w:ind w:right="120"/>
        <w:spacing w:after="0"/>
        <w:rPr>
          <w:sz w:val="20"/>
          <w:szCs w:val="20"/>
          <w:color w:val="auto"/>
        </w:rPr>
      </w:pPr>
      <w:r>
        <w:rPr>
          <w:rFonts w:ascii="Arial" w:cs="Arial" w:eastAsia="Arial" w:hAnsi="Arial"/>
          <w:sz w:val="19"/>
          <w:szCs w:val="19"/>
          <w:b w:val="1"/>
          <w:bCs w:val="1"/>
          <w:color w:val="auto"/>
        </w:rPr>
        <w:t>UNITED AIRLINES HOLDINGS, INC.</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STATEMENTS OF CONSOLIDATED OPERATIONS</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(In millions, except per share amounts)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10"/>
          </w:tcPr>
          <w:p>
            <w:pPr>
              <w:jc w:val="right"/>
              <w:ind w:right="83"/>
              <w:spacing w:after="0"/>
              <w:rPr>
                <w:sz w:val="20"/>
                <w:szCs w:val="20"/>
                <w:color w:val="auto"/>
              </w:rPr>
            </w:pPr>
            <w:r>
              <w:rPr>
                <w:rFonts w:ascii="Arial" w:cs="Arial" w:eastAsia="Arial" w:hAnsi="Arial"/>
                <w:sz w:val="17"/>
                <w:szCs w:val="17"/>
                <w:b w:val="1"/>
                <w:bCs w:val="1"/>
                <w:color w:val="auto"/>
              </w:rPr>
              <w:t>Year Ended December 31,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44"/>
              <w:spacing w:after="0"/>
              <w:rPr>
                <w:sz w:val="20"/>
                <w:szCs w:val="20"/>
                <w:color w:val="auto"/>
              </w:rPr>
            </w:pPr>
            <w:r>
              <w:rPr>
                <w:rFonts w:ascii="Arial" w:cs="Arial" w:eastAsia="Arial" w:hAnsi="Arial"/>
                <w:sz w:val="17"/>
                <w:szCs w:val="17"/>
                <w:b w:val="1"/>
                <w:bCs w:val="1"/>
                <w:color w:val="auto"/>
              </w:rPr>
              <w:t>2025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43"/>
              <w:spacing w:after="0"/>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63"/>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5"/>
        </w:trPr>
        <w:tc>
          <w:tcPr>
            <w:tcW w:w="5460" w:type="dxa"/>
            <w:vAlign w:val="bottom"/>
            <w:vMerge w:val="restart"/>
          </w:tcPr>
          <w:p>
            <w:pPr>
              <w:ind w:left="40"/>
              <w:spacing w:after="0"/>
              <w:rPr>
                <w:sz w:val="20"/>
                <w:szCs w:val="20"/>
                <w:color w:val="auto"/>
              </w:rPr>
            </w:pPr>
            <w:r>
              <w:rPr>
                <w:rFonts w:ascii="Arial" w:cs="Arial" w:eastAsia="Arial" w:hAnsi="Arial"/>
                <w:sz w:val="19"/>
                <w:szCs w:val="19"/>
                <w:color w:val="auto"/>
              </w:rPr>
              <w:t>Operating revenue:</w:t>
            </w: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546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9"/>
                <w:szCs w:val="19"/>
                <w:color w:val="auto"/>
              </w:rPr>
              <w:t>Passenger revenue</w:t>
            </w:r>
          </w:p>
        </w:tc>
        <w:tc>
          <w:tcPr>
            <w:tcW w:w="360" w:type="dxa"/>
            <w:vAlign w:val="bottom"/>
            <w:tcBorders>
              <w:bottom w:val="single" w:sz="8" w:color="E6E6E6"/>
            </w:tcBorders>
            <w:gridSpan w:val="2"/>
            <w:shd w:val="clear" w:color="auto" w:fill="E6E6E6"/>
          </w:tcPr>
          <w:p>
            <w:pPr>
              <w:jc w:val="right"/>
              <w:ind w:right="103"/>
              <w:spacing w:after="0"/>
              <w:rPr>
                <w:sz w:val="20"/>
                <w:szCs w:val="20"/>
                <w:color w:val="auto"/>
              </w:rPr>
            </w:pPr>
            <w:r>
              <w:rPr>
                <w:rFonts w:ascii="Arial" w:cs="Arial" w:eastAsia="Arial" w:hAnsi="Arial"/>
                <w:sz w:val="19"/>
                <w:szCs w:val="19"/>
                <w:color w:val="auto"/>
              </w:rPr>
              <w:t>$</w:t>
            </w: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53,438</w:t>
            </w:r>
          </w:p>
        </w:tc>
        <w:tc>
          <w:tcPr>
            <w:tcW w:w="420" w:type="dxa"/>
            <w:vAlign w:val="bottom"/>
            <w:tcBorders>
              <w:bottom w:val="single" w:sz="8" w:color="E6E6E6"/>
            </w:tcBorders>
            <w:gridSpan w:val="4"/>
            <w:shd w:val="clear" w:color="auto" w:fill="E6E6E6"/>
          </w:tcPr>
          <w:p>
            <w:pPr>
              <w:jc w:val="right"/>
              <w:ind w:right="103"/>
              <w:spacing w:after="0"/>
              <w:rPr>
                <w:sz w:val="20"/>
                <w:szCs w:val="20"/>
                <w:color w:val="auto"/>
              </w:rPr>
            </w:pPr>
            <w:r>
              <w:rPr>
                <w:rFonts w:ascii="Arial" w:cs="Arial" w:eastAsia="Arial" w:hAnsi="Arial"/>
                <w:sz w:val="19"/>
                <w:szCs w:val="19"/>
                <w:color w:val="auto"/>
              </w:rPr>
              <w:t>$</w:t>
            </w:r>
          </w:p>
        </w:tc>
        <w:tc>
          <w:tcPr>
            <w:tcW w:w="11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51,829</w:t>
            </w:r>
          </w:p>
        </w:tc>
        <w:tc>
          <w:tcPr>
            <w:tcW w:w="440" w:type="dxa"/>
            <w:vAlign w:val="bottom"/>
            <w:tcBorders>
              <w:bottom w:val="single" w:sz="8" w:color="E6E6E6"/>
            </w:tcBorders>
            <w:gridSpan w:val="4"/>
            <w:shd w:val="clear" w:color="auto" w:fill="E6E6E6"/>
          </w:tcPr>
          <w:p>
            <w:pPr>
              <w:jc w:val="right"/>
              <w:ind w:right="123"/>
              <w:spacing w:after="0"/>
              <w:rPr>
                <w:sz w:val="20"/>
                <w:szCs w:val="20"/>
                <w:color w:val="auto"/>
              </w:rPr>
            </w:pPr>
            <w:r>
              <w:rPr>
                <w:rFonts w:ascii="Arial" w:cs="Arial" w:eastAsia="Arial" w:hAnsi="Arial"/>
                <w:sz w:val="19"/>
                <w:szCs w:val="19"/>
                <w:color w:val="auto"/>
              </w:rPr>
              <w:t>$</w:t>
            </w: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49,046</w:t>
            </w:r>
          </w:p>
        </w:tc>
        <w:tc>
          <w:tcPr>
            <w:tcW w:w="0" w:type="dxa"/>
            <w:vAlign w:val="bottom"/>
          </w:tcPr>
          <w:p>
            <w:pPr>
              <w:spacing w:after="0"/>
              <w:rPr>
                <w:sz w:val="1"/>
                <w:szCs w:val="1"/>
                <w:color w:val="auto"/>
              </w:rPr>
            </w:pPr>
          </w:p>
        </w:tc>
      </w:tr>
      <w:tr>
        <w:trPr>
          <w:trHeight w:val="261"/>
        </w:trPr>
        <w:tc>
          <w:tcPr>
            <w:tcW w:w="5460" w:type="dxa"/>
            <w:vAlign w:val="bottom"/>
          </w:tcPr>
          <w:p>
            <w:pPr>
              <w:ind w:left="520"/>
              <w:spacing w:after="0"/>
              <w:rPr>
                <w:sz w:val="20"/>
                <w:szCs w:val="20"/>
                <w:color w:val="auto"/>
              </w:rPr>
            </w:pPr>
            <w:r>
              <w:rPr>
                <w:rFonts w:ascii="Arial" w:cs="Arial" w:eastAsia="Arial" w:hAnsi="Arial"/>
                <w:sz w:val="19"/>
                <w:szCs w:val="19"/>
                <w:color w:val="auto"/>
              </w:rPr>
              <w:t>Cargo revenue</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1,779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1,743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1,495</w:t>
            </w:r>
          </w:p>
        </w:tc>
        <w:tc>
          <w:tcPr>
            <w:tcW w:w="0" w:type="dxa"/>
            <w:vAlign w:val="bottom"/>
          </w:tcPr>
          <w:p>
            <w:pPr>
              <w:spacing w:after="0"/>
              <w:rPr>
                <w:sz w:val="1"/>
                <w:szCs w:val="1"/>
                <w:color w:val="auto"/>
              </w:rPr>
            </w:pPr>
          </w:p>
        </w:tc>
      </w:tr>
      <w:tr>
        <w:trPr>
          <w:trHeight w:val="30"/>
        </w:trPr>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6"/>
        </w:trPr>
        <w:tc>
          <w:tcPr>
            <w:tcW w:w="546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9"/>
                <w:szCs w:val="19"/>
                <w:color w:val="auto"/>
              </w:rPr>
              <w:t>Other operating revenue</w:t>
            </w: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3,853</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spacing w:after="0"/>
              <w:rPr>
                <w:sz w:val="24"/>
                <w:szCs w:val="24"/>
                <w:color w:val="auto"/>
              </w:rPr>
            </w:pPr>
          </w:p>
        </w:tc>
        <w:tc>
          <w:tcPr>
            <w:tcW w:w="11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3,491</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3,176</w:t>
            </w:r>
          </w:p>
        </w:tc>
        <w:tc>
          <w:tcPr>
            <w:tcW w:w="0" w:type="dxa"/>
            <w:vAlign w:val="bottom"/>
          </w:tcPr>
          <w:p>
            <w:pPr>
              <w:spacing w:after="0"/>
              <w:rPr>
                <w:sz w:val="1"/>
                <w:szCs w:val="1"/>
                <w:color w:val="auto"/>
              </w:rPr>
            </w:pPr>
          </w:p>
        </w:tc>
      </w:tr>
      <w:tr>
        <w:trPr>
          <w:trHeight w:val="250"/>
        </w:trPr>
        <w:tc>
          <w:tcPr>
            <w:tcW w:w="5460" w:type="dxa"/>
            <w:vAlign w:val="bottom"/>
            <w:tcBorders>
              <w:top w:val="single" w:sz="8" w:color="E6E6E6"/>
              <w:bottom w:val="single" w:sz="8" w:color="E6E6E6"/>
            </w:tcBorders>
          </w:tcPr>
          <w:p>
            <w:pPr>
              <w:ind w:left="740"/>
              <w:spacing w:after="0"/>
              <w:rPr>
                <w:sz w:val="20"/>
                <w:szCs w:val="20"/>
                <w:color w:val="auto"/>
              </w:rPr>
            </w:pPr>
            <w:r>
              <w:rPr>
                <w:rFonts w:ascii="Arial" w:cs="Arial" w:eastAsia="Arial" w:hAnsi="Arial"/>
                <w:sz w:val="19"/>
                <w:szCs w:val="19"/>
                <w:color w:val="auto"/>
              </w:rPr>
              <w:t>Total operating revenue</w:t>
            </w:r>
          </w:p>
        </w:tc>
        <w:tc>
          <w:tcPr>
            <w:tcW w:w="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59,070</w:t>
            </w:r>
          </w:p>
        </w:tc>
        <w:tc>
          <w:tcPr>
            <w:tcW w:w="20" w:type="dxa"/>
            <w:vAlign w:val="bottom"/>
            <w:tcBorders>
              <w:top w:val="single" w:sz="8" w:color="E6E6E6"/>
              <w:bottom w:val="single" w:sz="8" w:color="E6E6E6"/>
            </w:tcBorders>
          </w:tcPr>
          <w:p>
            <w:pPr>
              <w:spacing w:after="0"/>
              <w:rPr>
                <w:sz w:val="21"/>
                <w:szCs w:val="21"/>
                <w:color w:val="auto"/>
              </w:rPr>
            </w:pPr>
          </w:p>
        </w:tc>
        <w:tc>
          <w:tcPr>
            <w:tcW w:w="60" w:type="dxa"/>
            <w:vAlign w:val="bottom"/>
            <w:tcBorders>
              <w:top w:val="single" w:sz="8" w:color="E6E6E6"/>
              <w:bottom w:val="single" w:sz="8" w:color="E6E6E6"/>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57,063</w:t>
            </w:r>
          </w:p>
        </w:tc>
        <w:tc>
          <w:tcPr>
            <w:tcW w:w="80" w:type="dxa"/>
            <w:vAlign w:val="bottom"/>
            <w:tcBorders>
              <w:top w:val="single" w:sz="8" w:color="E6E6E6"/>
              <w:bottom w:val="single" w:sz="8" w:color="E6E6E6"/>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53,717</w:t>
            </w:r>
          </w:p>
        </w:tc>
        <w:tc>
          <w:tcPr>
            <w:tcW w:w="0" w:type="dxa"/>
            <w:vAlign w:val="bottom"/>
          </w:tcPr>
          <w:p>
            <w:pPr>
              <w:spacing w:after="0"/>
              <w:rPr>
                <w:sz w:val="1"/>
                <w:szCs w:val="1"/>
                <w:color w:val="auto"/>
              </w:rPr>
            </w:pPr>
          </w:p>
        </w:tc>
      </w:tr>
      <w:tr>
        <w:trPr>
          <w:trHeight w:val="261"/>
        </w:trPr>
        <w:tc>
          <w:tcPr>
            <w:tcW w:w="54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9"/>
                <w:szCs w:val="19"/>
                <w:color w:val="auto"/>
              </w:rPr>
              <w:t>Operating expense:</w:t>
            </w:r>
          </w:p>
        </w:tc>
        <w:tc>
          <w:tcPr>
            <w:tcW w:w="20" w:type="dxa"/>
            <w:vAlign w:val="bottom"/>
            <w:tcBorders>
              <w:bottom w:val="single" w:sz="8" w:color="E6E6E6"/>
            </w:tcBorders>
            <w:shd w:val="clear" w:color="auto" w:fill="E6E6E6"/>
          </w:tcPr>
          <w:p>
            <w:pPr>
              <w:spacing w:after="0"/>
              <w:rPr>
                <w:sz w:val="22"/>
                <w:szCs w:val="22"/>
                <w:color w:val="auto"/>
              </w:rPr>
            </w:pPr>
          </w:p>
        </w:tc>
        <w:tc>
          <w:tcPr>
            <w:tcW w:w="340" w:type="dxa"/>
            <w:vAlign w:val="bottom"/>
            <w:tcBorders>
              <w:bottom w:val="single" w:sz="8" w:color="E6E6E6"/>
            </w:tcBorders>
            <w:shd w:val="clear" w:color="auto" w:fill="E6E6E6"/>
          </w:tcPr>
          <w:p>
            <w:pPr>
              <w:spacing w:after="0"/>
              <w:rPr>
                <w:sz w:val="22"/>
                <w:szCs w:val="22"/>
                <w:color w:val="auto"/>
              </w:rPr>
            </w:pPr>
          </w:p>
        </w:tc>
        <w:tc>
          <w:tcPr>
            <w:tcW w:w="10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E6E6E6"/>
            </w:tcBorders>
            <w:shd w:val="clear" w:color="auto" w:fill="E6E6E6"/>
          </w:tcPr>
          <w:p>
            <w:pPr>
              <w:spacing w:after="0"/>
              <w:rPr>
                <w:sz w:val="22"/>
                <w:szCs w:val="22"/>
                <w:color w:val="auto"/>
              </w:rPr>
            </w:pPr>
          </w:p>
        </w:tc>
        <w:tc>
          <w:tcPr>
            <w:tcW w:w="1100" w:type="dxa"/>
            <w:vAlign w:val="bottom"/>
            <w:tcBorders>
              <w:bottom w:val="single" w:sz="8" w:color="E6E6E6"/>
            </w:tcBorders>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E6E6E6"/>
            </w:tcBorders>
            <w:shd w:val="clear" w:color="auto" w:fill="E6E6E6"/>
          </w:tcPr>
          <w:p>
            <w:pPr>
              <w:spacing w:after="0"/>
              <w:rPr>
                <w:sz w:val="22"/>
                <w:szCs w:val="22"/>
                <w:color w:val="auto"/>
              </w:rPr>
            </w:pPr>
          </w:p>
        </w:tc>
        <w:tc>
          <w:tcPr>
            <w:tcW w:w="108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460" w:type="dxa"/>
            <w:vAlign w:val="bottom"/>
          </w:tcPr>
          <w:p>
            <w:pPr>
              <w:ind w:left="520"/>
              <w:spacing w:after="0"/>
              <w:rPr>
                <w:sz w:val="20"/>
                <w:szCs w:val="20"/>
                <w:color w:val="auto"/>
              </w:rPr>
            </w:pPr>
            <w:r>
              <w:rPr>
                <w:rFonts w:ascii="Arial" w:cs="Arial" w:eastAsia="Arial" w:hAnsi="Arial"/>
                <w:sz w:val="19"/>
                <w:szCs w:val="19"/>
                <w:color w:val="auto"/>
              </w:rPr>
              <w:t>Salaries and related costs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17,647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16,678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14,787</w:t>
            </w:r>
          </w:p>
        </w:tc>
        <w:tc>
          <w:tcPr>
            <w:tcW w:w="0" w:type="dxa"/>
            <w:vAlign w:val="bottom"/>
          </w:tcPr>
          <w:p>
            <w:pPr>
              <w:spacing w:after="0"/>
              <w:rPr>
                <w:sz w:val="1"/>
                <w:szCs w:val="1"/>
                <w:color w:val="auto"/>
              </w:rPr>
            </w:pPr>
          </w:p>
        </w:tc>
      </w:tr>
      <w:tr>
        <w:trPr>
          <w:trHeight w:val="297"/>
        </w:trPr>
        <w:tc>
          <w:tcPr>
            <w:tcW w:w="5460" w:type="dxa"/>
            <w:vAlign w:val="bottom"/>
            <w:shd w:val="clear" w:color="auto" w:fill="E6E6E6"/>
          </w:tcPr>
          <w:p>
            <w:pPr>
              <w:ind w:left="520"/>
              <w:spacing w:after="0"/>
              <w:rPr>
                <w:sz w:val="20"/>
                <w:szCs w:val="20"/>
                <w:color w:val="auto"/>
              </w:rPr>
            </w:pPr>
            <w:r>
              <w:rPr>
                <w:rFonts w:ascii="Arial" w:cs="Arial" w:eastAsia="Arial" w:hAnsi="Arial"/>
                <w:sz w:val="19"/>
                <w:szCs w:val="19"/>
                <w:color w:val="auto"/>
              </w:rPr>
              <w:t>Aircraft fuel</w:t>
            </w: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11,396</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11,756</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12,651</w:t>
            </w:r>
          </w:p>
        </w:tc>
        <w:tc>
          <w:tcPr>
            <w:tcW w:w="0" w:type="dxa"/>
            <w:vAlign w:val="bottom"/>
          </w:tcPr>
          <w:p>
            <w:pPr>
              <w:spacing w:after="0"/>
              <w:rPr>
                <w:sz w:val="1"/>
                <w:szCs w:val="1"/>
                <w:color w:val="auto"/>
              </w:rPr>
            </w:pPr>
          </w:p>
        </w:tc>
      </w:tr>
      <w:tr>
        <w:trPr>
          <w:trHeight w:val="285"/>
        </w:trPr>
        <w:tc>
          <w:tcPr>
            <w:tcW w:w="5460" w:type="dxa"/>
            <w:vAlign w:val="bottom"/>
          </w:tcPr>
          <w:p>
            <w:pPr>
              <w:ind w:left="520"/>
              <w:spacing w:after="0"/>
              <w:rPr>
                <w:sz w:val="20"/>
                <w:szCs w:val="20"/>
                <w:color w:val="auto"/>
              </w:rPr>
            </w:pPr>
            <w:r>
              <w:rPr>
                <w:rFonts w:ascii="Arial" w:cs="Arial" w:eastAsia="Arial" w:hAnsi="Arial"/>
                <w:sz w:val="19"/>
                <w:szCs w:val="19"/>
                <w:color w:val="auto"/>
              </w:rPr>
              <w:t>Landing fees and other rent</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3,849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3,437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3,076</w:t>
            </w:r>
          </w:p>
        </w:tc>
        <w:tc>
          <w:tcPr>
            <w:tcW w:w="0" w:type="dxa"/>
            <w:vAlign w:val="bottom"/>
          </w:tcPr>
          <w:p>
            <w:pPr>
              <w:spacing w:after="0"/>
              <w:rPr>
                <w:sz w:val="1"/>
                <w:szCs w:val="1"/>
                <w:color w:val="auto"/>
              </w:rPr>
            </w:pPr>
          </w:p>
        </w:tc>
      </w:tr>
      <w:tr>
        <w:trPr>
          <w:trHeight w:val="297"/>
        </w:trPr>
        <w:tc>
          <w:tcPr>
            <w:tcW w:w="5460" w:type="dxa"/>
            <w:vAlign w:val="bottom"/>
            <w:shd w:val="clear" w:color="auto" w:fill="E6E6E6"/>
          </w:tcPr>
          <w:p>
            <w:pPr>
              <w:ind w:left="520"/>
              <w:spacing w:after="0"/>
              <w:rPr>
                <w:sz w:val="20"/>
                <w:szCs w:val="20"/>
                <w:color w:val="auto"/>
              </w:rPr>
            </w:pPr>
            <w:r>
              <w:rPr>
                <w:rFonts w:ascii="Arial" w:cs="Arial" w:eastAsia="Arial" w:hAnsi="Arial"/>
                <w:sz w:val="19"/>
                <w:szCs w:val="19"/>
                <w:color w:val="auto"/>
              </w:rPr>
              <w:t>Aircraft maintenance materials and outside repairs</w:t>
            </w: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3,294</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3,063</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2,736</w:t>
            </w:r>
          </w:p>
        </w:tc>
        <w:tc>
          <w:tcPr>
            <w:tcW w:w="0" w:type="dxa"/>
            <w:vAlign w:val="bottom"/>
          </w:tcPr>
          <w:p>
            <w:pPr>
              <w:spacing w:after="0"/>
              <w:rPr>
                <w:sz w:val="1"/>
                <w:szCs w:val="1"/>
                <w:color w:val="auto"/>
              </w:rPr>
            </w:pPr>
          </w:p>
        </w:tc>
      </w:tr>
      <w:tr>
        <w:trPr>
          <w:trHeight w:val="285"/>
        </w:trPr>
        <w:tc>
          <w:tcPr>
            <w:tcW w:w="5460" w:type="dxa"/>
            <w:vAlign w:val="bottom"/>
          </w:tcPr>
          <w:p>
            <w:pPr>
              <w:ind w:left="520"/>
              <w:spacing w:after="0"/>
              <w:rPr>
                <w:sz w:val="20"/>
                <w:szCs w:val="20"/>
                <w:color w:val="auto"/>
              </w:rPr>
            </w:pPr>
            <w:r>
              <w:rPr>
                <w:rFonts w:ascii="Arial" w:cs="Arial" w:eastAsia="Arial" w:hAnsi="Arial"/>
                <w:sz w:val="19"/>
                <w:szCs w:val="19"/>
                <w:color w:val="auto"/>
              </w:rPr>
              <w:t>Depreciation and amortization</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2,939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2,928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2,671</w:t>
            </w:r>
          </w:p>
        </w:tc>
        <w:tc>
          <w:tcPr>
            <w:tcW w:w="0" w:type="dxa"/>
            <w:vAlign w:val="bottom"/>
          </w:tcPr>
          <w:p>
            <w:pPr>
              <w:spacing w:after="0"/>
              <w:rPr>
                <w:sz w:val="1"/>
                <w:szCs w:val="1"/>
                <w:color w:val="auto"/>
              </w:rPr>
            </w:pPr>
          </w:p>
        </w:tc>
      </w:tr>
      <w:tr>
        <w:trPr>
          <w:trHeight w:val="297"/>
        </w:trPr>
        <w:tc>
          <w:tcPr>
            <w:tcW w:w="5460" w:type="dxa"/>
            <w:vAlign w:val="bottom"/>
            <w:shd w:val="clear" w:color="auto" w:fill="E6E6E6"/>
          </w:tcPr>
          <w:p>
            <w:pPr>
              <w:ind w:left="520"/>
              <w:spacing w:after="0"/>
              <w:rPr>
                <w:sz w:val="20"/>
                <w:szCs w:val="20"/>
                <w:color w:val="auto"/>
              </w:rPr>
            </w:pPr>
            <w:r>
              <w:rPr>
                <w:rFonts w:ascii="Arial" w:cs="Arial" w:eastAsia="Arial" w:hAnsi="Arial"/>
                <w:sz w:val="19"/>
                <w:szCs w:val="19"/>
                <w:color w:val="auto"/>
              </w:rPr>
              <w:t>Regional capacity purchase</w:t>
            </w: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2,693</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2,516</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2,400</w:t>
            </w:r>
          </w:p>
        </w:tc>
        <w:tc>
          <w:tcPr>
            <w:tcW w:w="0" w:type="dxa"/>
            <w:vAlign w:val="bottom"/>
          </w:tcPr>
          <w:p>
            <w:pPr>
              <w:spacing w:after="0"/>
              <w:rPr>
                <w:sz w:val="1"/>
                <w:szCs w:val="1"/>
                <w:color w:val="auto"/>
              </w:rPr>
            </w:pPr>
          </w:p>
        </w:tc>
      </w:tr>
      <w:tr>
        <w:trPr>
          <w:trHeight w:val="285"/>
        </w:trPr>
        <w:tc>
          <w:tcPr>
            <w:tcW w:w="5460" w:type="dxa"/>
            <w:vAlign w:val="bottom"/>
          </w:tcPr>
          <w:p>
            <w:pPr>
              <w:ind w:left="520"/>
              <w:spacing w:after="0"/>
              <w:rPr>
                <w:sz w:val="20"/>
                <w:szCs w:val="20"/>
                <w:color w:val="auto"/>
              </w:rPr>
            </w:pPr>
            <w:r>
              <w:rPr>
                <w:rFonts w:ascii="Arial" w:cs="Arial" w:eastAsia="Arial" w:hAnsi="Arial"/>
                <w:sz w:val="19"/>
                <w:szCs w:val="19"/>
                <w:color w:val="auto"/>
              </w:rPr>
              <w:t>Distribution expenses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2,109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2,231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1,977</w:t>
            </w:r>
          </w:p>
        </w:tc>
        <w:tc>
          <w:tcPr>
            <w:tcW w:w="0" w:type="dxa"/>
            <w:vAlign w:val="bottom"/>
          </w:tcPr>
          <w:p>
            <w:pPr>
              <w:spacing w:after="0"/>
              <w:rPr>
                <w:sz w:val="1"/>
                <w:szCs w:val="1"/>
                <w:color w:val="auto"/>
              </w:rPr>
            </w:pPr>
          </w:p>
        </w:tc>
      </w:tr>
      <w:tr>
        <w:trPr>
          <w:trHeight w:val="297"/>
        </w:trPr>
        <w:tc>
          <w:tcPr>
            <w:tcW w:w="5460" w:type="dxa"/>
            <w:vAlign w:val="bottom"/>
            <w:shd w:val="clear" w:color="auto" w:fill="E6E6E6"/>
          </w:tcPr>
          <w:p>
            <w:pPr>
              <w:ind w:left="520"/>
              <w:spacing w:after="0"/>
              <w:rPr>
                <w:sz w:val="20"/>
                <w:szCs w:val="20"/>
                <w:color w:val="auto"/>
              </w:rPr>
            </w:pPr>
            <w:r>
              <w:rPr>
                <w:rFonts w:ascii="Arial" w:cs="Arial" w:eastAsia="Arial" w:hAnsi="Arial"/>
                <w:sz w:val="19"/>
                <w:szCs w:val="19"/>
                <w:color w:val="auto"/>
              </w:rPr>
              <w:t>Aircraft rent</w:t>
            </w: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252</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193</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197</w:t>
            </w:r>
          </w:p>
        </w:tc>
        <w:tc>
          <w:tcPr>
            <w:tcW w:w="0" w:type="dxa"/>
            <w:vAlign w:val="bottom"/>
          </w:tcPr>
          <w:p>
            <w:pPr>
              <w:spacing w:after="0"/>
              <w:rPr>
                <w:sz w:val="1"/>
                <w:szCs w:val="1"/>
                <w:color w:val="auto"/>
              </w:rPr>
            </w:pPr>
          </w:p>
        </w:tc>
      </w:tr>
      <w:tr>
        <w:trPr>
          <w:trHeight w:val="285"/>
        </w:trPr>
        <w:tc>
          <w:tcPr>
            <w:tcW w:w="5460" w:type="dxa"/>
            <w:vAlign w:val="bottom"/>
          </w:tcPr>
          <w:p>
            <w:pPr>
              <w:ind w:left="520"/>
              <w:spacing w:after="0"/>
              <w:rPr>
                <w:sz w:val="20"/>
                <w:szCs w:val="20"/>
                <w:color w:val="auto"/>
              </w:rPr>
            </w:pPr>
            <w:r>
              <w:rPr>
                <w:rFonts w:ascii="Arial" w:cs="Arial" w:eastAsia="Arial" w:hAnsi="Arial"/>
                <w:sz w:val="19"/>
                <w:szCs w:val="19"/>
                <w:color w:val="auto"/>
              </w:rPr>
              <w:t>Special charges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259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949</w:t>
            </w:r>
          </w:p>
        </w:tc>
        <w:tc>
          <w:tcPr>
            <w:tcW w:w="0" w:type="dxa"/>
            <w:vAlign w:val="bottom"/>
          </w:tcPr>
          <w:p>
            <w:pPr>
              <w:spacing w:after="0"/>
              <w:rPr>
                <w:sz w:val="1"/>
                <w:szCs w:val="1"/>
                <w:color w:val="auto"/>
              </w:rPr>
            </w:pPr>
          </w:p>
        </w:tc>
      </w:tr>
      <w:tr>
        <w:trPr>
          <w:trHeight w:val="306"/>
        </w:trPr>
        <w:tc>
          <w:tcPr>
            <w:tcW w:w="546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9"/>
                <w:szCs w:val="19"/>
                <w:color w:val="auto"/>
              </w:rPr>
              <w:t>Other operating expenses</w:t>
            </w: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9,919</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9,053</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8,062</w:t>
            </w:r>
          </w:p>
        </w:tc>
        <w:tc>
          <w:tcPr>
            <w:tcW w:w="0" w:type="dxa"/>
            <w:vAlign w:val="bottom"/>
          </w:tcPr>
          <w:p>
            <w:pPr>
              <w:spacing w:after="0"/>
              <w:rPr>
                <w:sz w:val="1"/>
                <w:szCs w:val="1"/>
                <w:color w:val="auto"/>
              </w:rPr>
            </w:pPr>
          </w:p>
        </w:tc>
      </w:tr>
      <w:tr>
        <w:trPr>
          <w:trHeight w:val="252"/>
        </w:trPr>
        <w:tc>
          <w:tcPr>
            <w:tcW w:w="5460" w:type="dxa"/>
            <w:vAlign w:val="bottom"/>
            <w:tcBorders>
              <w:bottom w:val="single" w:sz="8" w:color="E6E6E6"/>
            </w:tcBorders>
          </w:tcPr>
          <w:p>
            <w:pPr>
              <w:ind w:left="740"/>
              <w:spacing w:after="0"/>
              <w:rPr>
                <w:sz w:val="20"/>
                <w:szCs w:val="20"/>
                <w:color w:val="auto"/>
              </w:rPr>
            </w:pPr>
            <w:r>
              <w:rPr>
                <w:rFonts w:ascii="Arial" w:cs="Arial" w:eastAsia="Arial" w:hAnsi="Arial"/>
                <w:sz w:val="19"/>
                <w:szCs w:val="19"/>
                <w:color w:val="auto"/>
              </w:rPr>
              <w:t>Total operating expense</w:t>
            </w: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54,356</w:t>
            </w:r>
          </w:p>
        </w:tc>
        <w:tc>
          <w:tcPr>
            <w:tcW w:w="20" w:type="dxa"/>
            <w:vAlign w:val="bottom"/>
            <w:tcBorders>
              <w:bottom w:val="single" w:sz="8" w:color="E6E6E6"/>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51,967</w:t>
            </w:r>
          </w:p>
        </w:tc>
        <w:tc>
          <w:tcPr>
            <w:tcW w:w="8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49,506</w:t>
            </w:r>
          </w:p>
        </w:tc>
        <w:tc>
          <w:tcPr>
            <w:tcW w:w="0" w:type="dxa"/>
            <w:vAlign w:val="bottom"/>
          </w:tcPr>
          <w:p>
            <w:pPr>
              <w:spacing w:after="0"/>
              <w:rPr>
                <w:sz w:val="1"/>
                <w:szCs w:val="1"/>
                <w:color w:val="auto"/>
              </w:rPr>
            </w:pPr>
          </w:p>
        </w:tc>
      </w:tr>
      <w:tr>
        <w:trPr>
          <w:trHeight w:val="271"/>
        </w:trPr>
        <w:tc>
          <w:tcPr>
            <w:tcW w:w="54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9"/>
                <w:szCs w:val="19"/>
                <w:color w:val="auto"/>
              </w:rPr>
              <w:t>Operating income</w:t>
            </w:r>
          </w:p>
        </w:tc>
        <w:tc>
          <w:tcPr>
            <w:tcW w:w="20" w:type="dxa"/>
            <w:vAlign w:val="bottom"/>
            <w:tcBorders>
              <w:bottom w:val="single" w:sz="8" w:color="auto"/>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spacing w:after="0"/>
              <w:rPr>
                <w:sz w:val="23"/>
                <w:szCs w:val="23"/>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4,713</w:t>
            </w:r>
          </w:p>
        </w:tc>
        <w:tc>
          <w:tcPr>
            <w:tcW w:w="2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spacing w:after="0"/>
              <w:rPr>
                <w:sz w:val="23"/>
                <w:szCs w:val="23"/>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5,096</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spacing w:after="0"/>
              <w:rPr>
                <w:sz w:val="23"/>
                <w:szCs w:val="23"/>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4,211</w:t>
            </w:r>
          </w:p>
        </w:tc>
        <w:tc>
          <w:tcPr>
            <w:tcW w:w="0" w:type="dxa"/>
            <w:vAlign w:val="bottom"/>
          </w:tcPr>
          <w:p>
            <w:pPr>
              <w:spacing w:after="0"/>
              <w:rPr>
                <w:sz w:val="1"/>
                <w:szCs w:val="1"/>
                <w:color w:val="auto"/>
              </w:rPr>
            </w:pPr>
          </w:p>
        </w:tc>
      </w:tr>
      <w:tr>
        <w:trPr>
          <w:trHeight w:val="281"/>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4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9"/>
                <w:szCs w:val="19"/>
                <w:color w:val="auto"/>
              </w:rPr>
              <w:t>Nonoperating income (expense):</w:t>
            </w:r>
          </w:p>
        </w:tc>
        <w:tc>
          <w:tcPr>
            <w:tcW w:w="2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E6E6E6"/>
            </w:tcBorders>
            <w:shd w:val="clear" w:color="auto" w:fill="E6E6E6"/>
          </w:tcPr>
          <w:p>
            <w:pPr>
              <w:spacing w:after="0"/>
              <w:rPr>
                <w:sz w:val="23"/>
                <w:szCs w:val="23"/>
                <w:color w:val="auto"/>
              </w:rPr>
            </w:pPr>
          </w:p>
        </w:tc>
        <w:tc>
          <w:tcPr>
            <w:tcW w:w="10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110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108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5460" w:type="dxa"/>
            <w:vAlign w:val="bottom"/>
          </w:tcPr>
          <w:p>
            <w:pPr>
              <w:ind w:left="520"/>
              <w:spacing w:after="0"/>
              <w:rPr>
                <w:sz w:val="20"/>
                <w:szCs w:val="20"/>
                <w:color w:val="auto"/>
              </w:rPr>
            </w:pPr>
            <w:r>
              <w:rPr>
                <w:rFonts w:ascii="Arial" w:cs="Arial" w:eastAsia="Arial" w:hAnsi="Arial"/>
                <w:sz w:val="19"/>
                <w:szCs w:val="19"/>
                <w:color w:val="auto"/>
              </w:rPr>
              <w:t>Interest expense</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(1,373)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(1,629)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(1,956)</w:t>
            </w:r>
          </w:p>
        </w:tc>
        <w:tc>
          <w:tcPr>
            <w:tcW w:w="0" w:type="dxa"/>
            <w:vAlign w:val="bottom"/>
          </w:tcPr>
          <w:p>
            <w:pPr>
              <w:spacing w:after="0"/>
              <w:rPr>
                <w:sz w:val="1"/>
                <w:szCs w:val="1"/>
                <w:color w:val="auto"/>
              </w:rPr>
            </w:pPr>
          </w:p>
        </w:tc>
      </w:tr>
      <w:tr>
        <w:trPr>
          <w:trHeight w:val="30"/>
        </w:trPr>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546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9"/>
                <w:szCs w:val="19"/>
                <w:color w:val="auto"/>
              </w:rPr>
              <w:t>Interest income</w:t>
            </w:r>
          </w:p>
        </w:tc>
        <w:tc>
          <w:tcPr>
            <w:tcW w:w="2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E6E6E6"/>
            </w:tcBorders>
            <w:shd w:val="clear" w:color="auto" w:fill="E6E6E6"/>
          </w:tcPr>
          <w:p>
            <w:pPr>
              <w:spacing w:after="0"/>
              <w:rPr>
                <w:sz w:val="23"/>
                <w:szCs w:val="23"/>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611</w:t>
            </w:r>
          </w:p>
        </w:tc>
        <w:tc>
          <w:tcPr>
            <w:tcW w:w="2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11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726</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827</w:t>
            </w:r>
          </w:p>
        </w:tc>
        <w:tc>
          <w:tcPr>
            <w:tcW w:w="0" w:type="dxa"/>
            <w:vAlign w:val="bottom"/>
          </w:tcPr>
          <w:p>
            <w:pPr>
              <w:spacing w:after="0"/>
              <w:rPr>
                <w:sz w:val="1"/>
                <w:szCs w:val="1"/>
                <w:color w:val="auto"/>
              </w:rPr>
            </w:pPr>
          </w:p>
        </w:tc>
      </w:tr>
      <w:tr>
        <w:trPr>
          <w:trHeight w:val="261"/>
        </w:trPr>
        <w:tc>
          <w:tcPr>
            <w:tcW w:w="5460" w:type="dxa"/>
            <w:vAlign w:val="bottom"/>
          </w:tcPr>
          <w:p>
            <w:pPr>
              <w:ind w:left="520"/>
              <w:spacing w:after="0"/>
              <w:rPr>
                <w:sz w:val="20"/>
                <w:szCs w:val="20"/>
                <w:color w:val="auto"/>
              </w:rPr>
            </w:pPr>
            <w:r>
              <w:rPr>
                <w:rFonts w:ascii="Arial" w:cs="Arial" w:eastAsia="Arial" w:hAnsi="Arial"/>
                <w:sz w:val="19"/>
                <w:szCs w:val="19"/>
                <w:color w:val="auto"/>
              </w:rPr>
              <w:t>Interest capitalized</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206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227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182</w:t>
            </w:r>
          </w:p>
        </w:tc>
        <w:tc>
          <w:tcPr>
            <w:tcW w:w="0" w:type="dxa"/>
            <w:vAlign w:val="bottom"/>
          </w:tcPr>
          <w:p>
            <w:pPr>
              <w:spacing w:after="0"/>
              <w:rPr>
                <w:sz w:val="1"/>
                <w:szCs w:val="1"/>
                <w:color w:val="auto"/>
              </w:rPr>
            </w:pPr>
          </w:p>
        </w:tc>
      </w:tr>
      <w:tr>
        <w:trPr>
          <w:trHeight w:val="30"/>
        </w:trPr>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546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9"/>
                <w:szCs w:val="19"/>
                <w:color w:val="auto"/>
              </w:rPr>
              <w:t>Unrealized gains (losses) on investments, net</w:t>
            </w:r>
          </w:p>
        </w:tc>
        <w:tc>
          <w:tcPr>
            <w:tcW w:w="2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E6E6E6"/>
            </w:tcBorders>
            <w:shd w:val="clear" w:color="auto" w:fill="E6E6E6"/>
          </w:tcPr>
          <w:p>
            <w:pPr>
              <w:spacing w:after="0"/>
              <w:rPr>
                <w:sz w:val="23"/>
                <w:szCs w:val="23"/>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w:t>
            </w:r>
          </w:p>
        </w:tc>
        <w:tc>
          <w:tcPr>
            <w:tcW w:w="2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11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(199)</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27</w:t>
            </w:r>
          </w:p>
        </w:tc>
        <w:tc>
          <w:tcPr>
            <w:tcW w:w="0" w:type="dxa"/>
            <w:vAlign w:val="bottom"/>
          </w:tcPr>
          <w:p>
            <w:pPr>
              <w:spacing w:after="0"/>
              <w:rPr>
                <w:sz w:val="1"/>
                <w:szCs w:val="1"/>
                <w:color w:val="auto"/>
              </w:rPr>
            </w:pPr>
          </w:p>
        </w:tc>
      </w:tr>
      <w:tr>
        <w:trPr>
          <w:trHeight w:val="261"/>
        </w:trPr>
        <w:tc>
          <w:tcPr>
            <w:tcW w:w="5460" w:type="dxa"/>
            <w:vAlign w:val="bottom"/>
          </w:tcPr>
          <w:p>
            <w:pPr>
              <w:ind w:left="520"/>
              <w:spacing w:after="0"/>
              <w:rPr>
                <w:sz w:val="20"/>
                <w:szCs w:val="20"/>
                <w:color w:val="auto"/>
              </w:rPr>
            </w:pPr>
            <w:r>
              <w:rPr>
                <w:rFonts w:ascii="Arial" w:cs="Arial" w:eastAsia="Arial" w:hAnsi="Arial"/>
                <w:sz w:val="19"/>
                <w:szCs w:val="19"/>
                <w:color w:val="auto"/>
              </w:rPr>
              <w:t>Miscellaneous, net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144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(53)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96</w:t>
            </w:r>
          </w:p>
        </w:tc>
        <w:tc>
          <w:tcPr>
            <w:tcW w:w="0" w:type="dxa"/>
            <w:vAlign w:val="bottom"/>
          </w:tcPr>
          <w:p>
            <w:pPr>
              <w:spacing w:after="0"/>
              <w:rPr>
                <w:sz w:val="1"/>
                <w:szCs w:val="1"/>
                <w:color w:val="auto"/>
              </w:rPr>
            </w:pPr>
          </w:p>
        </w:tc>
      </w:tr>
      <w:tr>
        <w:trPr>
          <w:trHeight w:val="21"/>
        </w:trPr>
        <w:tc>
          <w:tcPr>
            <w:tcW w:w="546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5460" w:type="dxa"/>
            <w:vAlign w:val="bottom"/>
            <w:tcBorders>
              <w:bottom w:val="single" w:sz="8" w:color="E6E6E6"/>
            </w:tcBorders>
            <w:shd w:val="clear" w:color="auto" w:fill="E6E6E6"/>
          </w:tcPr>
          <w:p>
            <w:pPr>
              <w:ind w:left="740"/>
              <w:spacing w:after="0"/>
              <w:rPr>
                <w:sz w:val="20"/>
                <w:szCs w:val="20"/>
                <w:color w:val="auto"/>
              </w:rPr>
            </w:pPr>
            <w:r>
              <w:rPr>
                <w:rFonts w:ascii="Arial" w:cs="Arial" w:eastAsia="Arial" w:hAnsi="Arial"/>
                <w:sz w:val="19"/>
                <w:szCs w:val="19"/>
                <w:color w:val="auto"/>
              </w:rPr>
              <w:t>Total nonoperating expense, net</w:t>
            </w: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(408)</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(928)</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(824)</w:t>
            </w:r>
          </w:p>
        </w:tc>
        <w:tc>
          <w:tcPr>
            <w:tcW w:w="0" w:type="dxa"/>
            <w:vAlign w:val="bottom"/>
          </w:tcPr>
          <w:p>
            <w:pPr>
              <w:spacing w:after="0"/>
              <w:rPr>
                <w:sz w:val="1"/>
                <w:szCs w:val="1"/>
                <w:color w:val="auto"/>
              </w:rPr>
            </w:pPr>
          </w:p>
        </w:tc>
      </w:tr>
      <w:tr>
        <w:trPr>
          <w:trHeight w:val="242"/>
        </w:trPr>
        <w:tc>
          <w:tcPr>
            <w:tcW w:w="5460" w:type="dxa"/>
            <w:vAlign w:val="bottom"/>
          </w:tcPr>
          <w:p>
            <w:pPr>
              <w:ind w:left="40"/>
              <w:spacing w:after="0"/>
              <w:rPr>
                <w:sz w:val="20"/>
                <w:szCs w:val="20"/>
                <w:color w:val="auto"/>
              </w:rPr>
            </w:pPr>
            <w:r>
              <w:rPr>
                <w:rFonts w:ascii="Arial" w:cs="Arial" w:eastAsia="Arial" w:hAnsi="Arial"/>
                <w:sz w:val="19"/>
                <w:szCs w:val="19"/>
                <w:color w:val="auto"/>
              </w:rPr>
              <w:t>Income before income taxes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4,306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4,168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3,387</w:t>
            </w:r>
          </w:p>
        </w:tc>
        <w:tc>
          <w:tcPr>
            <w:tcW w:w="0" w:type="dxa"/>
            <w:vAlign w:val="bottom"/>
          </w:tcPr>
          <w:p>
            <w:pPr>
              <w:spacing w:after="0"/>
              <w:rPr>
                <w:sz w:val="1"/>
                <w:szCs w:val="1"/>
                <w:color w:val="auto"/>
              </w:rPr>
            </w:pPr>
          </w:p>
        </w:tc>
      </w:tr>
      <w:tr>
        <w:trPr>
          <w:trHeight w:val="28"/>
        </w:trPr>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6"/>
        </w:trPr>
        <w:tc>
          <w:tcPr>
            <w:tcW w:w="54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9"/>
                <w:szCs w:val="19"/>
                <w:color w:val="auto"/>
              </w:rPr>
              <w:t>Income tax expense</w:t>
            </w: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953</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spacing w:after="0"/>
              <w:rPr>
                <w:sz w:val="24"/>
                <w:szCs w:val="24"/>
                <w:color w:val="auto"/>
              </w:rPr>
            </w:pPr>
          </w:p>
        </w:tc>
        <w:tc>
          <w:tcPr>
            <w:tcW w:w="11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1,019</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769</w:t>
            </w:r>
          </w:p>
        </w:tc>
        <w:tc>
          <w:tcPr>
            <w:tcW w:w="0" w:type="dxa"/>
            <w:vAlign w:val="bottom"/>
          </w:tcPr>
          <w:p>
            <w:pPr>
              <w:spacing w:after="0"/>
              <w:rPr>
                <w:sz w:val="1"/>
                <w:szCs w:val="1"/>
                <w:color w:val="auto"/>
              </w:rPr>
            </w:pPr>
          </w:p>
        </w:tc>
      </w:tr>
      <w:tr>
        <w:trPr>
          <w:trHeight w:val="270"/>
        </w:trPr>
        <w:tc>
          <w:tcPr>
            <w:tcW w:w="5460" w:type="dxa"/>
            <w:vAlign w:val="bottom"/>
            <w:tcBorders>
              <w:top w:val="single" w:sz="8" w:color="E6E6E6"/>
              <w:bottom w:val="single" w:sz="8" w:color="E6E6E6"/>
            </w:tcBorders>
          </w:tcPr>
          <w:p>
            <w:pPr>
              <w:ind w:left="40"/>
              <w:spacing w:after="0"/>
              <w:rPr>
                <w:sz w:val="20"/>
                <w:szCs w:val="20"/>
                <w:color w:val="auto"/>
              </w:rPr>
            </w:pPr>
            <w:r>
              <w:rPr>
                <w:rFonts w:ascii="Arial" w:cs="Arial" w:eastAsia="Arial" w:hAnsi="Arial"/>
                <w:sz w:val="19"/>
                <w:szCs w:val="19"/>
                <w:color w:val="auto"/>
              </w:rPr>
              <w:t>Net income</w:t>
            </w:r>
          </w:p>
        </w:tc>
        <w:tc>
          <w:tcPr>
            <w:tcW w:w="20" w:type="dxa"/>
            <w:vAlign w:val="bottom"/>
            <w:tcBorders>
              <w:top w:val="single" w:sz="8" w:color="E6E6E6"/>
              <w:bottom w:val="single" w:sz="8" w:color="E6E6E6"/>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9"/>
                <w:szCs w:val="19"/>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3,353</w:t>
            </w:r>
          </w:p>
        </w:tc>
        <w:tc>
          <w:tcPr>
            <w:tcW w:w="20" w:type="dxa"/>
            <w:vAlign w:val="bottom"/>
            <w:tcBorders>
              <w:top w:val="single" w:sz="8" w:color="E6E6E6"/>
              <w:bottom w:val="single" w:sz="8" w:color="E6E6E6"/>
            </w:tcBorders>
          </w:tcPr>
          <w:p>
            <w:pPr>
              <w:spacing w:after="0"/>
              <w:rPr>
                <w:sz w:val="23"/>
                <w:szCs w:val="23"/>
                <w:color w:val="auto"/>
              </w:rPr>
            </w:pPr>
          </w:p>
        </w:tc>
        <w:tc>
          <w:tcPr>
            <w:tcW w:w="80" w:type="dxa"/>
            <w:vAlign w:val="bottom"/>
            <w:tcBorders>
              <w:top w:val="single" w:sz="8" w:color="E6E6E6"/>
              <w:bottom w:val="single" w:sz="8" w:color="E6E6E6"/>
            </w:tcBorders>
            <w:gridSpan w:val="2"/>
          </w:tcPr>
          <w:p>
            <w:pPr>
              <w:spacing w:after="0"/>
              <w:rPr>
                <w:sz w:val="23"/>
                <w:szCs w:val="23"/>
                <w:color w:val="auto"/>
              </w:rPr>
            </w:pPr>
          </w:p>
        </w:tc>
        <w:tc>
          <w:tcPr>
            <w:tcW w:w="32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9"/>
                <w:szCs w:val="19"/>
                <w:color w:val="auto"/>
                <w:w w:val="9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3,149</w:t>
            </w:r>
          </w:p>
        </w:tc>
        <w:tc>
          <w:tcPr>
            <w:tcW w:w="100" w:type="dxa"/>
            <w:vAlign w:val="bottom"/>
            <w:tcBorders>
              <w:top w:val="single" w:sz="8" w:color="E6E6E6"/>
              <w:bottom w:val="single" w:sz="8" w:color="E6E6E6"/>
            </w:tcBorders>
            <w:gridSpan w:val="2"/>
          </w:tcPr>
          <w:p>
            <w:pPr>
              <w:spacing w:after="0"/>
              <w:rPr>
                <w:sz w:val="23"/>
                <w:szCs w:val="23"/>
                <w:color w:val="auto"/>
              </w:rPr>
            </w:pPr>
          </w:p>
        </w:tc>
        <w:tc>
          <w:tcPr>
            <w:tcW w:w="340" w:type="dxa"/>
            <w:vAlign w:val="bottom"/>
            <w:tcBorders>
              <w:top w:val="single" w:sz="8" w:color="auto"/>
              <w:bottom w:val="single" w:sz="8" w:color="auto"/>
            </w:tcBorders>
            <w:gridSpan w:val="2"/>
          </w:tcPr>
          <w:p>
            <w:pPr>
              <w:jc w:val="right"/>
              <w:ind w:right="123"/>
              <w:spacing w:after="0"/>
              <w:rPr>
                <w:sz w:val="20"/>
                <w:szCs w:val="20"/>
                <w:color w:val="auto"/>
              </w:rPr>
            </w:pPr>
            <w:r>
              <w:rPr>
                <w:rFonts w:ascii="Arial" w:cs="Arial" w:eastAsia="Arial" w:hAnsi="Arial"/>
                <w:sz w:val="19"/>
                <w:szCs w:val="19"/>
                <w:color w:val="auto"/>
                <w:w w:val="9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2,618</w:t>
            </w:r>
          </w:p>
        </w:tc>
        <w:tc>
          <w:tcPr>
            <w:tcW w:w="0" w:type="dxa"/>
            <w:vAlign w:val="bottom"/>
          </w:tcPr>
          <w:p>
            <w:pPr>
              <w:spacing w:after="0"/>
              <w:rPr>
                <w:sz w:val="1"/>
                <w:szCs w:val="1"/>
                <w:color w:val="auto"/>
              </w:rPr>
            </w:pPr>
          </w:p>
        </w:tc>
      </w:tr>
      <w:tr>
        <w:trPr>
          <w:trHeight w:val="271"/>
        </w:trPr>
        <w:tc>
          <w:tcPr>
            <w:tcW w:w="5460" w:type="dxa"/>
            <w:vAlign w:val="bottom"/>
            <w:shd w:val="clear" w:color="auto" w:fill="E6E6E6"/>
          </w:tcPr>
          <w:p>
            <w:pPr>
              <w:ind w:left="520"/>
              <w:spacing w:after="0"/>
              <w:rPr>
                <w:sz w:val="20"/>
                <w:szCs w:val="20"/>
                <w:color w:val="auto"/>
              </w:rPr>
            </w:pPr>
            <w:r>
              <w:rPr>
                <w:rFonts w:ascii="Arial" w:cs="Arial" w:eastAsia="Arial" w:hAnsi="Arial"/>
                <w:sz w:val="19"/>
                <w:szCs w:val="19"/>
                <w:color w:val="auto"/>
              </w:rPr>
              <w:t>Earnings per share, basic</w:t>
            </w:r>
          </w:p>
        </w:tc>
        <w:tc>
          <w:tcPr>
            <w:tcW w:w="20" w:type="dxa"/>
            <w:vAlign w:val="bottom"/>
            <w:shd w:val="clear" w:color="auto" w:fill="E6E6E6"/>
          </w:tcPr>
          <w:p>
            <w:pPr>
              <w:spacing w:after="0"/>
              <w:rPr>
                <w:sz w:val="23"/>
                <w:szCs w:val="23"/>
                <w:color w:val="auto"/>
              </w:rPr>
            </w:pPr>
          </w:p>
        </w:tc>
        <w:tc>
          <w:tcPr>
            <w:tcW w:w="340" w:type="dxa"/>
            <w:vAlign w:val="bottom"/>
            <w:shd w:val="clear" w:color="auto" w:fill="E6E6E6"/>
          </w:tcPr>
          <w:p>
            <w:pPr>
              <w:jc w:val="right"/>
              <w:ind w:right="103"/>
              <w:spacing w:after="0"/>
              <w:rPr>
                <w:sz w:val="20"/>
                <w:szCs w:val="20"/>
                <w:color w:val="auto"/>
              </w:rPr>
            </w:pPr>
            <w:r>
              <w:rPr>
                <w:rFonts w:ascii="Arial" w:cs="Arial" w:eastAsia="Arial" w:hAnsi="Arial"/>
                <w:sz w:val="19"/>
                <w:szCs w:val="19"/>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10.32</w:t>
            </w:r>
          </w:p>
        </w:tc>
        <w:tc>
          <w:tcPr>
            <w:tcW w:w="20" w:type="dxa"/>
            <w:vAlign w:val="bottom"/>
            <w:shd w:val="clear" w:color="auto" w:fill="E6E6E6"/>
          </w:tcPr>
          <w:p>
            <w:pPr>
              <w:spacing w:after="0"/>
              <w:rPr>
                <w:sz w:val="23"/>
                <w:szCs w:val="23"/>
                <w:color w:val="auto"/>
              </w:rPr>
            </w:pPr>
          </w:p>
        </w:tc>
        <w:tc>
          <w:tcPr>
            <w:tcW w:w="80" w:type="dxa"/>
            <w:vAlign w:val="bottom"/>
            <w:gridSpan w:val="2"/>
            <w:shd w:val="clear" w:color="auto" w:fill="E6E6E6"/>
          </w:tcPr>
          <w:p>
            <w:pPr>
              <w:spacing w:after="0"/>
              <w:rPr>
                <w:sz w:val="23"/>
                <w:szCs w:val="23"/>
                <w:color w:val="auto"/>
              </w:rPr>
            </w:pPr>
          </w:p>
        </w:tc>
        <w:tc>
          <w:tcPr>
            <w:tcW w:w="320" w:type="dxa"/>
            <w:vAlign w:val="bottom"/>
            <w:shd w:val="clear" w:color="auto" w:fill="E6E6E6"/>
          </w:tcPr>
          <w:p>
            <w:pPr>
              <w:jc w:val="right"/>
              <w:ind w:right="103"/>
              <w:spacing w:after="0"/>
              <w:rPr>
                <w:sz w:val="20"/>
                <w:szCs w:val="20"/>
                <w:color w:val="auto"/>
              </w:rPr>
            </w:pPr>
            <w:r>
              <w:rPr>
                <w:rFonts w:ascii="Arial" w:cs="Arial" w:eastAsia="Arial" w:hAnsi="Arial"/>
                <w:sz w:val="19"/>
                <w:szCs w:val="19"/>
                <w:color w:val="auto"/>
                <w:w w:val="94"/>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9.58</w:t>
            </w:r>
          </w:p>
        </w:tc>
        <w:tc>
          <w:tcPr>
            <w:tcW w:w="100" w:type="dxa"/>
            <w:vAlign w:val="bottom"/>
            <w:gridSpan w:val="2"/>
            <w:shd w:val="clear" w:color="auto" w:fill="E6E6E6"/>
          </w:tcPr>
          <w:p>
            <w:pPr>
              <w:spacing w:after="0"/>
              <w:rPr>
                <w:sz w:val="23"/>
                <w:szCs w:val="23"/>
                <w:color w:val="auto"/>
              </w:rPr>
            </w:pPr>
          </w:p>
        </w:tc>
        <w:tc>
          <w:tcPr>
            <w:tcW w:w="340" w:type="dxa"/>
            <w:vAlign w:val="bottom"/>
            <w:gridSpan w:val="2"/>
            <w:shd w:val="clear" w:color="auto" w:fill="E6E6E6"/>
          </w:tcPr>
          <w:p>
            <w:pPr>
              <w:jc w:val="right"/>
              <w:ind w:right="123"/>
              <w:spacing w:after="0"/>
              <w:rPr>
                <w:sz w:val="20"/>
                <w:szCs w:val="20"/>
                <w:color w:val="auto"/>
              </w:rPr>
            </w:pPr>
            <w:r>
              <w:rPr>
                <w:rFonts w:ascii="Arial" w:cs="Arial" w:eastAsia="Arial" w:hAnsi="Arial"/>
                <w:sz w:val="19"/>
                <w:szCs w:val="19"/>
                <w:color w:val="auto"/>
                <w:w w:val="94"/>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7.98</w:t>
            </w:r>
          </w:p>
        </w:tc>
        <w:tc>
          <w:tcPr>
            <w:tcW w:w="0" w:type="dxa"/>
            <w:vAlign w:val="bottom"/>
          </w:tcPr>
          <w:p>
            <w:pPr>
              <w:spacing w:after="0"/>
              <w:rPr>
                <w:sz w:val="1"/>
                <w:szCs w:val="1"/>
                <w:color w:val="auto"/>
              </w:rPr>
            </w:pPr>
          </w:p>
        </w:tc>
      </w:tr>
      <w:tr>
        <w:trPr>
          <w:trHeight w:val="233"/>
        </w:trPr>
        <w:tc>
          <w:tcPr>
            <w:tcW w:w="5460" w:type="dxa"/>
            <w:vAlign w:val="bottom"/>
            <w:tcBorders>
              <w:top w:val="single" w:sz="8" w:color="E6E6E6"/>
            </w:tcBorders>
          </w:tcPr>
          <w:p>
            <w:pPr>
              <w:ind w:left="520"/>
              <w:spacing w:after="0"/>
              <w:rPr>
                <w:sz w:val="20"/>
                <w:szCs w:val="20"/>
                <w:color w:val="auto"/>
              </w:rPr>
            </w:pPr>
            <w:r>
              <w:rPr>
                <w:rFonts w:ascii="Arial" w:cs="Arial" w:eastAsia="Arial" w:hAnsi="Arial"/>
                <w:sz w:val="19"/>
                <w:szCs w:val="19"/>
                <w:color w:val="auto"/>
              </w:rPr>
              <w:t>Earnings per share, diluted</w:t>
            </w:r>
          </w:p>
        </w:tc>
        <w:tc>
          <w:tcPr>
            <w:tcW w:w="20" w:type="dxa"/>
            <w:vAlign w:val="bottom"/>
            <w:tcBorders>
              <w:top w:val="single" w:sz="8" w:color="E6E6E6"/>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9"/>
                <w:szCs w:val="19"/>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10.20</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E6E6E6"/>
            </w:tcBorders>
            <w:gridSpan w:val="2"/>
          </w:tcPr>
          <w:p>
            <w:pPr>
              <w:spacing w:after="0"/>
              <w:rPr>
                <w:sz w:val="20"/>
                <w:szCs w:val="20"/>
                <w:color w:val="auto"/>
              </w:rPr>
            </w:pPr>
          </w:p>
        </w:tc>
        <w:tc>
          <w:tcPr>
            <w:tcW w:w="32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9"/>
                <w:szCs w:val="19"/>
                <w:color w:val="auto"/>
                <w:w w:val="9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9.45</w:t>
            </w:r>
          </w:p>
        </w:tc>
        <w:tc>
          <w:tcPr>
            <w:tcW w:w="120" w:type="dxa"/>
            <w:vAlign w:val="bottom"/>
            <w:tcBorders>
              <w:top w:val="single" w:sz="8" w:color="E6E6E6"/>
            </w:tcBorders>
            <w:gridSpan w:val="3"/>
          </w:tcPr>
          <w:p>
            <w:pPr>
              <w:spacing w:after="0"/>
              <w:rPr>
                <w:sz w:val="20"/>
                <w:szCs w:val="20"/>
                <w:color w:val="auto"/>
              </w:rPr>
            </w:pPr>
          </w:p>
        </w:tc>
        <w:tc>
          <w:tcPr>
            <w:tcW w:w="32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9"/>
                <w:szCs w:val="19"/>
                <w:color w:val="auto"/>
                <w:w w:val="7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7.89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-5020945</wp:posOffset>
            </wp:positionV>
            <wp:extent cx="286258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5">
                      <a:extLst>
                        <a:ext uri="{28A0092B-C50C-407E-A947-70E740481C1C}"/>
                      </a:extLst>
                    </a:blip>
                    <a:srcRect/>
                    <a:stretch>
                      <a:fillRect/>
                    </a:stretch>
                  </pic:blipFill>
                  <pic:spPr bwMode="auto">
                    <a:xfrm>
                      <a:off x="0" y="0"/>
                      <a:ext cx="2862580" cy="2540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-4836160</wp:posOffset>
            </wp:positionV>
            <wp:extent cx="286258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6">
                      <a:extLst>
                        <a:ext uri="{28A0092B-C50C-407E-A947-70E740481C1C}"/>
                      </a:extLst>
                    </a:blip>
                    <a:srcRect/>
                    <a:stretch>
                      <a:fillRect/>
                    </a:stretch>
                  </pic:blipFill>
                  <pic:spPr bwMode="auto">
                    <a:xfrm>
                      <a:off x="0" y="0"/>
                      <a:ext cx="2862580" cy="2540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-2802890</wp:posOffset>
            </wp:positionV>
            <wp:extent cx="286258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7">
                      <a:extLst>
                        <a:ext uri="{28A0092B-C50C-407E-A947-70E740481C1C}"/>
                      </a:extLst>
                    </a:blip>
                    <a:srcRect/>
                    <a:stretch>
                      <a:fillRect/>
                    </a:stretch>
                  </pic:blipFill>
                  <pic:spPr bwMode="auto">
                    <a:xfrm>
                      <a:off x="0" y="0"/>
                      <a:ext cx="2862580" cy="2540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-2618105</wp:posOffset>
            </wp:positionV>
            <wp:extent cx="286258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8">
                      <a:extLst>
                        <a:ext uri="{28A0092B-C50C-407E-A947-70E740481C1C}"/>
                      </a:extLst>
                    </a:blip>
                    <a:srcRect/>
                    <a:stretch>
                      <a:fillRect/>
                    </a:stretch>
                  </pic:blipFill>
                  <pic:spPr bwMode="auto">
                    <a:xfrm>
                      <a:off x="0" y="0"/>
                      <a:ext cx="2862580" cy="2540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-2433320</wp:posOffset>
            </wp:positionV>
            <wp:extent cx="286258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9">
                      <a:extLst>
                        <a:ext uri="{28A0092B-C50C-407E-A947-70E740481C1C}"/>
                      </a:extLst>
                    </a:blip>
                    <a:srcRect/>
                    <a:stretch>
                      <a:fillRect/>
                    </a:stretch>
                  </pic:blipFill>
                  <pic:spPr bwMode="auto">
                    <a:xfrm>
                      <a:off x="0" y="0"/>
                      <a:ext cx="2862580" cy="2540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-1139190</wp:posOffset>
            </wp:positionV>
            <wp:extent cx="286258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0">
                      <a:extLst>
                        <a:ext uri="{28A0092B-C50C-407E-A947-70E740481C1C}"/>
                      </a:extLst>
                    </a:blip>
                    <a:srcRect/>
                    <a:stretch>
                      <a:fillRect/>
                    </a:stretch>
                  </pic:blipFill>
                  <pic:spPr bwMode="auto">
                    <a:xfrm>
                      <a:off x="0" y="0"/>
                      <a:ext cx="2862580" cy="2540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-954405</wp:posOffset>
            </wp:positionV>
            <wp:extent cx="286258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1">
                      <a:extLst>
                        <a:ext uri="{28A0092B-C50C-407E-A947-70E740481C1C}"/>
                      </a:extLst>
                    </a:blip>
                    <a:srcRect/>
                    <a:stretch>
                      <a:fillRect/>
                    </a:stretch>
                  </pic:blipFill>
                  <pic:spPr bwMode="auto">
                    <a:xfrm>
                      <a:off x="0" y="0"/>
                      <a:ext cx="2862580" cy="2540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-584835</wp:posOffset>
            </wp:positionV>
            <wp:extent cx="286258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2">
                      <a:extLst>
                        <a:ext uri="{28A0092B-C50C-407E-A947-70E740481C1C}"/>
                      </a:extLst>
                    </a:blip>
                    <a:srcRect/>
                    <a:stretch>
                      <a:fillRect/>
                    </a:stretch>
                  </pic:blipFill>
                  <pic:spPr bwMode="auto">
                    <a:xfrm>
                      <a:off x="0" y="0"/>
                      <a:ext cx="2862580" cy="2540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-412750</wp:posOffset>
            </wp:positionV>
            <wp:extent cx="2862580" cy="501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3">
                      <a:extLst>
                        <a:ext uri="{28A0092B-C50C-407E-A947-70E740481C1C}"/>
                      </a:extLst>
                    </a:blip>
                    <a:srcRect/>
                    <a:stretch>
                      <a:fillRect/>
                    </a:stretch>
                  </pic:blipFill>
                  <pic:spPr bwMode="auto">
                    <a:xfrm>
                      <a:off x="0" y="0"/>
                      <a:ext cx="2862580" cy="5016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-227965</wp:posOffset>
            </wp:positionV>
            <wp:extent cx="2862580" cy="501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4">
                      <a:extLst>
                        <a:ext uri="{28A0092B-C50C-407E-A947-70E740481C1C}"/>
                      </a:extLst>
                    </a:blip>
                    <a:srcRect/>
                    <a:stretch>
                      <a:fillRect/>
                    </a:stretch>
                  </pic:blipFill>
                  <pic:spPr bwMode="auto">
                    <a:xfrm>
                      <a:off x="0" y="0"/>
                      <a:ext cx="2862580" cy="5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ectPr>
          <w:pgSz w:w="11880" w:h="15480" w:orient="portrait"/>
          <w:cols w:equalWidth="0" w:num="1">
            <w:col w:w="9940"/>
          </w:cols>
          <w:pgMar w:left="1100" w:top="1147" w:right="84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9940"/>
          </w:cols>
          <w:pgMar w:left="1100" w:top="1147" w:right="840" w:bottom="33" w:gutter="0" w:footer="0" w:header="0"/>
          <w:type w:val="continuous"/>
        </w:sectPr>
      </w:pPr>
    </w:p>
    <w:bookmarkStart w:id="58" w:name="page59"/>
    <w:bookmarkEnd w:id="58"/>
    <w:p>
      <w:pPr>
        <w:jc w:val="center"/>
        <w:spacing w:after="0" w:line="289" w:lineRule="auto"/>
        <w:rPr>
          <w:sz w:val="20"/>
          <w:szCs w:val="20"/>
          <w:color w:val="auto"/>
        </w:rPr>
      </w:pPr>
      <w:r>
        <w:rPr>
          <w:rFonts w:ascii="Arial" w:cs="Arial" w:eastAsia="Arial" w:hAnsi="Arial"/>
          <w:sz w:val="19"/>
          <w:szCs w:val="19"/>
          <w:b w:val="1"/>
          <w:bCs w:val="1"/>
          <w:color w:val="auto"/>
        </w:rPr>
        <w:t>UNITED AIRLINES HOLDINGS, INC. STATEMENTS OF CONSOLIDATED COMPREHENSIVE INCOME (LOSS) (In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23"/>
              <w:spacing w:after="0"/>
              <w:rPr>
                <w:sz w:val="20"/>
                <w:szCs w:val="20"/>
                <w:color w:val="auto"/>
              </w:rPr>
            </w:pPr>
            <w:r>
              <w:rPr>
                <w:rFonts w:ascii="Arial" w:cs="Arial" w:eastAsia="Arial" w:hAnsi="Arial"/>
                <w:sz w:val="17"/>
                <w:szCs w:val="17"/>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r>
      <w:tr>
        <w:trPr>
          <w:trHeight w:val="257"/>
        </w:trPr>
        <w:tc>
          <w:tcPr>
            <w:tcW w:w="5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6"/>
              <w:spacing w:after="0"/>
              <w:rPr>
                <w:sz w:val="20"/>
                <w:szCs w:val="20"/>
                <w:color w:val="auto"/>
              </w:rPr>
            </w:pPr>
            <w:r>
              <w:rPr>
                <w:rFonts w:ascii="Arial" w:cs="Arial" w:eastAsia="Arial" w:hAnsi="Arial"/>
                <w:sz w:val="17"/>
                <w:szCs w:val="17"/>
                <w:b w:val="1"/>
                <w:bCs w:val="1"/>
                <w:color w:val="auto"/>
              </w:rPr>
              <w:t>2025</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5"/>
              <w:spacing w:after="0"/>
              <w:rPr>
                <w:sz w:val="20"/>
                <w:szCs w:val="20"/>
                <w:color w:val="auto"/>
              </w:rPr>
            </w:pPr>
            <w:r>
              <w:rPr>
                <w:rFonts w:ascii="Arial" w:cs="Arial" w:eastAsia="Arial" w:hAnsi="Arial"/>
                <w:sz w:val="17"/>
                <w:szCs w:val="17"/>
                <w:b w:val="1"/>
                <w:bCs w:val="1"/>
                <w:color w:val="auto"/>
              </w:rPr>
              <w:t>2024</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5"/>
              <w:spacing w:after="0"/>
              <w:rPr>
                <w:sz w:val="20"/>
                <w:szCs w:val="20"/>
                <w:color w:val="auto"/>
              </w:rPr>
            </w:pPr>
            <w:r>
              <w:rPr>
                <w:rFonts w:ascii="Arial" w:cs="Arial" w:eastAsia="Arial" w:hAnsi="Arial"/>
                <w:sz w:val="17"/>
                <w:szCs w:val="17"/>
                <w:b w:val="1"/>
                <w:bCs w:val="1"/>
                <w:color w:val="auto"/>
              </w:rPr>
              <w:t>2023</w:t>
            </w:r>
          </w:p>
        </w:tc>
      </w:tr>
      <w:tr>
        <w:trPr>
          <w:trHeight w:val="281"/>
        </w:trPr>
        <w:tc>
          <w:tcPr>
            <w:tcW w:w="5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1"/>
        </w:trPr>
        <w:tc>
          <w:tcPr>
            <w:tcW w:w="5920" w:type="dxa"/>
            <w:vAlign w:val="bottom"/>
            <w:shd w:val="clear" w:color="auto" w:fill="E6E6E6"/>
          </w:tcPr>
          <w:p>
            <w:pPr>
              <w:ind w:left="40"/>
              <w:spacing w:after="0"/>
              <w:rPr>
                <w:sz w:val="20"/>
                <w:szCs w:val="20"/>
                <w:color w:val="auto"/>
              </w:rPr>
            </w:pPr>
            <w:r>
              <w:rPr>
                <w:rFonts w:ascii="Arial" w:cs="Arial" w:eastAsia="Arial" w:hAnsi="Arial"/>
                <w:sz w:val="19"/>
                <w:szCs w:val="19"/>
                <w:color w:val="auto"/>
              </w:rPr>
              <w:t>Net income</w:t>
            </w:r>
          </w:p>
        </w:tc>
        <w:tc>
          <w:tcPr>
            <w:tcW w:w="280" w:type="dxa"/>
            <w:vAlign w:val="bottom"/>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3,353</w:t>
            </w:r>
          </w:p>
        </w:tc>
        <w:tc>
          <w:tcPr>
            <w:tcW w:w="460" w:type="dxa"/>
            <w:vAlign w:val="bottom"/>
            <w:gridSpan w:val="2"/>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3,149</w:t>
            </w:r>
          </w:p>
        </w:tc>
        <w:tc>
          <w:tcPr>
            <w:tcW w:w="480" w:type="dxa"/>
            <w:vAlign w:val="bottom"/>
            <w:gridSpan w:val="2"/>
            <w:shd w:val="clear" w:color="auto" w:fill="E6E6E6"/>
          </w:tcPr>
          <w:p>
            <w:pPr>
              <w:jc w:val="right"/>
              <w:ind w:right="63"/>
              <w:spacing w:after="0"/>
              <w:rPr>
                <w:sz w:val="20"/>
                <w:szCs w:val="20"/>
                <w:color w:val="auto"/>
              </w:rPr>
            </w:pPr>
            <w:r>
              <w:rPr>
                <w:rFonts w:ascii="Arial" w:cs="Arial" w:eastAsia="Arial" w:hAnsi="Arial"/>
                <w:sz w:val="19"/>
                <w:szCs w:val="19"/>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2,618</w:t>
            </w:r>
          </w:p>
        </w:tc>
      </w:tr>
      <w:tr>
        <w:trPr>
          <w:trHeight w:val="291"/>
        </w:trPr>
        <w:tc>
          <w:tcPr>
            <w:tcW w:w="5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1"/>
        </w:trPr>
        <w:tc>
          <w:tcPr>
            <w:tcW w:w="5920" w:type="dxa"/>
            <w:vAlign w:val="bottom"/>
            <w:shd w:val="clear" w:color="auto" w:fill="E6E6E6"/>
          </w:tcPr>
          <w:p>
            <w:pPr>
              <w:ind w:left="40"/>
              <w:spacing w:after="0"/>
              <w:rPr>
                <w:sz w:val="20"/>
                <w:szCs w:val="20"/>
                <w:color w:val="auto"/>
              </w:rPr>
            </w:pPr>
            <w:r>
              <w:rPr>
                <w:rFonts w:ascii="Arial" w:cs="Arial" w:eastAsia="Arial" w:hAnsi="Arial"/>
                <w:sz w:val="19"/>
                <w:szCs w:val="19"/>
                <w:color w:val="auto"/>
              </w:rPr>
              <w:t>Other comprehensive income (loss), net of tax:</w:t>
            </w:r>
          </w:p>
        </w:tc>
        <w:tc>
          <w:tcPr>
            <w:tcW w:w="28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r>
      <w:tr>
        <w:trPr>
          <w:trHeight w:val="285"/>
        </w:trPr>
        <w:tc>
          <w:tcPr>
            <w:tcW w:w="5920" w:type="dxa"/>
            <w:vAlign w:val="bottom"/>
          </w:tcPr>
          <w:p>
            <w:pPr>
              <w:ind w:left="400"/>
              <w:spacing w:after="0"/>
              <w:rPr>
                <w:sz w:val="20"/>
                <w:szCs w:val="20"/>
                <w:color w:val="auto"/>
              </w:rPr>
            </w:pPr>
            <w:r>
              <w:rPr>
                <w:rFonts w:ascii="Arial" w:cs="Arial" w:eastAsia="Arial" w:hAnsi="Arial"/>
                <w:sz w:val="19"/>
                <w:szCs w:val="19"/>
                <w:color w:val="auto"/>
              </w:rPr>
              <w:t>Employee benefit plans</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(148)</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247</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(261)</w:t>
            </w:r>
          </w:p>
        </w:tc>
      </w:tr>
      <w:tr>
        <w:trPr>
          <w:trHeight w:val="287"/>
        </w:trPr>
        <w:tc>
          <w:tcPr>
            <w:tcW w:w="592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9"/>
                <w:szCs w:val="19"/>
                <w:color w:val="auto"/>
              </w:rPr>
              <w:t>Investments and other</w:t>
            </w:r>
          </w:p>
        </w:tc>
        <w:tc>
          <w:tcPr>
            <w:tcW w:w="28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8</w:t>
            </w:r>
          </w:p>
        </w:tc>
        <w:tc>
          <w:tcPr>
            <w:tcW w:w="1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w:t>
            </w:r>
          </w:p>
        </w:tc>
        <w:tc>
          <w:tcPr>
            <w:tcW w:w="1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24</w:t>
            </w:r>
          </w:p>
        </w:tc>
      </w:tr>
      <w:tr>
        <w:trPr>
          <w:trHeight w:val="271"/>
        </w:trPr>
        <w:tc>
          <w:tcPr>
            <w:tcW w:w="5920" w:type="dxa"/>
            <w:vAlign w:val="bottom"/>
            <w:tcBorders>
              <w:bottom w:val="single" w:sz="8" w:color="E6E6E6"/>
            </w:tcBorders>
          </w:tcPr>
          <w:p>
            <w:pPr>
              <w:ind w:left="400"/>
              <w:spacing w:after="0"/>
              <w:rPr>
                <w:sz w:val="20"/>
                <w:szCs w:val="20"/>
                <w:color w:val="auto"/>
              </w:rPr>
            </w:pPr>
            <w:r>
              <w:rPr>
                <w:rFonts w:ascii="Arial" w:cs="Arial" w:eastAsia="Arial" w:hAnsi="Arial"/>
                <w:sz w:val="19"/>
                <w:szCs w:val="19"/>
                <w:color w:val="auto"/>
              </w:rPr>
              <w:t>Total other comprehensive income (loss), net of tax</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(140)</w:t>
            </w:r>
          </w:p>
        </w:tc>
        <w:tc>
          <w:tcPr>
            <w:tcW w:w="18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250</w:t>
            </w:r>
          </w:p>
        </w:tc>
        <w:tc>
          <w:tcPr>
            <w:tcW w:w="160" w:type="dxa"/>
            <w:vAlign w:val="bottom"/>
            <w:tcBorders>
              <w:bottom w:val="single" w:sz="8" w:color="E6E6E6"/>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(237)</w:t>
            </w:r>
          </w:p>
        </w:tc>
      </w:tr>
      <w:tr>
        <w:trPr>
          <w:trHeight w:val="290"/>
        </w:trPr>
        <w:tc>
          <w:tcPr>
            <w:tcW w:w="59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9"/>
                <w:szCs w:val="19"/>
                <w:color w:val="auto"/>
              </w:rPr>
              <w:t>Total comprehensive income, net</w:t>
            </w:r>
          </w:p>
        </w:tc>
        <w:tc>
          <w:tcPr>
            <w:tcW w:w="280" w:type="dxa"/>
            <w:vAlign w:val="bottom"/>
            <w:tcBorders>
              <w:bottom w:val="single" w:sz="8" w:color="auto"/>
            </w:tcBorders>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3,214</w:t>
            </w:r>
          </w:p>
        </w:tc>
        <w:tc>
          <w:tcPr>
            <w:tcW w:w="1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3,399</w:t>
            </w:r>
          </w:p>
        </w:tc>
        <w:tc>
          <w:tcPr>
            <w:tcW w:w="1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6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-400050</wp:posOffset>
            </wp:positionV>
            <wp:extent cx="257619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5">
                      <a:extLst>
                        <a:ext uri="{28A0092B-C50C-407E-A947-70E740481C1C}"/>
                      </a:extLst>
                    </a:blip>
                    <a:srcRect/>
                    <a:stretch>
                      <a:fillRect/>
                    </a:stretch>
                  </pic:blipFill>
                  <pic:spPr bwMode="auto">
                    <a:xfrm>
                      <a:off x="0" y="0"/>
                      <a:ext cx="2576195" cy="2540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-215265</wp:posOffset>
            </wp:positionV>
            <wp:extent cx="257619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6">
                      <a:extLst>
                        <a:ext uri="{28A0092B-C50C-407E-A947-70E740481C1C}"/>
                      </a:extLst>
                    </a:blip>
                    <a:srcRect/>
                    <a:stretch>
                      <a:fillRect/>
                    </a:stretch>
                  </pic:blipFill>
                  <pic:spPr bwMode="auto">
                    <a:xfrm>
                      <a:off x="0" y="0"/>
                      <a:ext cx="2576195" cy="2540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-43180</wp:posOffset>
            </wp:positionV>
            <wp:extent cx="2576195" cy="50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7">
                      <a:extLst>
                        <a:ext uri="{28A0092B-C50C-407E-A947-70E740481C1C}"/>
                      </a:extLst>
                    </a:blip>
                    <a:srcRect/>
                    <a:stretch>
                      <a:fillRect/>
                    </a:stretch>
                  </pic:blipFill>
                  <pic:spPr bwMode="auto">
                    <a:xfrm>
                      <a:off x="0" y="0"/>
                      <a:ext cx="2576195" cy="5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Combined Notes to Consolidated Financial Statements are an integral part of these statements.</w:t>
      </w:r>
    </w:p>
    <w:p>
      <w:pPr>
        <w:sectPr>
          <w:pgSz w:w="11880" w:h="15480" w:orient="portrait"/>
          <w:cols w:equalWidth="0" w:num="1">
            <w:col w:w="9920"/>
          </w:cols>
          <w:pgMar w:left="980" w:top="579"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9920"/>
          </w:cols>
          <w:pgMar w:left="980" w:top="579" w:right="980" w:bottom="33"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9"/>
          <w:szCs w:val="19"/>
          <w:b w:val="1"/>
          <w:bCs w:val="1"/>
          <w:color w:val="auto"/>
        </w:rPr>
        <w:t>UNITED AIRLINES HOLDINGS,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millions, except shares)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4"/>
          </w:tcPr>
          <w:p>
            <w:pPr>
              <w:jc w:val="right"/>
              <w:ind w:right="644"/>
              <w:spacing w:after="0"/>
              <w:rPr>
                <w:sz w:val="20"/>
                <w:szCs w:val="20"/>
                <w:color w:val="auto"/>
              </w:rPr>
            </w:pPr>
            <w:r>
              <w:rPr>
                <w:rFonts w:ascii="Arial" w:cs="Arial" w:eastAsia="Arial" w:hAnsi="Arial"/>
                <w:sz w:val="17"/>
                <w:szCs w:val="17"/>
                <w:b w:val="1"/>
                <w:bCs w:val="1"/>
                <w:color w:val="auto"/>
              </w:rPr>
              <w:t>At December 31,</w:t>
            </w:r>
          </w:p>
        </w:tc>
        <w:tc>
          <w:tcPr>
            <w:tcW w:w="0" w:type="dxa"/>
            <w:vAlign w:val="bottom"/>
          </w:tcPr>
          <w:p>
            <w:pPr>
              <w:spacing w:after="0"/>
              <w:rPr>
                <w:sz w:val="1"/>
                <w:szCs w:val="1"/>
                <w:color w:val="auto"/>
              </w:rPr>
            </w:pPr>
          </w:p>
        </w:tc>
      </w:tr>
      <w:tr>
        <w:trPr>
          <w:trHeight w:val="25"/>
        </w:trPr>
        <w:tc>
          <w:tcPr>
            <w:tcW w:w="7200" w:type="dxa"/>
            <w:vAlign w:val="bottom"/>
            <w:gridSpan w:val="2"/>
            <w:vMerge w:val="restart"/>
          </w:tcPr>
          <w:p>
            <w:pPr>
              <w:ind w:left="40"/>
              <w:spacing w:after="0"/>
              <w:rPr>
                <w:sz w:val="20"/>
                <w:szCs w:val="20"/>
                <w:color w:val="auto"/>
              </w:rPr>
            </w:pPr>
            <w:r>
              <w:rPr>
                <w:rFonts w:ascii="Arial" w:cs="Arial" w:eastAsia="Arial" w:hAnsi="Arial"/>
                <w:sz w:val="19"/>
                <w:szCs w:val="19"/>
                <w:b w:val="1"/>
                <w:bCs w:val="1"/>
                <w:color w:val="auto"/>
              </w:rPr>
              <w:t>ASSETS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720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404"/>
              <w:spacing w:after="0"/>
              <w:rPr>
                <w:sz w:val="20"/>
                <w:szCs w:val="20"/>
                <w:color w:val="auto"/>
              </w:rPr>
            </w:pPr>
            <w:r>
              <w:rPr>
                <w:rFonts w:ascii="Arial" w:cs="Arial" w:eastAsia="Arial" w:hAnsi="Arial"/>
                <w:sz w:val="17"/>
                <w:szCs w:val="17"/>
                <w:b w:val="1"/>
                <w:bCs w:val="1"/>
                <w:color w:val="auto"/>
              </w:rPr>
              <w:t>2025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404"/>
              <w:spacing w:after="0"/>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22"/>
        </w:trPr>
        <w:tc>
          <w:tcPr>
            <w:tcW w:w="718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Cash and cash equivalents</w:t>
            </w:r>
          </w:p>
        </w:tc>
        <w:tc>
          <w:tcPr>
            <w:tcW w:w="300" w:type="dxa"/>
            <w:vAlign w:val="bottom"/>
            <w:shd w:val="clear" w:color="auto" w:fill="E6E6E6"/>
          </w:tcPr>
          <w:p>
            <w:pPr>
              <w:jc w:val="right"/>
              <w:ind w:right="83"/>
              <w:spacing w:after="0"/>
              <w:rPr>
                <w:sz w:val="20"/>
                <w:szCs w:val="20"/>
                <w:color w:val="auto"/>
              </w:rPr>
            </w:pPr>
            <w:r>
              <w:rPr>
                <w:rFonts w:ascii="Arial" w:cs="Arial" w:eastAsia="Arial" w:hAnsi="Arial"/>
                <w:sz w:val="19"/>
                <w:szCs w:val="19"/>
                <w:color w:val="auto"/>
                <w:w w:val="94"/>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5,942</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19"/>
                <w:szCs w:val="19"/>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8,769</w:t>
            </w:r>
          </w:p>
        </w:tc>
        <w:tc>
          <w:tcPr>
            <w:tcW w:w="0" w:type="dxa"/>
            <w:vAlign w:val="bottom"/>
          </w:tcPr>
          <w:p>
            <w:pPr>
              <w:spacing w:after="0"/>
              <w:rPr>
                <w:sz w:val="1"/>
                <w:szCs w:val="1"/>
                <w:color w:val="auto"/>
              </w:rPr>
            </w:pPr>
          </w:p>
        </w:tc>
      </w:tr>
      <w:tr>
        <w:trPr>
          <w:trHeight w:val="285"/>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Short-term investments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6,298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5,706</w:t>
            </w:r>
          </w:p>
        </w:tc>
        <w:tc>
          <w:tcPr>
            <w:tcW w:w="0" w:type="dxa"/>
            <w:vAlign w:val="bottom"/>
          </w:tcPr>
          <w:p>
            <w:pPr>
              <w:spacing w:after="0"/>
              <w:rPr>
                <w:sz w:val="1"/>
                <w:szCs w:val="1"/>
                <w:color w:val="auto"/>
              </w:rPr>
            </w:pPr>
          </w:p>
        </w:tc>
      </w:tr>
      <w:tr>
        <w:trPr>
          <w:trHeight w:val="297"/>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Receivables, net</w:t>
            </w: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2,391</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2,163</w:t>
            </w:r>
          </w:p>
        </w:tc>
        <w:tc>
          <w:tcPr>
            <w:tcW w:w="0" w:type="dxa"/>
            <w:vAlign w:val="bottom"/>
          </w:tcPr>
          <w:p>
            <w:pPr>
              <w:spacing w:after="0"/>
              <w:rPr>
                <w:sz w:val="1"/>
                <w:szCs w:val="1"/>
                <w:color w:val="auto"/>
              </w:rPr>
            </w:pPr>
          </w:p>
        </w:tc>
      </w:tr>
      <w:tr>
        <w:trPr>
          <w:trHeight w:val="285"/>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Aircraft fuel, spare parts and supplies, net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1,556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1,572</w:t>
            </w:r>
          </w:p>
        </w:tc>
        <w:tc>
          <w:tcPr>
            <w:tcW w:w="0" w:type="dxa"/>
            <w:vAlign w:val="bottom"/>
          </w:tcPr>
          <w:p>
            <w:pPr>
              <w:spacing w:after="0"/>
              <w:rPr>
                <w:sz w:val="1"/>
                <w:szCs w:val="1"/>
                <w:color w:val="auto"/>
              </w:rPr>
            </w:pPr>
          </w:p>
        </w:tc>
      </w:tr>
      <w:tr>
        <w:trPr>
          <w:trHeight w:val="292"/>
        </w:trPr>
        <w:tc>
          <w:tcPr>
            <w:tcW w:w="7200" w:type="dxa"/>
            <w:vAlign w:val="bottom"/>
            <w:tcBorders>
              <w:bottom w:val="single" w:sz="8" w:color="E6E6E6"/>
            </w:tcBorders>
            <w:gridSpan w:val="2"/>
            <w:shd w:val="clear" w:color="auto" w:fill="E6E6E6"/>
          </w:tcPr>
          <w:p>
            <w:pPr>
              <w:ind w:left="520"/>
              <w:spacing w:after="0"/>
              <w:rPr>
                <w:sz w:val="20"/>
                <w:szCs w:val="20"/>
                <w:color w:val="auto"/>
              </w:rPr>
            </w:pPr>
            <w:r>
              <w:rPr>
                <w:rFonts w:ascii="Arial" w:cs="Arial" w:eastAsia="Arial" w:hAnsi="Arial"/>
                <w:sz w:val="19"/>
                <w:szCs w:val="19"/>
                <w:color w:val="auto"/>
              </w:rPr>
              <w:t>Prepaid expenses and other</w:t>
            </w:r>
          </w:p>
        </w:tc>
        <w:tc>
          <w:tcPr>
            <w:tcW w:w="30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671</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673</w:t>
            </w:r>
          </w:p>
        </w:tc>
        <w:tc>
          <w:tcPr>
            <w:tcW w:w="0" w:type="dxa"/>
            <w:vAlign w:val="bottom"/>
          </w:tcPr>
          <w:p>
            <w:pPr>
              <w:spacing w:after="0"/>
              <w:rPr>
                <w:sz w:val="1"/>
                <w:szCs w:val="1"/>
                <w:color w:val="auto"/>
              </w:rPr>
            </w:pPr>
          </w:p>
        </w:tc>
      </w:tr>
      <w:tr>
        <w:trPr>
          <w:trHeight w:val="252"/>
        </w:trPr>
        <w:tc>
          <w:tcPr>
            <w:tcW w:w="7200" w:type="dxa"/>
            <w:vAlign w:val="bottom"/>
            <w:tcBorders>
              <w:bottom w:val="single" w:sz="8" w:color="E6E6E6"/>
            </w:tcBorders>
            <w:gridSpan w:val="2"/>
          </w:tcPr>
          <w:p>
            <w:pPr>
              <w:ind w:left="1100"/>
              <w:spacing w:after="0"/>
              <w:rPr>
                <w:sz w:val="20"/>
                <w:szCs w:val="20"/>
                <w:color w:val="auto"/>
              </w:rPr>
            </w:pPr>
            <w:r>
              <w:rPr>
                <w:rFonts w:ascii="Arial" w:cs="Arial" w:eastAsia="Arial" w:hAnsi="Arial"/>
                <w:sz w:val="19"/>
                <w:szCs w:val="19"/>
                <w:color w:val="auto"/>
              </w:rPr>
              <w:t>Total current assets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16,857</w:t>
            </w:r>
          </w:p>
        </w:tc>
        <w:tc>
          <w:tcPr>
            <w:tcW w:w="6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18,883</w:t>
            </w:r>
          </w:p>
        </w:tc>
        <w:tc>
          <w:tcPr>
            <w:tcW w:w="0" w:type="dxa"/>
            <w:vAlign w:val="bottom"/>
          </w:tcPr>
          <w:p>
            <w:pPr>
              <w:spacing w:after="0"/>
              <w:rPr>
                <w:sz w:val="1"/>
                <w:szCs w:val="1"/>
                <w:color w:val="auto"/>
              </w:rPr>
            </w:pPr>
          </w:p>
        </w:tc>
      </w:tr>
      <w:tr>
        <w:trPr>
          <w:trHeight w:val="281"/>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Operating property and equipment, net</w:t>
            </w: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46,121</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42,908</w:t>
            </w:r>
          </w:p>
        </w:tc>
        <w:tc>
          <w:tcPr>
            <w:tcW w:w="0" w:type="dxa"/>
            <w:vAlign w:val="bottom"/>
          </w:tcPr>
          <w:p>
            <w:pPr>
              <w:spacing w:after="0"/>
              <w:rPr>
                <w:sz w:val="1"/>
                <w:szCs w:val="1"/>
                <w:color w:val="auto"/>
              </w:rPr>
            </w:pPr>
          </w:p>
        </w:tc>
      </w:tr>
      <w:tr>
        <w:trPr>
          <w:trHeight w:val="285"/>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Operating lease right-of-use assets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4,958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3,815</w:t>
            </w:r>
          </w:p>
        </w:tc>
        <w:tc>
          <w:tcPr>
            <w:tcW w:w="0" w:type="dxa"/>
            <w:vAlign w:val="bottom"/>
          </w:tcPr>
          <w:p>
            <w:pPr>
              <w:spacing w:after="0"/>
              <w:rPr>
                <w:sz w:val="1"/>
                <w:szCs w:val="1"/>
                <w:color w:val="auto"/>
              </w:rPr>
            </w:pPr>
          </w:p>
        </w:tc>
      </w:tr>
      <w:tr>
        <w:trPr>
          <w:trHeight w:val="283"/>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Goodwill</w:t>
            </w: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4,527</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4,527</w:t>
            </w:r>
          </w:p>
        </w:tc>
        <w:tc>
          <w:tcPr>
            <w:tcW w:w="0" w:type="dxa"/>
            <w:vAlign w:val="bottom"/>
          </w:tcPr>
          <w:p>
            <w:pPr>
              <w:spacing w:after="0"/>
              <w:rPr>
                <w:sz w:val="1"/>
                <w:szCs w:val="1"/>
                <w:color w:val="auto"/>
              </w:rPr>
            </w:pPr>
          </w:p>
        </w:tc>
      </w:tr>
      <w:tr>
        <w:trPr>
          <w:trHeight w:val="270"/>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Intangible assets, net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2,655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2,683</w:t>
            </w:r>
          </w:p>
        </w:tc>
        <w:tc>
          <w:tcPr>
            <w:tcW w:w="0" w:type="dxa"/>
            <w:vAlign w:val="bottom"/>
          </w:tcPr>
          <w:p>
            <w:pPr>
              <w:spacing w:after="0"/>
              <w:rPr>
                <w:sz w:val="1"/>
                <w:szCs w:val="1"/>
                <w:color w:val="auto"/>
              </w:rPr>
            </w:pPr>
          </w:p>
        </w:tc>
      </w:tr>
      <w:tr>
        <w:trPr>
          <w:trHeight w:val="292"/>
        </w:trPr>
        <w:tc>
          <w:tcPr>
            <w:tcW w:w="7200" w:type="dxa"/>
            <w:vAlign w:val="bottom"/>
            <w:tcBorders>
              <w:bottom w:val="single" w:sz="8" w:color="E6E6E6"/>
            </w:tcBorders>
            <w:gridSpan w:val="2"/>
            <w:shd w:val="clear" w:color="auto" w:fill="E6E6E6"/>
          </w:tcPr>
          <w:p>
            <w:pPr>
              <w:ind w:left="520"/>
              <w:spacing w:after="0"/>
              <w:rPr>
                <w:sz w:val="20"/>
                <w:szCs w:val="20"/>
                <w:color w:val="auto"/>
              </w:rPr>
            </w:pPr>
            <w:r>
              <w:rPr>
                <w:rFonts w:ascii="Arial" w:cs="Arial" w:eastAsia="Arial" w:hAnsi="Arial"/>
                <w:sz w:val="19"/>
                <w:szCs w:val="19"/>
                <w:color w:val="auto"/>
              </w:rPr>
              <w:t>Investments in affiliates and other, net</w:t>
            </w:r>
          </w:p>
        </w:tc>
        <w:tc>
          <w:tcPr>
            <w:tcW w:w="30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1,330</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1,267</w:t>
            </w:r>
          </w:p>
        </w:tc>
        <w:tc>
          <w:tcPr>
            <w:tcW w:w="0" w:type="dxa"/>
            <w:vAlign w:val="bottom"/>
          </w:tcPr>
          <w:p>
            <w:pPr>
              <w:spacing w:after="0"/>
              <w:rPr>
                <w:sz w:val="1"/>
                <w:szCs w:val="1"/>
                <w:color w:val="auto"/>
              </w:rPr>
            </w:pPr>
          </w:p>
        </w:tc>
      </w:tr>
      <w:tr>
        <w:trPr>
          <w:trHeight w:val="252"/>
        </w:trPr>
        <w:tc>
          <w:tcPr>
            <w:tcW w:w="7200" w:type="dxa"/>
            <w:vAlign w:val="bottom"/>
            <w:tcBorders>
              <w:bottom w:val="single" w:sz="8" w:color="E6E6E6"/>
            </w:tcBorders>
            <w:gridSpan w:val="2"/>
          </w:tcPr>
          <w:p>
            <w:pPr>
              <w:ind w:left="1100"/>
              <w:spacing w:after="0"/>
              <w:rPr>
                <w:sz w:val="20"/>
                <w:szCs w:val="20"/>
                <w:color w:val="auto"/>
              </w:rPr>
            </w:pPr>
            <w:r>
              <w:rPr>
                <w:rFonts w:ascii="Arial" w:cs="Arial" w:eastAsia="Arial" w:hAnsi="Arial"/>
                <w:sz w:val="19"/>
                <w:szCs w:val="19"/>
                <w:color w:val="auto"/>
              </w:rPr>
              <w:t>Total noncurrent assets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59,591</w:t>
            </w:r>
          </w:p>
        </w:tc>
        <w:tc>
          <w:tcPr>
            <w:tcW w:w="6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55,200</w:t>
            </w:r>
          </w:p>
        </w:tc>
        <w:tc>
          <w:tcPr>
            <w:tcW w:w="0" w:type="dxa"/>
            <w:vAlign w:val="bottom"/>
          </w:tcPr>
          <w:p>
            <w:pPr>
              <w:spacing w:after="0"/>
              <w:rPr>
                <w:sz w:val="1"/>
                <w:szCs w:val="1"/>
                <w:color w:val="auto"/>
              </w:rPr>
            </w:pPr>
          </w:p>
        </w:tc>
      </w:tr>
      <w:tr>
        <w:trPr>
          <w:trHeight w:val="290"/>
        </w:trPr>
        <w:tc>
          <w:tcPr>
            <w:tcW w:w="7200" w:type="dxa"/>
            <w:vAlign w:val="bottom"/>
            <w:gridSpan w:val="2"/>
            <w:shd w:val="clear" w:color="auto" w:fill="E6E6E6"/>
          </w:tcPr>
          <w:p>
            <w:pPr>
              <w:ind w:left="40"/>
              <w:spacing w:after="0"/>
              <w:rPr>
                <w:sz w:val="20"/>
                <w:szCs w:val="20"/>
                <w:color w:val="auto"/>
              </w:rPr>
            </w:pPr>
            <w:r>
              <w:rPr>
                <w:rFonts w:ascii="Arial" w:cs="Arial" w:eastAsia="Arial" w:hAnsi="Arial"/>
                <w:sz w:val="19"/>
                <w:szCs w:val="19"/>
                <w:color w:val="auto"/>
              </w:rPr>
              <w:t>Total assets</w:t>
            </w:r>
          </w:p>
        </w:tc>
        <w:tc>
          <w:tcPr>
            <w:tcW w:w="300" w:type="dxa"/>
            <w:vAlign w:val="bottom"/>
            <w:shd w:val="clear" w:color="auto" w:fill="E6E6E6"/>
          </w:tcPr>
          <w:p>
            <w:pPr>
              <w:jc w:val="right"/>
              <w:ind w:right="83"/>
              <w:spacing w:after="0"/>
              <w:rPr>
                <w:sz w:val="20"/>
                <w:szCs w:val="20"/>
                <w:color w:val="auto"/>
              </w:rPr>
            </w:pPr>
            <w:r>
              <w:rPr>
                <w:rFonts w:ascii="Arial" w:cs="Arial" w:eastAsia="Arial" w:hAnsi="Arial"/>
                <w:sz w:val="19"/>
                <w:szCs w:val="19"/>
                <w:color w:val="auto"/>
                <w:w w:val="94"/>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76,448</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19"/>
                <w:szCs w:val="19"/>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74,083</w:t>
            </w:r>
          </w:p>
        </w:tc>
        <w:tc>
          <w:tcPr>
            <w:tcW w:w="0" w:type="dxa"/>
            <w:vAlign w:val="bottom"/>
          </w:tcPr>
          <w:p>
            <w:pPr>
              <w:spacing w:after="0"/>
              <w:rPr>
                <w:sz w:val="1"/>
                <w:szCs w:val="1"/>
                <w:color w:val="auto"/>
              </w:rPr>
            </w:pPr>
          </w:p>
        </w:tc>
      </w:tr>
      <w:tr>
        <w:trPr>
          <w:trHeight w:val="228"/>
        </w:trPr>
        <w:tc>
          <w:tcPr>
            <w:tcW w:w="7180" w:type="dxa"/>
            <w:vAlign w:val="bottom"/>
            <w:tcBorders>
              <w:top w:val="single" w:sz="8" w:color="E6E6E6"/>
            </w:tcBorders>
          </w:tcPr>
          <w:p>
            <w:pPr>
              <w:ind w:left="40"/>
              <w:spacing w:after="0"/>
              <w:rPr>
                <w:sz w:val="20"/>
                <w:szCs w:val="20"/>
                <w:color w:val="auto"/>
              </w:rPr>
            </w:pPr>
            <w:r>
              <w:rPr>
                <w:rFonts w:ascii="Arial" w:cs="Arial" w:eastAsia="Arial" w:hAnsi="Arial"/>
                <w:sz w:val="19"/>
                <w:szCs w:val="19"/>
                <w:b w:val="1"/>
                <w:bCs w:val="1"/>
                <w:color w:val="auto"/>
              </w:rPr>
              <w:t>LIABILITIES AND STOCKHOLDERS' EQUITY</w:t>
            </w: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21590</wp:posOffset>
                </wp:positionV>
                <wp:extent cx="6302375" cy="18478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2375" cy="184785"/>
                        </a:xfrm>
                        <a:prstGeom prst="rect">
                          <a:avLst/>
                        </a:prstGeom>
                        <a:solidFill>
                          <a:srgbClr val="E6E6E6"/>
                        </a:solidFill>
                      </wps:spPr>
                      <wps:bodyPr/>
                    </wps:wsp>
                  </a:graphicData>
                </a:graphic>
              </wp:anchor>
            </w:drawing>
          </mc:Choice>
          <mc:Fallback>
            <w:pict>
              <v:rect id="Shape 64" o:spid="_x0000_s1089" style="position:absolute;margin-left:-0.0999pt;margin-top:1.7pt;width:496.2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drawing>
          <wp:anchor simplePos="0" relativeHeight="251657728" behindDoc="1" locked="0" layoutInCell="0" allowOverlap="1">
            <wp:simplePos x="0" y="0"/>
            <wp:positionH relativeFrom="column">
              <wp:posOffset>4541520</wp:posOffset>
            </wp:positionH>
            <wp:positionV relativeFrom="paragraph">
              <wp:posOffset>-2541270</wp:posOffset>
            </wp:positionV>
            <wp:extent cx="177228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8">
                      <a:extLst>
                        <a:ext uri="{28A0092B-C50C-407E-A947-70E740481C1C}"/>
                      </a:extLst>
                    </a:blip>
                    <a:srcRect/>
                    <a:stretch>
                      <a:fillRect/>
                    </a:stretch>
                  </pic:blipFill>
                  <pic:spPr bwMode="auto">
                    <a:xfrm>
                      <a:off x="0" y="0"/>
                      <a:ext cx="1772285" cy="2540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-1626235</wp:posOffset>
            </wp:positionV>
            <wp:extent cx="177228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9">
                      <a:extLst>
                        <a:ext uri="{28A0092B-C50C-407E-A947-70E740481C1C}"/>
                      </a:extLst>
                    </a:blip>
                    <a:srcRect/>
                    <a:stretch>
                      <a:fillRect/>
                    </a:stretch>
                  </pic:blipFill>
                  <pic:spPr bwMode="auto">
                    <a:xfrm>
                      <a:off x="0" y="0"/>
                      <a:ext cx="1772285" cy="2540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-1441450</wp:posOffset>
            </wp:positionV>
            <wp:extent cx="177228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0">
                      <a:extLst>
                        <a:ext uri="{28A0092B-C50C-407E-A947-70E740481C1C}"/>
                      </a:extLst>
                    </a:blip>
                    <a:srcRect/>
                    <a:stretch>
                      <a:fillRect/>
                    </a:stretch>
                  </pic:blipFill>
                  <pic:spPr bwMode="auto">
                    <a:xfrm>
                      <a:off x="0" y="0"/>
                      <a:ext cx="1772285" cy="2540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-544830</wp:posOffset>
            </wp:positionV>
            <wp:extent cx="177228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1">
                      <a:extLst>
                        <a:ext uri="{28A0092B-C50C-407E-A947-70E740481C1C}"/>
                      </a:extLst>
                    </a:blip>
                    <a:srcRect/>
                    <a:stretch>
                      <a:fillRect/>
                    </a:stretch>
                  </pic:blipFill>
                  <pic:spPr bwMode="auto">
                    <a:xfrm>
                      <a:off x="0" y="0"/>
                      <a:ext cx="1772285" cy="2540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-360045</wp:posOffset>
            </wp:positionV>
            <wp:extent cx="177228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2">
                      <a:extLst>
                        <a:ext uri="{28A0092B-C50C-407E-A947-70E740481C1C}"/>
                      </a:extLst>
                    </a:blip>
                    <a:srcRect/>
                    <a:stretch>
                      <a:fillRect/>
                    </a:stretch>
                  </pic:blipFill>
                  <pic:spPr bwMode="auto">
                    <a:xfrm>
                      <a:off x="0" y="0"/>
                      <a:ext cx="1772285" cy="2540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-187325</wp:posOffset>
            </wp:positionV>
            <wp:extent cx="1772285" cy="501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3">
                      <a:extLst>
                        <a:ext uri="{28A0092B-C50C-407E-A947-70E740481C1C}"/>
                      </a:extLst>
                    </a:blip>
                    <a:srcRect/>
                    <a:stretch>
                      <a:fillRect/>
                    </a:stretch>
                  </pic:blipFill>
                  <pic:spPr bwMode="auto">
                    <a:xfrm>
                      <a:off x="0" y="0"/>
                      <a:ext cx="1772285" cy="50165"/>
                    </a:xfrm>
                    <a:prstGeom prst="rect">
                      <a:avLst/>
                    </a:prstGeom>
                    <a:noFill/>
                  </pic:spPr>
                </pic:pic>
              </a:graphicData>
            </a:graphic>
          </wp:anchor>
        </w:drawing>
      </w:r>
    </w:p>
    <w:p>
      <w:pPr>
        <w:sectPr>
          <w:pgSz w:w="11880" w:h="15480" w:orient="portrait"/>
          <w:cols w:equalWidth="0" w:num="1">
            <w:col w:w="9920"/>
          </w:cols>
          <w:pgMar w:left="980" w:top="579" w:right="980" w:bottom="33" w:gutter="0" w:footer="0" w:header="0"/>
        </w:sectPr>
      </w:pP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71"/>
        </w:trPr>
        <w:tc>
          <w:tcPr>
            <w:tcW w:w="7120" w:type="dxa"/>
            <w:vAlign w:val="bottom"/>
          </w:tcPr>
          <w:p>
            <w:pPr>
              <w:ind w:left="480"/>
              <w:spacing w:after="0"/>
              <w:rPr>
                <w:sz w:val="20"/>
                <w:szCs w:val="20"/>
                <w:color w:val="auto"/>
              </w:rPr>
            </w:pPr>
            <w:r>
              <w:rPr>
                <w:rFonts w:ascii="Arial" w:cs="Arial" w:eastAsia="Arial" w:hAnsi="Arial"/>
                <w:sz w:val="19"/>
                <w:szCs w:val="19"/>
                <w:color w:val="auto"/>
              </w:rPr>
              <w:t>Accounts payable</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74"/>
        </w:trPr>
        <w:tc>
          <w:tcPr>
            <w:tcW w:w="7120" w:type="dxa"/>
            <w:vAlign w:val="bottom"/>
          </w:tcPr>
          <w:p>
            <w:pPr>
              <w:ind w:left="480"/>
              <w:spacing w:after="0"/>
              <w:rPr>
                <w:sz w:val="20"/>
                <w:szCs w:val="20"/>
                <w:color w:val="auto"/>
              </w:rPr>
            </w:pPr>
            <w:r>
              <w:rPr>
                <w:rFonts w:ascii="Arial" w:cs="Arial" w:eastAsia="Arial" w:hAnsi="Arial"/>
                <w:sz w:val="19"/>
                <w:szCs w:val="19"/>
                <w:color w:val="auto"/>
              </w:rPr>
              <w:t>Accrued salaries and benefits</w:t>
            </w:r>
          </w:p>
        </w:tc>
        <w:tc>
          <w:tcPr>
            <w:tcW w:w="160" w:type="dxa"/>
            <w:vAlign w:val="bottom"/>
          </w:tcPr>
          <w:p>
            <w:pPr>
              <w:spacing w:after="0"/>
              <w:rPr>
                <w:sz w:val="23"/>
                <w:szCs w:val="23"/>
                <w:color w:val="auto"/>
              </w:rPr>
            </w:pPr>
          </w:p>
        </w:tc>
      </w:tr>
      <w:tr>
        <w:trPr>
          <w:trHeight w:val="291"/>
        </w:trPr>
        <w:tc>
          <w:tcPr>
            <w:tcW w:w="7120" w:type="dxa"/>
            <w:vAlign w:val="bottom"/>
          </w:tcPr>
          <w:p>
            <w:pPr>
              <w:ind w:left="480"/>
              <w:spacing w:after="0"/>
              <w:rPr>
                <w:sz w:val="20"/>
                <w:szCs w:val="20"/>
                <w:color w:val="auto"/>
              </w:rPr>
            </w:pPr>
            <w:r>
              <w:rPr>
                <w:rFonts w:ascii="Arial" w:cs="Arial" w:eastAsia="Arial" w:hAnsi="Arial"/>
                <w:sz w:val="19"/>
                <w:szCs w:val="19"/>
                <w:color w:val="auto"/>
              </w:rPr>
              <w:t>Advance ticket sales</w:t>
            </w:r>
          </w:p>
        </w:tc>
        <w:tc>
          <w:tcPr>
            <w:tcW w:w="160" w:type="dxa"/>
            <w:vAlign w:val="bottom"/>
          </w:tcPr>
          <w:p>
            <w:pPr>
              <w:spacing w:after="0"/>
              <w:rPr>
                <w:sz w:val="24"/>
                <w:szCs w:val="24"/>
                <w:color w:val="auto"/>
              </w:rPr>
            </w:pPr>
          </w:p>
        </w:tc>
      </w:tr>
      <w:tr>
        <w:trPr>
          <w:trHeight w:val="291"/>
        </w:trPr>
        <w:tc>
          <w:tcPr>
            <w:tcW w:w="7120" w:type="dxa"/>
            <w:vAlign w:val="bottom"/>
          </w:tcPr>
          <w:p>
            <w:pPr>
              <w:ind w:left="480"/>
              <w:spacing w:after="0"/>
              <w:rPr>
                <w:sz w:val="20"/>
                <w:szCs w:val="20"/>
                <w:color w:val="auto"/>
              </w:rPr>
            </w:pPr>
            <w:r>
              <w:rPr>
                <w:rFonts w:ascii="Arial" w:cs="Arial" w:eastAsia="Arial" w:hAnsi="Arial"/>
                <w:sz w:val="19"/>
                <w:szCs w:val="19"/>
                <w:color w:val="auto"/>
              </w:rPr>
              <w:t>Frequent flyer deferred revenue</w:t>
            </w:r>
          </w:p>
        </w:tc>
        <w:tc>
          <w:tcPr>
            <w:tcW w:w="160" w:type="dxa"/>
            <w:vAlign w:val="bottom"/>
          </w:tcPr>
          <w:p>
            <w:pPr>
              <w:spacing w:after="0"/>
              <w:rPr>
                <w:sz w:val="24"/>
                <w:szCs w:val="24"/>
                <w:color w:val="auto"/>
              </w:rPr>
            </w:pPr>
          </w:p>
        </w:tc>
      </w:tr>
      <w:tr>
        <w:trPr>
          <w:trHeight w:val="291"/>
        </w:trPr>
        <w:tc>
          <w:tcPr>
            <w:tcW w:w="7120" w:type="dxa"/>
            <w:vAlign w:val="bottom"/>
          </w:tcPr>
          <w:p>
            <w:pPr>
              <w:ind w:left="480"/>
              <w:spacing w:after="0"/>
              <w:rPr>
                <w:sz w:val="20"/>
                <w:szCs w:val="20"/>
                <w:color w:val="auto"/>
              </w:rPr>
            </w:pPr>
            <w:r>
              <w:rPr>
                <w:rFonts w:ascii="Arial" w:cs="Arial" w:eastAsia="Arial" w:hAnsi="Arial"/>
                <w:sz w:val="19"/>
                <w:szCs w:val="19"/>
                <w:color w:val="auto"/>
                <w:w w:val="98"/>
              </w:rPr>
              <w:t>Current maturities of long-term debt, finance leases, and other financial liabilities</w:t>
            </w:r>
          </w:p>
        </w:tc>
        <w:tc>
          <w:tcPr>
            <w:tcW w:w="160" w:type="dxa"/>
            <w:vAlign w:val="bottom"/>
          </w:tcPr>
          <w:p>
            <w:pPr>
              <w:spacing w:after="0"/>
              <w:rPr>
                <w:sz w:val="24"/>
                <w:szCs w:val="24"/>
                <w:color w:val="auto"/>
              </w:rPr>
            </w:pPr>
          </w:p>
        </w:tc>
      </w:tr>
      <w:tr>
        <w:trPr>
          <w:trHeight w:val="291"/>
        </w:trPr>
        <w:tc>
          <w:tcPr>
            <w:tcW w:w="7120" w:type="dxa"/>
            <w:vAlign w:val="bottom"/>
          </w:tcPr>
          <w:p>
            <w:pPr>
              <w:ind w:left="480"/>
              <w:spacing w:after="0"/>
              <w:rPr>
                <w:sz w:val="20"/>
                <w:szCs w:val="20"/>
                <w:color w:val="auto"/>
              </w:rPr>
            </w:pPr>
            <w:r>
              <w:rPr>
                <w:rFonts w:ascii="Arial" w:cs="Arial" w:eastAsia="Arial" w:hAnsi="Arial"/>
                <w:sz w:val="19"/>
                <w:szCs w:val="19"/>
                <w:color w:val="auto"/>
              </w:rPr>
              <w:t>Current maturities of operating leases</w:t>
            </w:r>
          </w:p>
        </w:tc>
        <w:tc>
          <w:tcPr>
            <w:tcW w:w="160" w:type="dxa"/>
            <w:vAlign w:val="bottom"/>
          </w:tcPr>
          <w:p>
            <w:pPr>
              <w:spacing w:after="0"/>
              <w:rPr>
                <w:sz w:val="24"/>
                <w:szCs w:val="24"/>
                <w:color w:val="auto"/>
              </w:rPr>
            </w:pPr>
          </w:p>
        </w:tc>
      </w:tr>
      <w:tr>
        <w:trPr>
          <w:trHeight w:val="291"/>
        </w:trPr>
        <w:tc>
          <w:tcPr>
            <w:tcW w:w="7120" w:type="dxa"/>
            <w:vAlign w:val="bottom"/>
          </w:tcPr>
          <w:p>
            <w:pPr>
              <w:ind w:left="480"/>
              <w:spacing w:after="0"/>
              <w:rPr>
                <w:sz w:val="20"/>
                <w:szCs w:val="20"/>
                <w:color w:val="auto"/>
              </w:rPr>
            </w:pPr>
            <w:r>
              <w:rPr>
                <w:rFonts w:ascii="Arial" w:cs="Arial" w:eastAsia="Arial" w:hAnsi="Arial"/>
                <w:sz w:val="19"/>
                <w:szCs w:val="19"/>
                <w:color w:val="auto"/>
              </w:rPr>
              <w:t>Other</w:t>
            </w:r>
          </w:p>
        </w:tc>
        <w:tc>
          <w:tcPr>
            <w:tcW w:w="160" w:type="dxa"/>
            <w:vAlign w:val="bottom"/>
          </w:tcPr>
          <w:p>
            <w:pPr>
              <w:spacing w:after="0"/>
              <w:rPr>
                <w:sz w:val="24"/>
                <w:szCs w:val="24"/>
                <w:color w:val="auto"/>
              </w:rPr>
            </w:pPr>
          </w:p>
        </w:tc>
      </w:tr>
      <w:tr>
        <w:trPr>
          <w:trHeight w:val="274"/>
        </w:trPr>
        <w:tc>
          <w:tcPr>
            <w:tcW w:w="7120" w:type="dxa"/>
            <w:vAlign w:val="bottom"/>
          </w:tcPr>
          <w:p>
            <w:pPr>
              <w:ind w:left="920"/>
              <w:spacing w:after="0"/>
              <w:rPr>
                <w:sz w:val="20"/>
                <w:szCs w:val="20"/>
                <w:color w:val="auto"/>
              </w:rPr>
            </w:pPr>
            <w:r>
              <w:rPr>
                <w:rFonts w:ascii="Arial" w:cs="Arial" w:eastAsia="Arial" w:hAnsi="Arial"/>
                <w:sz w:val="19"/>
                <w:szCs w:val="19"/>
                <w:color w:val="auto"/>
              </w:rPr>
              <w:t>Total current liabilities</w:t>
            </w:r>
          </w:p>
        </w:tc>
        <w:tc>
          <w:tcPr>
            <w:tcW w:w="160" w:type="dxa"/>
            <w:vAlign w:val="bottom"/>
          </w:tcPr>
          <w:p>
            <w:pPr>
              <w:spacing w:after="0"/>
              <w:rPr>
                <w:sz w:val="23"/>
                <w:szCs w:val="23"/>
                <w:color w:val="auto"/>
              </w:rPr>
            </w:pPr>
          </w:p>
        </w:tc>
      </w:tr>
      <w:tr>
        <w:trPr>
          <w:trHeight w:val="308"/>
        </w:trPr>
        <w:tc>
          <w:tcPr>
            <w:tcW w:w="7120" w:type="dxa"/>
            <w:vAlign w:val="bottom"/>
          </w:tcPr>
          <w:p>
            <w:pPr>
              <w:ind w:left="480"/>
              <w:spacing w:after="0"/>
              <w:rPr>
                <w:sz w:val="20"/>
                <w:szCs w:val="20"/>
                <w:color w:val="auto"/>
              </w:rPr>
            </w:pPr>
            <w:r>
              <w:rPr>
                <w:rFonts w:ascii="Arial" w:cs="Arial" w:eastAsia="Arial" w:hAnsi="Arial"/>
                <w:sz w:val="19"/>
                <w:szCs w:val="19"/>
                <w:color w:val="auto"/>
              </w:rPr>
              <w:t>Long-term debt, finance leases, and other financial liabilities</w:t>
            </w:r>
          </w:p>
        </w:tc>
        <w:tc>
          <w:tcPr>
            <w:tcW w:w="160" w:type="dxa"/>
            <w:vAlign w:val="bottom"/>
          </w:tcPr>
          <w:p>
            <w:pPr>
              <w:spacing w:after="0"/>
              <w:rPr>
                <w:sz w:val="24"/>
                <w:szCs w:val="24"/>
                <w:color w:val="auto"/>
              </w:rPr>
            </w:pPr>
          </w:p>
        </w:tc>
      </w:tr>
      <w:tr>
        <w:trPr>
          <w:trHeight w:val="291"/>
        </w:trPr>
        <w:tc>
          <w:tcPr>
            <w:tcW w:w="7120" w:type="dxa"/>
            <w:vAlign w:val="bottom"/>
          </w:tcPr>
          <w:p>
            <w:pPr>
              <w:ind w:left="480"/>
              <w:spacing w:after="0"/>
              <w:rPr>
                <w:sz w:val="20"/>
                <w:szCs w:val="20"/>
                <w:color w:val="auto"/>
              </w:rPr>
            </w:pPr>
            <w:r>
              <w:rPr>
                <w:rFonts w:ascii="Arial" w:cs="Arial" w:eastAsia="Arial" w:hAnsi="Arial"/>
                <w:sz w:val="19"/>
                <w:szCs w:val="19"/>
                <w:color w:val="auto"/>
              </w:rPr>
              <w:t>Long-term obligations under operating leases</w:t>
            </w:r>
          </w:p>
        </w:tc>
        <w:tc>
          <w:tcPr>
            <w:tcW w:w="160" w:type="dxa"/>
            <w:vAlign w:val="bottom"/>
          </w:tcPr>
          <w:p>
            <w:pPr>
              <w:spacing w:after="0"/>
              <w:rPr>
                <w:sz w:val="24"/>
                <w:szCs w:val="24"/>
                <w:color w:val="auto"/>
              </w:rPr>
            </w:pPr>
          </w:p>
        </w:tc>
      </w:tr>
      <w:tr>
        <w:trPr>
          <w:trHeight w:val="291"/>
        </w:trPr>
        <w:tc>
          <w:tcPr>
            <w:tcW w:w="7120" w:type="dxa"/>
            <w:vAlign w:val="bottom"/>
          </w:tcPr>
          <w:p>
            <w:pPr>
              <w:ind w:left="480"/>
              <w:spacing w:after="0"/>
              <w:rPr>
                <w:sz w:val="20"/>
                <w:szCs w:val="20"/>
                <w:color w:val="auto"/>
              </w:rPr>
            </w:pPr>
            <w:r>
              <w:rPr>
                <w:rFonts w:ascii="Arial" w:cs="Arial" w:eastAsia="Arial" w:hAnsi="Arial"/>
                <w:sz w:val="19"/>
                <w:szCs w:val="19"/>
                <w:color w:val="auto"/>
              </w:rPr>
              <w:t>Frequent flyer deferred revenue</w:t>
            </w:r>
          </w:p>
        </w:tc>
        <w:tc>
          <w:tcPr>
            <w:tcW w:w="160" w:type="dxa"/>
            <w:vAlign w:val="bottom"/>
          </w:tcPr>
          <w:p>
            <w:pPr>
              <w:spacing w:after="0"/>
              <w:rPr>
                <w:sz w:val="24"/>
                <w:szCs w:val="24"/>
                <w:color w:val="auto"/>
              </w:rPr>
            </w:pPr>
          </w:p>
        </w:tc>
      </w:tr>
      <w:tr>
        <w:trPr>
          <w:trHeight w:val="291"/>
        </w:trPr>
        <w:tc>
          <w:tcPr>
            <w:tcW w:w="7120" w:type="dxa"/>
            <w:vAlign w:val="bottom"/>
          </w:tcPr>
          <w:p>
            <w:pPr>
              <w:ind w:left="480"/>
              <w:spacing w:after="0"/>
              <w:rPr>
                <w:sz w:val="20"/>
                <w:szCs w:val="20"/>
                <w:color w:val="auto"/>
              </w:rPr>
            </w:pPr>
            <w:r>
              <w:rPr>
                <w:rFonts w:ascii="Arial" w:cs="Arial" w:eastAsia="Arial" w:hAnsi="Arial"/>
                <w:sz w:val="19"/>
                <w:szCs w:val="19"/>
                <w:color w:val="auto"/>
              </w:rPr>
              <w:t>Pension and postretirement benefit liability</w:t>
            </w:r>
          </w:p>
        </w:tc>
        <w:tc>
          <w:tcPr>
            <w:tcW w:w="160" w:type="dxa"/>
            <w:vAlign w:val="bottom"/>
          </w:tcPr>
          <w:p>
            <w:pPr>
              <w:spacing w:after="0"/>
              <w:rPr>
                <w:sz w:val="24"/>
                <w:szCs w:val="24"/>
                <w:color w:val="auto"/>
              </w:rPr>
            </w:pPr>
          </w:p>
        </w:tc>
      </w:tr>
      <w:tr>
        <w:trPr>
          <w:trHeight w:val="291"/>
        </w:trPr>
        <w:tc>
          <w:tcPr>
            <w:tcW w:w="7120" w:type="dxa"/>
            <w:vAlign w:val="bottom"/>
          </w:tcPr>
          <w:p>
            <w:pPr>
              <w:ind w:left="480"/>
              <w:spacing w:after="0"/>
              <w:rPr>
                <w:sz w:val="20"/>
                <w:szCs w:val="20"/>
                <w:color w:val="auto"/>
              </w:rPr>
            </w:pPr>
            <w:r>
              <w:rPr>
                <w:rFonts w:ascii="Arial" w:cs="Arial" w:eastAsia="Arial" w:hAnsi="Arial"/>
                <w:sz w:val="19"/>
                <w:szCs w:val="19"/>
                <w:color w:val="auto"/>
              </w:rPr>
              <w:t>Deferred income taxes</w:t>
            </w:r>
          </w:p>
        </w:tc>
        <w:tc>
          <w:tcPr>
            <w:tcW w:w="160" w:type="dxa"/>
            <w:vAlign w:val="bottom"/>
          </w:tcPr>
          <w:p>
            <w:pPr>
              <w:spacing w:after="0"/>
              <w:rPr>
                <w:sz w:val="24"/>
                <w:szCs w:val="24"/>
                <w:color w:val="auto"/>
              </w:rPr>
            </w:pPr>
          </w:p>
        </w:tc>
      </w:tr>
      <w:tr>
        <w:trPr>
          <w:trHeight w:val="291"/>
        </w:trPr>
        <w:tc>
          <w:tcPr>
            <w:tcW w:w="7120" w:type="dxa"/>
            <w:vAlign w:val="bottom"/>
          </w:tcPr>
          <w:p>
            <w:pPr>
              <w:ind w:left="480"/>
              <w:spacing w:after="0"/>
              <w:rPr>
                <w:sz w:val="20"/>
                <w:szCs w:val="20"/>
                <w:color w:val="auto"/>
              </w:rPr>
            </w:pPr>
            <w:r>
              <w:rPr>
                <w:rFonts w:ascii="Arial" w:cs="Arial" w:eastAsia="Arial" w:hAnsi="Arial"/>
                <w:sz w:val="19"/>
                <w:szCs w:val="19"/>
                <w:color w:val="auto"/>
              </w:rPr>
              <w:t>Other</w:t>
            </w:r>
          </w:p>
        </w:tc>
        <w:tc>
          <w:tcPr>
            <w:tcW w:w="160" w:type="dxa"/>
            <w:vAlign w:val="bottom"/>
          </w:tcPr>
          <w:p>
            <w:pPr>
              <w:spacing w:after="0"/>
              <w:rPr>
                <w:sz w:val="24"/>
                <w:szCs w:val="24"/>
                <w:color w:val="auto"/>
              </w:rPr>
            </w:pPr>
          </w:p>
        </w:tc>
      </w:tr>
      <w:tr>
        <w:trPr>
          <w:trHeight w:val="291"/>
        </w:trPr>
        <w:tc>
          <w:tcPr>
            <w:tcW w:w="7120" w:type="dxa"/>
            <w:vAlign w:val="bottom"/>
          </w:tcPr>
          <w:p>
            <w:pPr>
              <w:ind w:left="920"/>
              <w:spacing w:after="0"/>
              <w:rPr>
                <w:sz w:val="20"/>
                <w:szCs w:val="20"/>
                <w:color w:val="auto"/>
              </w:rPr>
            </w:pPr>
            <w:r>
              <w:rPr>
                <w:rFonts w:ascii="Arial" w:cs="Arial" w:eastAsia="Arial" w:hAnsi="Arial"/>
                <w:sz w:val="19"/>
                <w:szCs w:val="19"/>
                <w:color w:val="auto"/>
              </w:rPr>
              <w:t>Total noncurrent liabilities</w:t>
            </w:r>
          </w:p>
        </w:tc>
        <w:tc>
          <w:tcPr>
            <w:tcW w:w="160" w:type="dxa"/>
            <w:vAlign w:val="bottom"/>
          </w:tcPr>
          <w:p>
            <w:pPr>
              <w:spacing w:after="0"/>
              <w:rPr>
                <w:sz w:val="24"/>
                <w:szCs w:val="24"/>
                <w:color w:val="auto"/>
              </w:rPr>
            </w:pP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Commitments and Contingencies</w:t>
            </w:r>
          </w:p>
        </w:tc>
        <w:tc>
          <w:tcPr>
            <w:tcW w:w="160" w:type="dxa"/>
            <w:vAlign w:val="bottom"/>
          </w:tcPr>
          <w:p>
            <w:pPr>
              <w:spacing w:after="0"/>
              <w:rPr>
                <w:sz w:val="24"/>
                <w:szCs w:val="24"/>
                <w:color w:val="auto"/>
              </w:rPr>
            </w:pP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Stockholders' equity:</w:t>
            </w:r>
          </w:p>
        </w:tc>
        <w:tc>
          <w:tcPr>
            <w:tcW w:w="160" w:type="dxa"/>
            <w:vAlign w:val="bottom"/>
          </w:tcPr>
          <w:p>
            <w:pPr>
              <w:spacing w:after="0"/>
              <w:rPr>
                <w:sz w:val="24"/>
                <w:szCs w:val="24"/>
                <w:color w:val="auto"/>
              </w:rPr>
            </w:pPr>
          </w:p>
        </w:tc>
      </w:tr>
      <w:tr>
        <w:trPr>
          <w:trHeight w:val="291"/>
        </w:trPr>
        <w:tc>
          <w:tcPr>
            <w:tcW w:w="7120" w:type="dxa"/>
            <w:vAlign w:val="bottom"/>
          </w:tcPr>
          <w:p>
            <w:pPr>
              <w:ind w:left="480"/>
              <w:spacing w:after="0"/>
              <w:rPr>
                <w:sz w:val="20"/>
                <w:szCs w:val="20"/>
                <w:color w:val="auto"/>
              </w:rPr>
            </w:pPr>
            <w:r>
              <w:rPr>
                <w:rFonts w:ascii="Arial" w:cs="Arial" w:eastAsia="Arial" w:hAnsi="Arial"/>
                <w:sz w:val="19"/>
                <w:szCs w:val="19"/>
                <w:color w:val="auto"/>
              </w:rPr>
              <w:t>Preferred stock</w:t>
            </w:r>
          </w:p>
        </w:tc>
        <w:tc>
          <w:tcPr>
            <w:tcW w:w="160" w:type="dxa"/>
            <w:vAlign w:val="bottom"/>
          </w:tcPr>
          <w:p>
            <w:pPr>
              <w:spacing w:after="0"/>
              <w:rPr>
                <w:sz w:val="24"/>
                <w:szCs w:val="24"/>
                <w:color w:val="auto"/>
              </w:rPr>
            </w:pPr>
          </w:p>
        </w:tc>
      </w:tr>
      <w:tr>
        <w:trPr>
          <w:trHeight w:val="216"/>
        </w:trPr>
        <w:tc>
          <w:tcPr>
            <w:tcW w:w="7120" w:type="dxa"/>
            <w:vAlign w:val="bottom"/>
          </w:tcPr>
          <w:p>
            <w:pPr>
              <w:ind w:left="480"/>
              <w:spacing w:after="0" w:line="216" w:lineRule="exact"/>
              <w:rPr>
                <w:sz w:val="20"/>
                <w:szCs w:val="20"/>
                <w:color w:val="auto"/>
              </w:rPr>
            </w:pPr>
            <w:r>
              <w:rPr>
                <w:rFonts w:ascii="Arial" w:cs="Arial" w:eastAsia="Arial" w:hAnsi="Arial"/>
                <w:sz w:val="19"/>
                <w:szCs w:val="19"/>
                <w:color w:val="auto"/>
                <w:w w:val="92"/>
              </w:rPr>
              <w:t>Common stock at par, $0.01 par value; authorized 1,000,000,000 shares; outstanding</w:t>
            </w:r>
          </w:p>
        </w:tc>
        <w:tc>
          <w:tcPr>
            <w:tcW w:w="160" w:type="dxa"/>
            <w:vAlign w:val="bottom"/>
          </w:tcPr>
          <w:p>
            <w:pPr>
              <w:spacing w:after="0"/>
              <w:rPr>
                <w:sz w:val="18"/>
                <w:szCs w:val="18"/>
                <w:color w:val="auto"/>
              </w:rPr>
            </w:pPr>
          </w:p>
        </w:tc>
      </w:tr>
      <w:tr>
        <w:trPr>
          <w:trHeight w:val="253"/>
        </w:trPr>
        <w:tc>
          <w:tcPr>
            <w:tcW w:w="7120" w:type="dxa"/>
            <w:vAlign w:val="bottom"/>
          </w:tcPr>
          <w:p>
            <w:pPr>
              <w:ind w:left="480"/>
              <w:spacing w:after="0"/>
              <w:rPr>
                <w:sz w:val="20"/>
                <w:szCs w:val="20"/>
                <w:color w:val="auto"/>
              </w:rPr>
            </w:pPr>
            <w:r>
              <w:rPr>
                <w:rFonts w:ascii="Arial" w:cs="Arial" w:eastAsia="Arial" w:hAnsi="Arial"/>
                <w:sz w:val="19"/>
                <w:szCs w:val="19"/>
                <w:color w:val="auto"/>
                <w:w w:val="93"/>
              </w:rPr>
              <w:t>323,470,682 and 327,899,771 shares at December 31, 2025 and 2024, respectively</w:t>
            </w:r>
          </w:p>
        </w:tc>
        <w:tc>
          <w:tcPr>
            <w:tcW w:w="160" w:type="dxa"/>
            <w:vAlign w:val="bottom"/>
          </w:tcPr>
          <w:p>
            <w:pPr>
              <w:spacing w:after="0"/>
              <w:rPr>
                <w:sz w:val="22"/>
                <w:szCs w:val="22"/>
                <w:color w:val="auto"/>
              </w:rPr>
            </w:pPr>
          </w:p>
        </w:tc>
      </w:tr>
      <w:tr>
        <w:trPr>
          <w:trHeight w:val="273"/>
        </w:trPr>
        <w:tc>
          <w:tcPr>
            <w:tcW w:w="7120" w:type="dxa"/>
            <w:vAlign w:val="bottom"/>
          </w:tcPr>
          <w:p>
            <w:pPr>
              <w:ind w:left="480"/>
              <w:spacing w:after="0"/>
              <w:rPr>
                <w:sz w:val="20"/>
                <w:szCs w:val="20"/>
                <w:color w:val="auto"/>
              </w:rPr>
            </w:pPr>
            <w:r>
              <w:rPr>
                <w:rFonts w:ascii="Arial" w:cs="Arial" w:eastAsia="Arial" w:hAnsi="Arial"/>
                <w:sz w:val="19"/>
                <w:szCs w:val="19"/>
                <w:color w:val="auto"/>
              </w:rPr>
              <w:t>Additional capital invested</w:t>
            </w:r>
          </w:p>
        </w:tc>
        <w:tc>
          <w:tcPr>
            <w:tcW w:w="160" w:type="dxa"/>
            <w:vAlign w:val="bottom"/>
          </w:tcPr>
          <w:p>
            <w:pPr>
              <w:spacing w:after="0"/>
              <w:rPr>
                <w:sz w:val="23"/>
                <w:szCs w:val="23"/>
                <w:color w:val="auto"/>
              </w:rPr>
            </w:pPr>
          </w:p>
        </w:tc>
      </w:tr>
      <w:tr>
        <w:trPr>
          <w:trHeight w:val="291"/>
        </w:trPr>
        <w:tc>
          <w:tcPr>
            <w:tcW w:w="7120" w:type="dxa"/>
            <w:vAlign w:val="bottom"/>
          </w:tcPr>
          <w:p>
            <w:pPr>
              <w:ind w:left="480"/>
              <w:spacing w:after="0"/>
              <w:rPr>
                <w:sz w:val="20"/>
                <w:szCs w:val="20"/>
                <w:color w:val="auto"/>
              </w:rPr>
            </w:pPr>
            <w:r>
              <w:rPr>
                <w:rFonts w:ascii="Arial" w:cs="Arial" w:eastAsia="Arial" w:hAnsi="Arial"/>
                <w:sz w:val="19"/>
                <w:szCs w:val="19"/>
                <w:color w:val="auto"/>
              </w:rPr>
              <w:t>Stock held in treasury, at cost</w:t>
            </w:r>
          </w:p>
        </w:tc>
        <w:tc>
          <w:tcPr>
            <w:tcW w:w="160" w:type="dxa"/>
            <w:vAlign w:val="bottom"/>
          </w:tcPr>
          <w:p>
            <w:pPr>
              <w:spacing w:after="0"/>
              <w:rPr>
                <w:sz w:val="24"/>
                <w:szCs w:val="24"/>
                <w:color w:val="auto"/>
              </w:rPr>
            </w:pPr>
          </w:p>
        </w:tc>
      </w:tr>
      <w:tr>
        <w:trPr>
          <w:trHeight w:val="291"/>
        </w:trPr>
        <w:tc>
          <w:tcPr>
            <w:tcW w:w="7120" w:type="dxa"/>
            <w:vAlign w:val="bottom"/>
          </w:tcPr>
          <w:p>
            <w:pPr>
              <w:ind w:left="480"/>
              <w:spacing w:after="0"/>
              <w:rPr>
                <w:sz w:val="20"/>
                <w:szCs w:val="20"/>
                <w:color w:val="auto"/>
              </w:rPr>
            </w:pPr>
            <w:r>
              <w:rPr>
                <w:rFonts w:ascii="Arial" w:cs="Arial" w:eastAsia="Arial" w:hAnsi="Arial"/>
                <w:sz w:val="19"/>
                <w:szCs w:val="19"/>
                <w:color w:val="auto"/>
              </w:rPr>
              <w:t>Retained earnings</w:t>
            </w:r>
          </w:p>
        </w:tc>
        <w:tc>
          <w:tcPr>
            <w:tcW w:w="160" w:type="dxa"/>
            <w:vAlign w:val="bottom"/>
          </w:tcPr>
          <w:p>
            <w:pPr>
              <w:spacing w:after="0"/>
              <w:rPr>
                <w:sz w:val="24"/>
                <w:szCs w:val="24"/>
                <w:color w:val="auto"/>
              </w:rPr>
            </w:pPr>
          </w:p>
        </w:tc>
      </w:tr>
      <w:tr>
        <w:trPr>
          <w:trHeight w:val="291"/>
        </w:trPr>
        <w:tc>
          <w:tcPr>
            <w:tcW w:w="7120" w:type="dxa"/>
            <w:vAlign w:val="bottom"/>
          </w:tcPr>
          <w:p>
            <w:pPr>
              <w:ind w:left="480"/>
              <w:spacing w:after="0"/>
              <w:rPr>
                <w:sz w:val="20"/>
                <w:szCs w:val="20"/>
                <w:color w:val="auto"/>
              </w:rPr>
            </w:pPr>
            <w:r>
              <w:rPr>
                <w:rFonts w:ascii="Arial" w:cs="Arial" w:eastAsia="Arial" w:hAnsi="Arial"/>
                <w:sz w:val="19"/>
                <w:szCs w:val="19"/>
                <w:color w:val="auto"/>
              </w:rPr>
              <w:t>Accumulated other comprehensive income</w:t>
            </w:r>
          </w:p>
        </w:tc>
        <w:tc>
          <w:tcPr>
            <w:tcW w:w="160" w:type="dxa"/>
            <w:vAlign w:val="bottom"/>
          </w:tcPr>
          <w:p>
            <w:pPr>
              <w:spacing w:after="0"/>
              <w:rPr>
                <w:sz w:val="24"/>
                <w:szCs w:val="24"/>
                <w:color w:val="auto"/>
              </w:rPr>
            </w:pPr>
          </w:p>
        </w:tc>
      </w:tr>
      <w:tr>
        <w:trPr>
          <w:trHeight w:val="291"/>
        </w:trPr>
        <w:tc>
          <w:tcPr>
            <w:tcW w:w="7120" w:type="dxa"/>
            <w:vAlign w:val="bottom"/>
          </w:tcPr>
          <w:p>
            <w:pPr>
              <w:ind w:left="920"/>
              <w:spacing w:after="0"/>
              <w:rPr>
                <w:sz w:val="20"/>
                <w:szCs w:val="20"/>
                <w:color w:val="auto"/>
              </w:rPr>
            </w:pPr>
            <w:r>
              <w:rPr>
                <w:rFonts w:ascii="Arial" w:cs="Arial" w:eastAsia="Arial" w:hAnsi="Arial"/>
                <w:sz w:val="19"/>
                <w:szCs w:val="19"/>
                <w:color w:val="auto"/>
              </w:rPr>
              <w:t>Total stockholders' equity</w:t>
            </w:r>
          </w:p>
        </w:tc>
        <w:tc>
          <w:tcPr>
            <w:tcW w:w="160" w:type="dxa"/>
            <w:vAlign w:val="bottom"/>
          </w:tcPr>
          <w:p>
            <w:pPr>
              <w:spacing w:after="0"/>
              <w:rPr>
                <w:sz w:val="24"/>
                <w:szCs w:val="24"/>
                <w:color w:val="auto"/>
              </w:rPr>
            </w:pPr>
          </w:p>
        </w:tc>
      </w:tr>
      <w:tr>
        <w:trPr>
          <w:trHeight w:val="309"/>
        </w:trPr>
        <w:tc>
          <w:tcPr>
            <w:tcW w:w="7120" w:type="dxa"/>
            <w:vAlign w:val="bottom"/>
          </w:tcPr>
          <w:p>
            <w:pPr>
              <w:spacing w:after="0"/>
              <w:rPr>
                <w:sz w:val="20"/>
                <w:szCs w:val="20"/>
                <w:color w:val="auto"/>
              </w:rPr>
            </w:pPr>
            <w:r>
              <w:rPr>
                <w:rFonts w:ascii="Arial" w:cs="Arial" w:eastAsia="Arial" w:hAnsi="Arial"/>
                <w:sz w:val="19"/>
                <w:szCs w:val="19"/>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-4344035</wp:posOffset>
                </wp:positionV>
                <wp:extent cx="6302375" cy="18478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2375" cy="184785"/>
                        </a:xfrm>
                        <a:prstGeom prst="rect">
                          <a:avLst/>
                        </a:prstGeom>
                        <a:solidFill>
                          <a:srgbClr val="E6E6E6"/>
                        </a:solidFill>
                      </wps:spPr>
                      <wps:bodyPr/>
                    </wps:wsp>
                  </a:graphicData>
                </a:graphic>
              </wp:anchor>
            </w:drawing>
          </mc:Choice>
          <mc:Fallback>
            <w:pict>
              <v:rect id="Shape 71" o:spid="_x0000_s1096" style="position:absolute;margin-left:-0.0999pt;margin-top:-342.0499pt;width:496.2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-3974465</wp:posOffset>
                </wp:positionV>
                <wp:extent cx="6302375" cy="18542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2375" cy="185420"/>
                        </a:xfrm>
                        <a:prstGeom prst="rect">
                          <a:avLst/>
                        </a:prstGeom>
                        <a:solidFill>
                          <a:srgbClr val="E6E6E6"/>
                        </a:solidFill>
                      </wps:spPr>
                      <wps:bodyPr/>
                    </wps:wsp>
                  </a:graphicData>
                </a:graphic>
              </wp:anchor>
            </w:drawing>
          </mc:Choice>
          <mc:Fallback>
            <w:pict>
              <v:rect id="Shape 72" o:spid="_x0000_s1097" style="position:absolute;margin-left:-0.0999pt;margin-top:-312.9499pt;width:496.25pt;height:1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-2865120</wp:posOffset>
                </wp:positionV>
                <wp:extent cx="6302375" cy="18478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2375" cy="184785"/>
                        </a:xfrm>
                        <a:prstGeom prst="rect">
                          <a:avLst/>
                        </a:prstGeom>
                        <a:solidFill>
                          <a:srgbClr val="E6E6E6"/>
                        </a:solidFill>
                      </wps:spPr>
                      <wps:bodyPr/>
                    </wps:wsp>
                  </a:graphicData>
                </a:graphic>
              </wp:anchor>
            </w:drawing>
          </mc:Choice>
          <mc:Fallback>
            <w:pict>
              <v:rect id="Shape 73" o:spid="_x0000_s1098" style="position:absolute;margin-left:-0.0999pt;margin-top:-225.5999pt;width:496.2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-2495550</wp:posOffset>
                </wp:positionV>
                <wp:extent cx="6302375" cy="18478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2375" cy="184785"/>
                        </a:xfrm>
                        <a:prstGeom prst="rect">
                          <a:avLst/>
                        </a:prstGeom>
                        <a:solidFill>
                          <a:srgbClr val="E6E6E6"/>
                        </a:solidFill>
                      </wps:spPr>
                      <wps:bodyPr/>
                    </wps:wsp>
                  </a:graphicData>
                </a:graphic>
              </wp:anchor>
            </w:drawing>
          </mc:Choice>
          <mc:Fallback>
            <w:pict>
              <v:rect id="Shape 74" o:spid="_x0000_s1099" style="position:absolute;margin-left:-0.0999pt;margin-top:-196.4999pt;width:496.2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-1756410</wp:posOffset>
                </wp:positionV>
                <wp:extent cx="6302375" cy="18478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2375" cy="184785"/>
                        </a:xfrm>
                        <a:prstGeom prst="rect">
                          <a:avLst/>
                        </a:prstGeom>
                        <a:solidFill>
                          <a:srgbClr val="E6E6E6"/>
                        </a:solidFill>
                      </wps:spPr>
                      <wps:bodyPr/>
                    </wps:wsp>
                  </a:graphicData>
                </a:graphic>
              </wp:anchor>
            </w:drawing>
          </mc:Choice>
          <mc:Fallback>
            <w:pict>
              <v:rect id="Shape 75" o:spid="_x0000_s1100" style="position:absolute;margin-left:-0.0999pt;margin-top:-138.2999pt;width:496.2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-1386840</wp:posOffset>
                </wp:positionV>
                <wp:extent cx="6302375" cy="28638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2375" cy="286385"/>
                        </a:xfrm>
                        <a:prstGeom prst="rect">
                          <a:avLst/>
                        </a:prstGeom>
                        <a:solidFill>
                          <a:srgbClr val="E6E6E6"/>
                        </a:solidFill>
                      </wps:spPr>
                      <wps:bodyPr/>
                    </wps:wsp>
                  </a:graphicData>
                </a:graphic>
              </wp:anchor>
            </w:drawing>
          </mc:Choice>
          <mc:Fallback>
            <w:pict>
              <v:rect id="Shape 76" o:spid="_x0000_s1101" style="position:absolute;margin-left:-0.0999pt;margin-top:-109.1999pt;width:496.25pt;height:2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-915035</wp:posOffset>
                </wp:positionV>
                <wp:extent cx="6302375" cy="18478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2375" cy="184785"/>
                        </a:xfrm>
                        <a:prstGeom prst="rect">
                          <a:avLst/>
                        </a:prstGeom>
                        <a:solidFill>
                          <a:srgbClr val="E6E6E6"/>
                        </a:solidFill>
                      </wps:spPr>
                      <wps:bodyPr/>
                    </wps:wsp>
                  </a:graphicData>
                </a:graphic>
              </wp:anchor>
            </w:drawing>
          </mc:Choice>
          <mc:Fallback>
            <w:pict>
              <v:rect id="Shape 77" o:spid="_x0000_s1102" style="position:absolute;margin-left:-0.0999pt;margin-top:-72.0499pt;width:496.2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drawing>
          <wp:anchor simplePos="0" relativeHeight="251657728" behindDoc="1" locked="0" layoutInCell="0" allowOverlap="1">
            <wp:simplePos x="0" y="0"/>
            <wp:positionH relativeFrom="column">
              <wp:posOffset>-1270</wp:posOffset>
            </wp:positionH>
            <wp:positionV relativeFrom="paragraph">
              <wp:posOffset>-3604260</wp:posOffset>
            </wp:positionV>
            <wp:extent cx="6315075" cy="1974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4">
                      <a:extLst>
                        <a:ext uri="{28A0092B-C50C-407E-A947-70E740481C1C}"/>
                      </a:extLst>
                    </a:blip>
                    <a:srcRect/>
                    <a:stretch>
                      <a:fillRect/>
                    </a:stretch>
                  </pic:blipFill>
                  <pic:spPr bwMode="auto">
                    <a:xfrm>
                      <a:off x="0" y="0"/>
                      <a:ext cx="6315075" cy="1974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-3247390</wp:posOffset>
            </wp:positionV>
            <wp:extent cx="6315075" cy="1974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5">
                      <a:extLst>
                        <a:ext uri="{28A0092B-C50C-407E-A947-70E740481C1C}"/>
                      </a:extLst>
                    </a:blip>
                    <a:srcRect/>
                    <a:stretch>
                      <a:fillRect/>
                    </a:stretch>
                  </pic:blipFill>
                  <pic:spPr bwMode="auto">
                    <a:xfrm>
                      <a:off x="0" y="0"/>
                      <a:ext cx="6315075" cy="1974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-2138680</wp:posOffset>
            </wp:positionV>
            <wp:extent cx="6315075" cy="2101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6">
                      <a:extLst>
                        <a:ext uri="{28A0092B-C50C-407E-A947-70E740481C1C}"/>
                      </a:extLst>
                    </a:blip>
                    <a:srcRect/>
                    <a:stretch>
                      <a:fillRect/>
                    </a:stretch>
                  </pic:blipFill>
                  <pic:spPr bwMode="auto">
                    <a:xfrm>
                      <a:off x="0" y="0"/>
                      <a:ext cx="6315075" cy="2101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-545465</wp:posOffset>
            </wp:positionV>
            <wp:extent cx="6315075" cy="197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7">
                      <a:extLst>
                        <a:ext uri="{28A0092B-C50C-407E-A947-70E740481C1C}"/>
                      </a:extLst>
                    </a:blip>
                    <a:srcRect/>
                    <a:stretch>
                      <a:fillRect/>
                    </a:stretch>
                  </pic:blipFill>
                  <pic:spPr bwMode="auto">
                    <a:xfrm>
                      <a:off x="0" y="0"/>
                      <a:ext cx="6315075" cy="1974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-188595</wp:posOffset>
            </wp:positionV>
            <wp:extent cx="6315075" cy="2222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8">
                      <a:extLst>
                        <a:ext uri="{28A0092B-C50C-407E-A947-70E740481C1C}"/>
                      </a:extLst>
                    </a:blip>
                    <a:srcRect/>
                    <a:stretch>
                      <a:fillRect/>
                    </a:stretch>
                  </pic:blipFill>
                  <pic:spPr bwMode="auto">
                    <a:xfrm>
                      <a:off x="0" y="0"/>
                      <a:ext cx="6315075" cy="222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53"/>
        </w:trPr>
        <w:tc>
          <w:tcPr>
            <w:tcW w:w="540" w:type="dxa"/>
            <w:vAlign w:val="bottom"/>
          </w:tcPr>
          <w:p>
            <w:pPr>
              <w:jc w:val="right"/>
              <w:ind w:right="3"/>
              <w:spacing w:after="0"/>
              <w:rPr>
                <w:sz w:val="20"/>
                <w:szCs w:val="20"/>
                <w:color w:val="auto"/>
              </w:rPr>
            </w:pPr>
            <w:r>
              <w:rPr>
                <w:rFonts w:ascii="Arial" w:cs="Arial" w:eastAsia="Arial" w:hAnsi="Arial"/>
                <w:sz w:val="19"/>
                <w:szCs w:val="19"/>
                <w:color w:val="auto"/>
                <w:w w:val="88"/>
              </w:rPr>
              <w:t>4,567</w:t>
            </w:r>
          </w:p>
        </w:tc>
        <w:tc>
          <w:tcPr>
            <w:tcW w:w="520" w:type="dxa"/>
            <w:vAlign w:val="bottom"/>
          </w:tcPr>
          <w:p>
            <w:pPr>
              <w:jc w:val="right"/>
              <w:ind w:right="223"/>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4,193</w:t>
            </w:r>
          </w:p>
        </w:tc>
      </w:tr>
      <w:tr>
        <w:trPr>
          <w:trHeight w:val="291"/>
        </w:trPr>
        <w:tc>
          <w:tcPr>
            <w:tcW w:w="540" w:type="dxa"/>
            <w:vAlign w:val="bottom"/>
          </w:tcPr>
          <w:p>
            <w:pPr>
              <w:jc w:val="right"/>
              <w:ind w:right="3"/>
              <w:spacing w:after="0"/>
              <w:rPr>
                <w:sz w:val="20"/>
                <w:szCs w:val="20"/>
                <w:color w:val="auto"/>
              </w:rPr>
            </w:pPr>
            <w:r>
              <w:rPr>
                <w:rFonts w:ascii="Arial" w:cs="Arial" w:eastAsia="Arial" w:hAnsi="Arial"/>
                <w:sz w:val="19"/>
                <w:szCs w:val="19"/>
                <w:color w:val="auto"/>
                <w:w w:val="88"/>
              </w:rPr>
              <w:t>3,900</w:t>
            </w: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3,289</w:t>
            </w:r>
          </w:p>
        </w:tc>
      </w:tr>
      <w:tr>
        <w:trPr>
          <w:trHeight w:val="291"/>
        </w:trPr>
        <w:tc>
          <w:tcPr>
            <w:tcW w:w="540" w:type="dxa"/>
            <w:vAlign w:val="bottom"/>
          </w:tcPr>
          <w:p>
            <w:pPr>
              <w:jc w:val="right"/>
              <w:ind w:right="3"/>
              <w:spacing w:after="0"/>
              <w:rPr>
                <w:sz w:val="20"/>
                <w:szCs w:val="20"/>
                <w:color w:val="auto"/>
              </w:rPr>
            </w:pPr>
            <w:r>
              <w:rPr>
                <w:rFonts w:ascii="Arial" w:cs="Arial" w:eastAsia="Arial" w:hAnsi="Arial"/>
                <w:sz w:val="19"/>
                <w:szCs w:val="19"/>
                <w:color w:val="auto"/>
                <w:w w:val="88"/>
              </w:rPr>
              <w:t>8,131</w:t>
            </w: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7,561</w:t>
            </w:r>
          </w:p>
        </w:tc>
      </w:tr>
      <w:tr>
        <w:trPr>
          <w:trHeight w:val="291"/>
        </w:trPr>
        <w:tc>
          <w:tcPr>
            <w:tcW w:w="540" w:type="dxa"/>
            <w:vAlign w:val="bottom"/>
          </w:tcPr>
          <w:p>
            <w:pPr>
              <w:jc w:val="right"/>
              <w:ind w:right="3"/>
              <w:spacing w:after="0"/>
              <w:rPr>
                <w:sz w:val="20"/>
                <w:szCs w:val="20"/>
                <w:color w:val="auto"/>
              </w:rPr>
            </w:pPr>
            <w:r>
              <w:rPr>
                <w:rFonts w:ascii="Arial" w:cs="Arial" w:eastAsia="Arial" w:hAnsi="Arial"/>
                <w:sz w:val="19"/>
                <w:szCs w:val="19"/>
                <w:color w:val="auto"/>
                <w:w w:val="88"/>
              </w:rPr>
              <w:t>3,721</w:t>
            </w: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3,403</w:t>
            </w:r>
          </w:p>
        </w:tc>
      </w:tr>
      <w:tr>
        <w:trPr>
          <w:trHeight w:val="291"/>
        </w:trPr>
        <w:tc>
          <w:tcPr>
            <w:tcW w:w="540" w:type="dxa"/>
            <w:vAlign w:val="bottom"/>
          </w:tcPr>
          <w:p>
            <w:pPr>
              <w:jc w:val="right"/>
              <w:ind w:right="3"/>
              <w:spacing w:after="0"/>
              <w:rPr>
                <w:sz w:val="20"/>
                <w:szCs w:val="20"/>
                <w:color w:val="auto"/>
              </w:rPr>
            </w:pPr>
            <w:r>
              <w:rPr>
                <w:rFonts w:ascii="Arial" w:cs="Arial" w:eastAsia="Arial" w:hAnsi="Arial"/>
                <w:sz w:val="19"/>
                <w:szCs w:val="19"/>
                <w:color w:val="auto"/>
                <w:w w:val="88"/>
              </w:rPr>
              <w:t>4,426</w:t>
            </w: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3,453</w:t>
            </w:r>
          </w:p>
        </w:tc>
      </w:tr>
    </w:tbl>
    <w:p>
      <w:pPr>
        <w:spacing w:after="0" w:line="38" w:lineRule="exact"/>
        <w:rPr>
          <w:sz w:val="20"/>
          <w:szCs w:val="20"/>
          <w:color w:val="auto"/>
        </w:rPr>
      </w:pPr>
    </w:p>
    <w:p>
      <w:pPr>
        <w:ind w:left="1660" w:hanging="1419"/>
        <w:spacing w:after="0"/>
        <w:tabs>
          <w:tab w:leader="none" w:pos="16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467</w:t>
      </w:r>
    </w:p>
    <w:p>
      <w:pPr>
        <w:spacing w:after="0" w:line="72" w:lineRule="exact"/>
        <w:rPr>
          <w:rFonts w:ascii="Arial" w:cs="Arial" w:eastAsia="Arial" w:hAnsi="Arial"/>
          <w:sz w:val="19"/>
          <w:szCs w:val="19"/>
          <w:color w:val="auto"/>
        </w:rPr>
      </w:pPr>
    </w:p>
    <w:p>
      <w:pPr>
        <w:ind w:left="1660" w:hanging="1419"/>
        <w:spacing w:after="0"/>
        <w:tabs>
          <w:tab w:leader="none" w:pos="16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948</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80" w:type="dxa"/>
            <w:vAlign w:val="bottom"/>
          </w:tcPr>
          <w:p>
            <w:pPr>
              <w:jc w:val="right"/>
              <w:ind w:right="43"/>
              <w:spacing w:after="0"/>
              <w:rPr>
                <w:sz w:val="20"/>
                <w:szCs w:val="20"/>
                <w:color w:val="auto"/>
              </w:rPr>
            </w:pPr>
            <w:r>
              <w:rPr>
                <w:rFonts w:ascii="Arial" w:cs="Arial" w:eastAsia="Arial" w:hAnsi="Arial"/>
                <w:sz w:val="19"/>
                <w:szCs w:val="19"/>
                <w:color w:val="auto"/>
                <w:w w:val="89"/>
              </w:rPr>
              <w:t>26,133</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23,314</w:t>
            </w:r>
          </w:p>
        </w:tc>
      </w:tr>
      <w:tr>
        <w:trPr>
          <w:trHeight w:val="269"/>
        </w:trPr>
        <w:tc>
          <w:tcPr>
            <w:tcW w:w="680" w:type="dxa"/>
            <w:vAlign w:val="bottom"/>
          </w:tcPr>
          <w:p>
            <w:pPr>
              <w:jc w:val="right"/>
              <w:ind w:right="43"/>
              <w:spacing w:after="0"/>
              <w:rPr>
                <w:sz w:val="20"/>
                <w:szCs w:val="20"/>
                <w:color w:val="auto"/>
              </w:rPr>
            </w:pPr>
            <w:r>
              <w:rPr>
                <w:rFonts w:ascii="Arial" w:cs="Arial" w:eastAsia="Arial" w:hAnsi="Arial"/>
                <w:sz w:val="19"/>
                <w:szCs w:val="19"/>
                <w:color w:val="auto"/>
                <w:w w:val="89"/>
              </w:rPr>
              <w:t>20,562</w:t>
            </w:r>
          </w:p>
        </w:tc>
        <w:tc>
          <w:tcPr>
            <w:tcW w:w="1340" w:type="dxa"/>
            <w:vAlign w:val="bottom"/>
          </w:tcPr>
          <w:p>
            <w:pPr>
              <w:jc w:val="right"/>
              <w:spacing w:after="0"/>
              <w:rPr>
                <w:sz w:val="20"/>
                <w:szCs w:val="20"/>
                <w:color w:val="auto"/>
              </w:rPr>
            </w:pPr>
            <w:r>
              <w:rPr>
                <w:rFonts w:ascii="Arial" w:cs="Arial" w:eastAsia="Arial" w:hAnsi="Arial"/>
                <w:sz w:val="19"/>
                <w:szCs w:val="19"/>
                <w:color w:val="auto"/>
              </w:rPr>
              <w:t>25,203</w:t>
            </w:r>
          </w:p>
        </w:tc>
      </w:tr>
      <w:tr>
        <w:trPr>
          <w:trHeight w:val="291"/>
        </w:trPr>
        <w:tc>
          <w:tcPr>
            <w:tcW w:w="680" w:type="dxa"/>
            <w:vAlign w:val="bottom"/>
          </w:tcPr>
          <w:p>
            <w:pPr>
              <w:jc w:val="right"/>
              <w:ind w:right="43"/>
              <w:spacing w:after="0"/>
              <w:rPr>
                <w:sz w:val="20"/>
                <w:szCs w:val="20"/>
                <w:color w:val="auto"/>
              </w:rPr>
            </w:pPr>
            <w:r>
              <w:rPr>
                <w:rFonts w:ascii="Arial" w:cs="Arial" w:eastAsia="Arial" w:hAnsi="Arial"/>
                <w:sz w:val="19"/>
                <w:szCs w:val="19"/>
                <w:color w:val="auto"/>
              </w:rPr>
              <w:t>5,417</w:t>
            </w:r>
          </w:p>
        </w:tc>
        <w:tc>
          <w:tcPr>
            <w:tcW w:w="1340" w:type="dxa"/>
            <w:vAlign w:val="bottom"/>
          </w:tcPr>
          <w:p>
            <w:pPr>
              <w:jc w:val="right"/>
              <w:spacing w:after="0"/>
              <w:rPr>
                <w:sz w:val="20"/>
                <w:szCs w:val="20"/>
                <w:color w:val="auto"/>
              </w:rPr>
            </w:pPr>
            <w:r>
              <w:rPr>
                <w:rFonts w:ascii="Arial" w:cs="Arial" w:eastAsia="Arial" w:hAnsi="Arial"/>
                <w:sz w:val="19"/>
                <w:szCs w:val="19"/>
                <w:color w:val="auto"/>
              </w:rPr>
              <w:t>4,510</w:t>
            </w:r>
          </w:p>
        </w:tc>
      </w:tr>
      <w:tr>
        <w:trPr>
          <w:trHeight w:val="291"/>
        </w:trPr>
        <w:tc>
          <w:tcPr>
            <w:tcW w:w="680" w:type="dxa"/>
            <w:vAlign w:val="bottom"/>
          </w:tcPr>
          <w:p>
            <w:pPr>
              <w:jc w:val="right"/>
              <w:ind w:right="43"/>
              <w:spacing w:after="0"/>
              <w:rPr>
                <w:sz w:val="20"/>
                <w:szCs w:val="20"/>
                <w:color w:val="auto"/>
              </w:rPr>
            </w:pPr>
            <w:r>
              <w:rPr>
                <w:rFonts w:ascii="Arial" w:cs="Arial" w:eastAsia="Arial" w:hAnsi="Arial"/>
                <w:sz w:val="19"/>
                <w:szCs w:val="19"/>
                <w:color w:val="auto"/>
              </w:rPr>
              <w:t>4,056</w:t>
            </w:r>
          </w:p>
        </w:tc>
        <w:tc>
          <w:tcPr>
            <w:tcW w:w="1340" w:type="dxa"/>
            <w:vAlign w:val="bottom"/>
          </w:tcPr>
          <w:p>
            <w:pPr>
              <w:jc w:val="right"/>
              <w:spacing w:after="0"/>
              <w:rPr>
                <w:sz w:val="20"/>
                <w:szCs w:val="20"/>
                <w:color w:val="auto"/>
              </w:rPr>
            </w:pPr>
            <w:r>
              <w:rPr>
                <w:rFonts w:ascii="Arial" w:cs="Arial" w:eastAsia="Arial" w:hAnsi="Arial"/>
                <w:sz w:val="19"/>
                <w:szCs w:val="19"/>
                <w:color w:val="auto"/>
              </w:rPr>
              <w:t>4,038</w:t>
            </w:r>
          </w:p>
        </w:tc>
      </w:tr>
      <w:tr>
        <w:trPr>
          <w:trHeight w:val="291"/>
        </w:trPr>
        <w:tc>
          <w:tcPr>
            <w:tcW w:w="680" w:type="dxa"/>
            <w:vAlign w:val="bottom"/>
          </w:tcPr>
          <w:p>
            <w:pPr>
              <w:jc w:val="right"/>
              <w:ind w:right="43"/>
              <w:spacing w:after="0"/>
              <w:rPr>
                <w:sz w:val="20"/>
                <w:szCs w:val="20"/>
                <w:color w:val="auto"/>
              </w:rPr>
            </w:pPr>
            <w:r>
              <w:rPr>
                <w:rFonts w:ascii="Arial" w:cs="Arial" w:eastAsia="Arial" w:hAnsi="Arial"/>
                <w:sz w:val="19"/>
                <w:szCs w:val="19"/>
                <w:color w:val="auto"/>
              </w:rPr>
              <w:t>1,058</w:t>
            </w:r>
          </w:p>
        </w:tc>
        <w:tc>
          <w:tcPr>
            <w:tcW w:w="1340" w:type="dxa"/>
            <w:vAlign w:val="bottom"/>
          </w:tcPr>
          <w:p>
            <w:pPr>
              <w:jc w:val="right"/>
              <w:spacing w:after="0"/>
              <w:rPr>
                <w:sz w:val="20"/>
                <w:szCs w:val="20"/>
                <w:color w:val="auto"/>
              </w:rPr>
            </w:pPr>
            <w:r>
              <w:rPr>
                <w:rFonts w:ascii="Arial" w:cs="Arial" w:eastAsia="Arial" w:hAnsi="Arial"/>
                <w:sz w:val="19"/>
                <w:szCs w:val="19"/>
                <w:color w:val="auto"/>
              </w:rPr>
              <w:t>1,233</w:t>
            </w:r>
          </w:p>
        </w:tc>
      </w:tr>
      <w:tr>
        <w:trPr>
          <w:trHeight w:val="291"/>
        </w:trPr>
        <w:tc>
          <w:tcPr>
            <w:tcW w:w="680" w:type="dxa"/>
            <w:vAlign w:val="bottom"/>
          </w:tcPr>
          <w:p>
            <w:pPr>
              <w:jc w:val="right"/>
              <w:ind w:right="43"/>
              <w:spacing w:after="0"/>
              <w:rPr>
                <w:sz w:val="20"/>
                <w:szCs w:val="20"/>
                <w:color w:val="auto"/>
              </w:rPr>
            </w:pPr>
            <w:r>
              <w:rPr>
                <w:rFonts w:ascii="Arial" w:cs="Arial" w:eastAsia="Arial" w:hAnsi="Arial"/>
                <w:sz w:val="19"/>
                <w:szCs w:val="19"/>
                <w:color w:val="auto"/>
              </w:rPr>
              <w:t>2,463</w:t>
            </w:r>
          </w:p>
        </w:tc>
        <w:tc>
          <w:tcPr>
            <w:tcW w:w="1340" w:type="dxa"/>
            <w:vAlign w:val="bottom"/>
          </w:tcPr>
          <w:p>
            <w:pPr>
              <w:jc w:val="right"/>
              <w:spacing w:after="0"/>
              <w:rPr>
                <w:sz w:val="20"/>
                <w:szCs w:val="20"/>
                <w:color w:val="auto"/>
              </w:rPr>
            </w:pPr>
            <w:r>
              <w:rPr>
                <w:rFonts w:ascii="Arial" w:cs="Arial" w:eastAsia="Arial" w:hAnsi="Arial"/>
                <w:sz w:val="19"/>
                <w:szCs w:val="19"/>
                <w:color w:val="auto"/>
              </w:rPr>
              <w:t>1,580</w:t>
            </w:r>
          </w:p>
        </w:tc>
      </w:tr>
      <w:tr>
        <w:trPr>
          <w:trHeight w:val="294"/>
        </w:trPr>
        <w:tc>
          <w:tcPr>
            <w:tcW w:w="680" w:type="dxa"/>
            <w:vAlign w:val="bottom"/>
          </w:tcPr>
          <w:p>
            <w:pPr>
              <w:jc w:val="right"/>
              <w:ind w:right="43"/>
              <w:spacing w:after="0"/>
              <w:rPr>
                <w:sz w:val="20"/>
                <w:szCs w:val="20"/>
                <w:color w:val="auto"/>
              </w:rPr>
            </w:pPr>
            <w:r>
              <w:rPr>
                <w:rFonts w:ascii="Arial" w:cs="Arial" w:eastAsia="Arial" w:hAnsi="Arial"/>
                <w:sz w:val="19"/>
                <w:szCs w:val="19"/>
                <w:color w:val="auto"/>
              </w:rPr>
              <w:t>1,478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1,530</w:t>
            </w:r>
          </w:p>
        </w:tc>
      </w:tr>
      <w:tr>
        <w:trPr>
          <w:trHeight w:val="271"/>
        </w:trPr>
        <w:tc>
          <w:tcPr>
            <w:tcW w:w="680" w:type="dxa"/>
            <w:vAlign w:val="bottom"/>
          </w:tcPr>
          <w:p>
            <w:pPr>
              <w:jc w:val="right"/>
              <w:ind w:right="43"/>
              <w:spacing w:after="0"/>
              <w:rPr>
                <w:sz w:val="20"/>
                <w:szCs w:val="20"/>
                <w:color w:val="auto"/>
              </w:rPr>
            </w:pPr>
            <w:r>
              <w:rPr>
                <w:rFonts w:ascii="Arial" w:cs="Arial" w:eastAsia="Arial" w:hAnsi="Arial"/>
                <w:sz w:val="19"/>
                <w:szCs w:val="19"/>
                <w:color w:val="auto"/>
                <w:w w:val="89"/>
              </w:rPr>
              <w:t>35,033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38,094</w:t>
            </w:r>
          </w:p>
        </w:tc>
      </w:tr>
      <w:tr>
        <w:trPr>
          <w:trHeight w:val="851"/>
        </w:trPr>
        <w:tc>
          <w:tcPr>
            <w:tcW w:w="6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13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451"/>
        </w:trPr>
        <w:tc>
          <w:tcPr>
            <w:tcW w:w="680" w:type="dxa"/>
            <w:vAlign w:val="bottom"/>
          </w:tcPr>
          <w:p>
            <w:pPr>
              <w:jc w:val="right"/>
              <w:ind w:right="43"/>
              <w:spacing w:after="0"/>
              <w:rPr>
                <w:sz w:val="20"/>
                <w:szCs w:val="20"/>
                <w:color w:val="auto"/>
              </w:rPr>
            </w:pPr>
            <w:r>
              <w:rPr>
                <w:rFonts w:ascii="Arial" w:cs="Arial" w:eastAsia="Arial" w:hAnsi="Arial"/>
                <w:sz w:val="19"/>
                <w:szCs w:val="19"/>
                <w:color w:val="auto"/>
              </w:rPr>
              <w:t>4</w:t>
            </w:r>
          </w:p>
        </w:tc>
        <w:tc>
          <w:tcPr>
            <w:tcW w:w="134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91"/>
        </w:trPr>
        <w:tc>
          <w:tcPr>
            <w:tcW w:w="680" w:type="dxa"/>
            <w:vAlign w:val="bottom"/>
          </w:tcPr>
          <w:p>
            <w:pPr>
              <w:jc w:val="right"/>
              <w:ind w:right="43"/>
              <w:spacing w:after="0"/>
              <w:rPr>
                <w:sz w:val="20"/>
                <w:szCs w:val="20"/>
                <w:color w:val="auto"/>
              </w:rPr>
            </w:pPr>
            <w:r>
              <w:rPr>
                <w:rFonts w:ascii="Arial" w:cs="Arial" w:eastAsia="Arial" w:hAnsi="Arial"/>
                <w:sz w:val="19"/>
                <w:szCs w:val="19"/>
                <w:color w:val="auto"/>
              </w:rPr>
              <w:t>8,911</w:t>
            </w:r>
          </w:p>
        </w:tc>
        <w:tc>
          <w:tcPr>
            <w:tcW w:w="1340" w:type="dxa"/>
            <w:vAlign w:val="bottom"/>
          </w:tcPr>
          <w:p>
            <w:pPr>
              <w:jc w:val="right"/>
              <w:spacing w:after="0"/>
              <w:rPr>
                <w:sz w:val="20"/>
                <w:szCs w:val="20"/>
                <w:color w:val="auto"/>
              </w:rPr>
            </w:pPr>
            <w:r>
              <w:rPr>
                <w:rFonts w:ascii="Arial" w:cs="Arial" w:eastAsia="Arial" w:hAnsi="Arial"/>
                <w:sz w:val="19"/>
                <w:szCs w:val="19"/>
                <w:color w:val="auto"/>
              </w:rPr>
              <w:t>8,980</w:t>
            </w:r>
          </w:p>
        </w:tc>
      </w:tr>
      <w:tr>
        <w:trPr>
          <w:trHeight w:val="291"/>
        </w:trPr>
        <w:tc>
          <w:tcPr>
            <w:tcW w:w="680" w:type="dxa"/>
            <w:vAlign w:val="bottom"/>
          </w:tcPr>
          <w:p>
            <w:pPr>
              <w:jc w:val="right"/>
              <w:spacing w:after="0"/>
              <w:rPr>
                <w:sz w:val="20"/>
                <w:szCs w:val="20"/>
                <w:color w:val="auto"/>
              </w:rPr>
            </w:pPr>
            <w:r>
              <w:rPr>
                <w:rFonts w:ascii="Arial" w:cs="Arial" w:eastAsia="Arial" w:hAnsi="Arial"/>
                <w:sz w:val="19"/>
                <w:szCs w:val="19"/>
                <w:color w:val="auto"/>
                <w:w w:val="96"/>
              </w:rPr>
              <w:t>(3,773)</w:t>
            </w:r>
          </w:p>
        </w:tc>
        <w:tc>
          <w:tcPr>
            <w:tcW w:w="1340" w:type="dxa"/>
            <w:vAlign w:val="bottom"/>
          </w:tcPr>
          <w:p>
            <w:pPr>
              <w:jc w:val="right"/>
              <w:spacing w:after="0"/>
              <w:rPr>
                <w:sz w:val="20"/>
                <w:szCs w:val="20"/>
                <w:color w:val="auto"/>
              </w:rPr>
            </w:pPr>
            <w:r>
              <w:rPr>
                <w:rFonts w:ascii="Arial" w:cs="Arial" w:eastAsia="Arial" w:hAnsi="Arial"/>
                <w:sz w:val="19"/>
                <w:szCs w:val="19"/>
                <w:color w:val="auto"/>
              </w:rPr>
              <w:t>(3,377)</w:t>
            </w:r>
          </w:p>
        </w:tc>
      </w:tr>
      <w:tr>
        <w:trPr>
          <w:trHeight w:val="291"/>
        </w:trPr>
        <w:tc>
          <w:tcPr>
            <w:tcW w:w="680" w:type="dxa"/>
            <w:vAlign w:val="bottom"/>
          </w:tcPr>
          <w:p>
            <w:pPr>
              <w:jc w:val="right"/>
              <w:ind w:right="43"/>
              <w:spacing w:after="0"/>
              <w:rPr>
                <w:sz w:val="20"/>
                <w:szCs w:val="20"/>
                <w:color w:val="auto"/>
              </w:rPr>
            </w:pPr>
            <w:r>
              <w:rPr>
                <w:rFonts w:ascii="Arial" w:cs="Arial" w:eastAsia="Arial" w:hAnsi="Arial"/>
                <w:sz w:val="19"/>
                <w:szCs w:val="19"/>
                <w:color w:val="auto"/>
                <w:w w:val="89"/>
              </w:rPr>
              <w:t>10,092</w:t>
            </w:r>
          </w:p>
        </w:tc>
        <w:tc>
          <w:tcPr>
            <w:tcW w:w="1340" w:type="dxa"/>
            <w:vAlign w:val="bottom"/>
          </w:tcPr>
          <w:p>
            <w:pPr>
              <w:jc w:val="right"/>
              <w:spacing w:after="0"/>
              <w:rPr>
                <w:sz w:val="20"/>
                <w:szCs w:val="20"/>
                <w:color w:val="auto"/>
              </w:rPr>
            </w:pPr>
            <w:r>
              <w:rPr>
                <w:rFonts w:ascii="Arial" w:cs="Arial" w:eastAsia="Arial" w:hAnsi="Arial"/>
                <w:sz w:val="19"/>
                <w:szCs w:val="19"/>
                <w:color w:val="auto"/>
              </w:rPr>
              <w:t>6,880</w:t>
            </w:r>
          </w:p>
        </w:tc>
      </w:tr>
    </w:tbl>
    <w:p>
      <w:pPr>
        <w:spacing w:after="0" w:line="38" w:lineRule="exact"/>
        <w:rPr>
          <w:sz w:val="20"/>
          <w:szCs w:val="20"/>
          <w:color w:val="auto"/>
        </w:rPr>
      </w:pPr>
    </w:p>
    <w:p>
      <w:pPr>
        <w:ind w:left="1660" w:hanging="1322"/>
        <w:spacing w:after="0"/>
        <w:tabs>
          <w:tab w:leader="none" w:pos="16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188</w:t>
      </w:r>
    </w:p>
    <w:p>
      <w:pPr>
        <w:spacing w:after="0" w:line="7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15,282</w:t>
      </w:r>
      <w:r>
        <w:rPr>
          <w:rFonts w:ascii="Arial" w:cs="Arial" w:eastAsia="Arial" w:hAnsi="Arial"/>
          <w:sz w:val="17"/>
          <w:szCs w:val="17"/>
          <w:color w:val="auto"/>
        </w:rPr>
        <w:t>12,675</w:t>
      </w:r>
    </w:p>
    <w:p>
      <w:pPr>
        <w:spacing w:after="0" w:line="73" w:lineRule="exact"/>
        <w:rPr>
          <w:sz w:val="20"/>
          <w:szCs w:val="20"/>
          <w:color w:val="auto"/>
        </w:rPr>
      </w:pPr>
    </w:p>
    <w:p>
      <w:pPr>
        <w:spacing w:after="0"/>
        <w:tabs>
          <w:tab w:leader="none" w:pos="720" w:val="left"/>
          <w:tab w:leader="none" w:pos="1380" w:val="left"/>
        </w:tabs>
        <w:rPr>
          <w:sz w:val="20"/>
          <w:szCs w:val="20"/>
          <w:color w:val="auto"/>
        </w:rPr>
      </w:pPr>
      <w:r>
        <w:rPr>
          <w:rFonts w:ascii="Arial" w:cs="Arial" w:eastAsia="Arial" w:hAnsi="Arial"/>
          <w:sz w:val="19"/>
          <w:szCs w:val="19"/>
          <w:color w:val="auto"/>
        </w:rPr>
        <w:t>76,448</w:t>
        <w:tab/>
        <w:t>$</w:t>
      </w:r>
      <w:r>
        <w:rPr>
          <w:sz w:val="20"/>
          <w:szCs w:val="20"/>
          <w:color w:val="auto"/>
        </w:rPr>
        <w:tab/>
      </w:r>
      <w:r>
        <w:rPr>
          <w:rFonts w:ascii="Arial" w:cs="Arial" w:eastAsia="Arial" w:hAnsi="Arial"/>
          <w:sz w:val="17"/>
          <w:szCs w:val="17"/>
          <w:color w:val="auto"/>
        </w:rPr>
        <w:t>74,083</w:t>
      </w:r>
    </w:p>
    <w:p>
      <w:pPr>
        <w:spacing w:after="0" w:line="199" w:lineRule="exact"/>
        <w:rPr>
          <w:sz w:val="20"/>
          <w:szCs w:val="20"/>
          <w:color w:val="auto"/>
        </w:rPr>
      </w:pPr>
    </w:p>
    <w:p>
      <w:pPr>
        <w:sectPr>
          <w:pgSz w:w="11880" w:h="15480" w:orient="portrait"/>
          <w:cols w:equalWidth="0" w:num="2">
            <w:col w:w="7320" w:space="580"/>
            <w:col w:w="2020"/>
          </w:cols>
          <w:pgMar w:left="980" w:top="579" w:right="980" w:bottom="33" w:gutter="0" w:footer="0" w:header="0"/>
          <w:type w:val="continuous"/>
        </w:sectPr>
      </w:pPr>
    </w:p>
    <w:p>
      <w:pPr>
        <w:jc w:val="center"/>
        <w:spacing w:after="0"/>
        <w:rPr>
          <w:sz w:val="20"/>
          <w:szCs w:val="20"/>
          <w:color w:val="auto"/>
        </w:rPr>
      </w:pPr>
      <w:r>
        <w:rPr>
          <w:rFonts w:ascii="Arial" w:cs="Arial" w:eastAsia="Arial" w:hAnsi="Arial"/>
          <w:sz w:val="17"/>
          <w:szCs w:val="17"/>
          <w:color w:val="auto"/>
        </w:rPr>
        <w:t>The accompanying Combined Notes to Consolidated Financial Statements are an integral part of these statements.</w:t>
      </w:r>
    </w:p>
    <w:p>
      <w:pPr>
        <w:sectPr>
          <w:pgSz w:w="11880" w:h="15480" w:orient="portrait"/>
          <w:cols w:equalWidth="0" w:num="1">
            <w:col w:w="9920"/>
          </w:cols>
          <w:pgMar w:left="980" w:top="579" w:right="980" w:bottom="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9920"/>
          </w:cols>
          <w:pgMar w:left="980" w:top="579" w:right="980" w:bottom="33" w:gutter="0" w:footer="0" w:header="0"/>
          <w:type w:val="continuous"/>
        </w:sectPr>
      </w:pPr>
    </w:p>
    <w:bookmarkStart w:id="60" w:name="page61"/>
    <w:bookmarkEnd w:id="60"/>
    <w:p>
      <w:pPr>
        <w:jc w:val="center"/>
        <w:ind w:right="-39"/>
        <w:spacing w:after="0"/>
        <w:rPr>
          <w:sz w:val="20"/>
          <w:szCs w:val="20"/>
          <w:color w:val="auto"/>
        </w:rPr>
      </w:pPr>
      <w:r>
        <w:rPr>
          <w:rFonts w:ascii="Arial" w:cs="Arial" w:eastAsia="Arial" w:hAnsi="Arial"/>
          <w:sz w:val="19"/>
          <w:szCs w:val="19"/>
          <w:b w:val="1"/>
          <w:bCs w:val="1"/>
          <w:color w:val="auto"/>
        </w:rPr>
        <w:t>UNITED AIRLINES HOLDINGS,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STATEMENTS OF CONSOLIDATED CASH FLOWS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w w:val="89"/>
              </w:rPr>
              <w:t>2023</w:t>
            </w:r>
          </w:p>
        </w:tc>
        <w:tc>
          <w:tcPr>
            <w:tcW w:w="0" w:type="dxa"/>
            <w:vAlign w:val="bottom"/>
          </w:tcPr>
          <w:p>
            <w:pPr>
              <w:spacing w:after="0"/>
              <w:rPr>
                <w:sz w:val="1"/>
                <w:szCs w:val="1"/>
                <w:color w:val="auto"/>
              </w:rPr>
            </w:pPr>
          </w:p>
        </w:tc>
      </w:tr>
      <w:tr>
        <w:trPr>
          <w:trHeight w:val="217"/>
        </w:trPr>
        <w:tc>
          <w:tcPr>
            <w:tcW w:w="6400" w:type="dxa"/>
            <w:vAlign w:val="bottom"/>
          </w:tcPr>
          <w:p>
            <w:pPr>
              <w:ind w:left="60"/>
              <w:spacing w:after="0"/>
              <w:rPr>
                <w:sz w:val="20"/>
                <w:szCs w:val="20"/>
                <w:color w:val="auto"/>
              </w:rPr>
            </w:pPr>
            <w:r>
              <w:rPr>
                <w:rFonts w:ascii="Arial" w:cs="Arial" w:eastAsia="Arial" w:hAnsi="Arial"/>
                <w:sz w:val="17"/>
                <w:szCs w:val="17"/>
                <w:color w:val="auto"/>
              </w:rPr>
              <w:t>Operating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400" w:type="dxa"/>
            <w:vAlign w:val="bottom"/>
            <w:shd w:val="clear" w:color="auto" w:fill="E6E6E6"/>
          </w:tcPr>
          <w:p>
            <w:pPr>
              <w:ind w:left="220"/>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3,353</w:t>
            </w:r>
          </w:p>
        </w:tc>
        <w:tc>
          <w:tcPr>
            <w:tcW w:w="340" w:type="dxa"/>
            <w:vAlign w:val="bottom"/>
            <w:gridSpan w:val="2"/>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3,149</w:t>
            </w:r>
          </w:p>
        </w:tc>
        <w:tc>
          <w:tcPr>
            <w:tcW w:w="440" w:type="dxa"/>
            <w:vAlign w:val="bottom"/>
            <w:gridSpan w:val="2"/>
            <w:shd w:val="clear" w:color="auto" w:fill="E6E6E6"/>
          </w:tcPr>
          <w:p>
            <w:pPr>
              <w:jc w:val="right"/>
              <w:ind w:right="133"/>
              <w:spacing w:after="0"/>
              <w:rPr>
                <w:sz w:val="20"/>
                <w:szCs w:val="20"/>
                <w:color w:val="auto"/>
              </w:rPr>
            </w:pPr>
            <w:r>
              <w:rPr>
                <w:rFonts w:ascii="Arial" w:cs="Arial" w:eastAsia="Arial" w:hAnsi="Arial"/>
                <w:sz w:val="17"/>
                <w:szCs w:val="17"/>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2,618</w:t>
            </w:r>
          </w:p>
        </w:tc>
        <w:tc>
          <w:tcPr>
            <w:tcW w:w="0" w:type="dxa"/>
            <w:vAlign w:val="bottom"/>
          </w:tcPr>
          <w:p>
            <w:pPr>
              <w:spacing w:after="0"/>
              <w:rPr>
                <w:sz w:val="1"/>
                <w:szCs w:val="1"/>
                <w:color w:val="auto"/>
              </w:rPr>
            </w:pPr>
          </w:p>
        </w:tc>
      </w:tr>
      <w:tr>
        <w:trPr>
          <w:trHeight w:val="176"/>
        </w:trPr>
        <w:tc>
          <w:tcPr>
            <w:tcW w:w="6400" w:type="dxa"/>
            <w:vAlign w:val="bottom"/>
          </w:tcPr>
          <w:p>
            <w:pPr>
              <w:ind w:left="220"/>
              <w:spacing w:after="0" w:line="176" w:lineRule="exact"/>
              <w:rPr>
                <w:sz w:val="20"/>
                <w:szCs w:val="20"/>
                <w:color w:val="auto"/>
              </w:rPr>
            </w:pPr>
            <w:r>
              <w:rPr>
                <w:rFonts w:ascii="Arial" w:cs="Arial" w:eastAsia="Arial" w:hAnsi="Arial"/>
                <w:sz w:val="17"/>
                <w:szCs w:val="17"/>
                <w:color w:val="auto"/>
              </w:rPr>
              <w:t>Adjustments to reconcile net income to net cash provided by (used in) operating</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220"/>
              <w:spacing w:after="0"/>
              <w:rPr>
                <w:sz w:val="20"/>
                <w:szCs w:val="20"/>
                <w:color w:val="auto"/>
              </w:rPr>
            </w:pPr>
            <w:r>
              <w:rPr>
                <w:rFonts w:ascii="Arial" w:cs="Arial" w:eastAsia="Arial" w:hAnsi="Arial"/>
                <w:sz w:val="17"/>
                <w:szCs w:val="17"/>
                <w:color w:val="auto"/>
              </w:rPr>
              <w:t>activities -</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400" w:type="dxa"/>
            <w:vAlign w:val="bottom"/>
            <w:shd w:val="clear" w:color="auto" w:fill="E6E6E6"/>
          </w:tcPr>
          <w:p>
            <w:pPr>
              <w:ind w:left="580"/>
              <w:spacing w:after="0"/>
              <w:rPr>
                <w:sz w:val="20"/>
                <w:szCs w:val="20"/>
                <w:color w:val="auto"/>
              </w:rPr>
            </w:pPr>
            <w:r>
              <w:rPr>
                <w:rFonts w:ascii="Arial" w:cs="Arial" w:eastAsia="Arial" w:hAnsi="Arial"/>
                <w:sz w:val="17"/>
                <w:szCs w:val="17"/>
                <w:color w:val="auto"/>
              </w:rPr>
              <w:t>Deferred income tax</w:t>
            </w:r>
          </w:p>
        </w:tc>
        <w:tc>
          <w:tcPr>
            <w:tcW w:w="260" w:type="dxa"/>
            <w:vAlign w:val="bottom"/>
            <w:shd w:val="clear" w:color="auto" w:fill="E6E6E6"/>
          </w:tcPr>
          <w:p>
            <w:pPr>
              <w:spacing w:after="0"/>
              <w:rPr>
                <w:sz w:val="21"/>
                <w:szCs w:val="21"/>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925</w:t>
            </w: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935</w:t>
            </w:r>
          </w:p>
        </w:tc>
        <w:tc>
          <w:tcPr>
            <w:tcW w:w="8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30"/>
        </w:trPr>
        <w:tc>
          <w:tcPr>
            <w:tcW w:w="6400" w:type="dxa"/>
            <w:vAlign w:val="bottom"/>
          </w:tcPr>
          <w:p>
            <w:pPr>
              <w:ind w:left="580"/>
              <w:spacing w:after="0"/>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2,939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2,928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2,671</w:t>
            </w:r>
          </w:p>
        </w:tc>
        <w:tc>
          <w:tcPr>
            <w:tcW w:w="0" w:type="dxa"/>
            <w:vAlign w:val="bottom"/>
          </w:tcPr>
          <w:p>
            <w:pPr>
              <w:spacing w:after="0"/>
              <w:rPr>
                <w:sz w:val="1"/>
                <w:szCs w:val="1"/>
                <w:color w:val="auto"/>
              </w:rPr>
            </w:pPr>
          </w:p>
        </w:tc>
      </w:tr>
      <w:tr>
        <w:trPr>
          <w:trHeight w:val="235"/>
        </w:trPr>
        <w:tc>
          <w:tcPr>
            <w:tcW w:w="6400" w:type="dxa"/>
            <w:vAlign w:val="bottom"/>
            <w:shd w:val="clear" w:color="auto" w:fill="E6E6E6"/>
          </w:tcPr>
          <w:p>
            <w:pPr>
              <w:ind w:left="580"/>
              <w:spacing w:after="0"/>
              <w:rPr>
                <w:sz w:val="20"/>
                <w:szCs w:val="20"/>
                <w:color w:val="auto"/>
              </w:rPr>
            </w:pPr>
            <w:r>
              <w:rPr>
                <w:rFonts w:ascii="Arial" w:cs="Arial" w:eastAsia="Arial" w:hAnsi="Arial"/>
                <w:sz w:val="17"/>
                <w:szCs w:val="17"/>
                <w:color w:val="auto"/>
              </w:rPr>
              <w:t>Operating and non-operating special charges, non-cash portion</w:t>
            </w: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158</w:t>
            </w:r>
          </w:p>
        </w:tc>
        <w:tc>
          <w:tcPr>
            <w:tcW w:w="8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30"/>
        </w:trPr>
        <w:tc>
          <w:tcPr>
            <w:tcW w:w="6400" w:type="dxa"/>
            <w:vAlign w:val="bottom"/>
          </w:tcPr>
          <w:p>
            <w:pPr>
              <w:ind w:left="580"/>
              <w:spacing w:after="0"/>
              <w:rPr>
                <w:sz w:val="20"/>
                <w:szCs w:val="20"/>
                <w:color w:val="auto"/>
              </w:rPr>
            </w:pPr>
            <w:r>
              <w:rPr>
                <w:rFonts w:ascii="Arial" w:cs="Arial" w:eastAsia="Arial" w:hAnsi="Arial"/>
                <w:sz w:val="17"/>
                <w:szCs w:val="17"/>
                <w:color w:val="auto"/>
              </w:rPr>
              <w:t>Unrealized (gains) losses on investments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5"/>
        </w:trPr>
        <w:tc>
          <w:tcPr>
            <w:tcW w:w="6400" w:type="dxa"/>
            <w:vAlign w:val="bottom"/>
            <w:shd w:val="clear" w:color="auto" w:fill="E6E6E6"/>
          </w:tcPr>
          <w:p>
            <w:pPr>
              <w:ind w:left="580"/>
              <w:spacing w:after="0"/>
              <w:rPr>
                <w:sz w:val="20"/>
                <w:szCs w:val="20"/>
                <w:color w:val="auto"/>
              </w:rPr>
            </w:pPr>
            <w:r>
              <w:rPr>
                <w:rFonts w:ascii="Arial" w:cs="Arial" w:eastAsia="Arial" w:hAnsi="Arial"/>
                <w:sz w:val="17"/>
                <w:szCs w:val="17"/>
                <w:color w:val="auto"/>
              </w:rPr>
              <w:t>Amortization of debt discount and debt issuance costs</w:t>
            </w: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77</w:t>
            </w:r>
          </w:p>
        </w:tc>
        <w:tc>
          <w:tcPr>
            <w:tcW w:w="8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166</w:t>
            </w:r>
          </w:p>
        </w:tc>
        <w:tc>
          <w:tcPr>
            <w:tcW w:w="8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30"/>
        </w:trPr>
        <w:tc>
          <w:tcPr>
            <w:tcW w:w="6400" w:type="dxa"/>
            <w:vAlign w:val="bottom"/>
          </w:tcPr>
          <w:p>
            <w:pPr>
              <w:ind w:left="580"/>
              <w:spacing w:after="0"/>
              <w:rPr>
                <w:sz w:val="20"/>
                <w:szCs w:val="20"/>
                <w:color w:val="auto"/>
              </w:rPr>
            </w:pPr>
            <w:r>
              <w:rPr>
                <w:rFonts w:ascii="Arial" w:cs="Arial" w:eastAsia="Arial" w:hAnsi="Arial"/>
                <w:sz w:val="17"/>
                <w:szCs w:val="17"/>
                <w:color w:val="auto"/>
              </w:rPr>
              <w:t>Other operating activities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5"/>
        </w:trPr>
        <w:tc>
          <w:tcPr>
            <w:tcW w:w="6400" w:type="dxa"/>
            <w:vAlign w:val="bottom"/>
            <w:shd w:val="clear" w:color="auto" w:fill="E6E6E6"/>
          </w:tcPr>
          <w:p>
            <w:pPr>
              <w:ind w:left="580"/>
              <w:spacing w:after="0"/>
              <w:rPr>
                <w:sz w:val="20"/>
                <w:szCs w:val="20"/>
                <w:color w:val="auto"/>
              </w:rPr>
            </w:pPr>
            <w:r>
              <w:rPr>
                <w:rFonts w:ascii="Arial" w:cs="Arial" w:eastAsia="Arial" w:hAnsi="Arial"/>
                <w:sz w:val="17"/>
                <w:szCs w:val="17"/>
                <w:color w:val="auto"/>
              </w:rPr>
              <w:t>Changes in operating assets and liabilities -</w:t>
            </w: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76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760"/>
              <w:spacing w:after="0"/>
              <w:rPr>
                <w:sz w:val="20"/>
                <w:szCs w:val="20"/>
                <w:color w:val="auto"/>
              </w:rPr>
            </w:pPr>
            <w:r>
              <w:rPr>
                <w:rFonts w:ascii="Arial" w:cs="Arial" w:eastAsia="Arial" w:hAnsi="Arial"/>
                <w:sz w:val="17"/>
                <w:szCs w:val="17"/>
                <w:color w:val="auto"/>
              </w:rPr>
              <w:t>(Increase) decrease in receivables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35"/>
        </w:trPr>
        <w:tc>
          <w:tcPr>
            <w:tcW w:w="6400" w:type="dxa"/>
            <w:vAlign w:val="bottom"/>
            <w:shd w:val="clear" w:color="auto" w:fill="E6E6E6"/>
          </w:tcPr>
          <w:p>
            <w:pPr>
              <w:ind w:left="760"/>
              <w:spacing w:after="0"/>
              <w:rPr>
                <w:sz w:val="20"/>
                <w:szCs w:val="20"/>
                <w:color w:val="auto"/>
              </w:rPr>
            </w:pPr>
            <w:r>
              <w:rPr>
                <w:rFonts w:ascii="Arial" w:cs="Arial" w:eastAsia="Arial" w:hAnsi="Arial"/>
                <w:sz w:val="17"/>
                <w:szCs w:val="17"/>
                <w:color w:val="auto"/>
              </w:rPr>
              <w:t>Increase in prepaids and other assets</w:t>
            </w: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(264)</w:t>
            </w:r>
          </w:p>
        </w:tc>
        <w:tc>
          <w:tcPr>
            <w:tcW w:w="8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(166)</w:t>
            </w:r>
          </w:p>
        </w:tc>
        <w:tc>
          <w:tcPr>
            <w:tcW w:w="8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30"/>
        </w:trPr>
        <w:tc>
          <w:tcPr>
            <w:tcW w:w="6400" w:type="dxa"/>
            <w:vAlign w:val="bottom"/>
          </w:tcPr>
          <w:p>
            <w:pPr>
              <w:ind w:left="760"/>
              <w:spacing w:after="0"/>
              <w:rPr>
                <w:sz w:val="20"/>
                <w:szCs w:val="20"/>
                <w:color w:val="auto"/>
              </w:rPr>
            </w:pPr>
            <w:r>
              <w:rPr>
                <w:rFonts w:ascii="Arial" w:cs="Arial" w:eastAsia="Arial" w:hAnsi="Arial"/>
                <w:sz w:val="17"/>
                <w:szCs w:val="17"/>
                <w:color w:val="auto"/>
              </w:rPr>
              <w:t>Increase (decrease) in advance ticket sales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570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(851)</w:t>
            </w:r>
          </w:p>
        </w:tc>
        <w:tc>
          <w:tcPr>
            <w:tcW w:w="0" w:type="dxa"/>
            <w:vAlign w:val="bottom"/>
          </w:tcPr>
          <w:p>
            <w:pPr>
              <w:spacing w:after="0"/>
              <w:rPr>
                <w:sz w:val="1"/>
                <w:szCs w:val="1"/>
                <w:color w:val="auto"/>
              </w:rPr>
            </w:pPr>
          </w:p>
        </w:tc>
      </w:tr>
      <w:tr>
        <w:trPr>
          <w:trHeight w:val="235"/>
        </w:trPr>
        <w:tc>
          <w:tcPr>
            <w:tcW w:w="6400" w:type="dxa"/>
            <w:vAlign w:val="bottom"/>
            <w:shd w:val="clear" w:color="auto" w:fill="E6E6E6"/>
          </w:tcPr>
          <w:p>
            <w:pPr>
              <w:ind w:left="760"/>
              <w:spacing w:after="0"/>
              <w:rPr>
                <w:sz w:val="20"/>
                <w:szCs w:val="20"/>
                <w:color w:val="auto"/>
              </w:rPr>
            </w:pPr>
            <w:r>
              <w:rPr>
                <w:rFonts w:ascii="Arial" w:cs="Arial" w:eastAsia="Arial" w:hAnsi="Arial"/>
                <w:sz w:val="17"/>
                <w:szCs w:val="17"/>
                <w:color w:val="auto"/>
              </w:rPr>
              <w:t>Increase in frequent flyer deferred revenue</w:t>
            </w: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336</w:t>
            </w:r>
          </w:p>
        </w:tc>
        <w:tc>
          <w:tcPr>
            <w:tcW w:w="8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298</w:t>
            </w:r>
          </w:p>
        </w:tc>
        <w:tc>
          <w:tcPr>
            <w:tcW w:w="8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30"/>
        </w:trPr>
        <w:tc>
          <w:tcPr>
            <w:tcW w:w="6400" w:type="dxa"/>
            <w:vAlign w:val="bottom"/>
          </w:tcPr>
          <w:p>
            <w:pPr>
              <w:ind w:left="760"/>
              <w:spacing w:after="0"/>
              <w:rPr>
                <w:sz w:val="20"/>
                <w:szCs w:val="20"/>
                <w:color w:val="auto"/>
              </w:rPr>
            </w:pPr>
            <w:r>
              <w:rPr>
                <w:rFonts w:ascii="Arial" w:cs="Arial" w:eastAsia="Arial" w:hAnsi="Arial"/>
                <w:sz w:val="17"/>
                <w:szCs w:val="17"/>
                <w:color w:val="auto"/>
              </w:rPr>
              <w:t>Increase in accounts payable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246"/>
        </w:trPr>
        <w:tc>
          <w:tcPr>
            <w:tcW w:w="6400" w:type="dxa"/>
            <w:vAlign w:val="bottom"/>
            <w:tcBorders>
              <w:bottom w:val="single" w:sz="8" w:color="E6E6E6"/>
            </w:tcBorders>
            <w:shd w:val="clear" w:color="auto" w:fill="E6E6E6"/>
          </w:tcPr>
          <w:p>
            <w:pPr>
              <w:ind w:left="760"/>
              <w:spacing w:after="0"/>
              <w:rPr>
                <w:sz w:val="20"/>
                <w:szCs w:val="20"/>
                <w:color w:val="auto"/>
              </w:rPr>
            </w:pPr>
            <w:r>
              <w:rPr>
                <w:rFonts w:ascii="Arial" w:cs="Arial" w:eastAsia="Arial" w:hAnsi="Arial"/>
                <w:sz w:val="17"/>
                <w:szCs w:val="17"/>
                <w:color w:val="auto"/>
              </w:rPr>
              <w:t>Increase in other liabilities</w:t>
            </w:r>
          </w:p>
        </w:tc>
        <w:tc>
          <w:tcPr>
            <w:tcW w:w="260" w:type="dxa"/>
            <w:vAlign w:val="bottom"/>
            <w:tcBorders>
              <w:bottom w:val="single" w:sz="8" w:color="auto"/>
            </w:tcBorders>
            <w:shd w:val="clear" w:color="auto" w:fill="E6E6E6"/>
          </w:tcPr>
          <w:p>
            <w:pPr>
              <w:spacing w:after="0"/>
              <w:rPr>
                <w:sz w:val="21"/>
                <w:szCs w:val="21"/>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171</w:t>
            </w:r>
          </w:p>
        </w:tc>
        <w:tc>
          <w:tcPr>
            <w:tcW w:w="8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auto"/>
            </w:tcBorders>
            <w:shd w:val="clear" w:color="auto" w:fill="E6E6E6"/>
          </w:tcPr>
          <w:p>
            <w:pPr>
              <w:spacing w:after="0"/>
              <w:rPr>
                <w:sz w:val="21"/>
                <w:szCs w:val="21"/>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454</w:t>
            </w:r>
          </w:p>
        </w:tc>
        <w:tc>
          <w:tcPr>
            <w:tcW w:w="80" w:type="dxa"/>
            <w:vAlign w:val="bottom"/>
            <w:tcBorders>
              <w:bottom w:val="single" w:sz="8" w:color="E6E6E6"/>
            </w:tcBorders>
            <w:shd w:val="clear" w:color="auto" w:fill="E6E6E6"/>
          </w:tcPr>
          <w:p>
            <w:pPr>
              <w:spacing w:after="0"/>
              <w:rPr>
                <w:sz w:val="21"/>
                <w:szCs w:val="21"/>
                <w:color w:val="auto"/>
              </w:rPr>
            </w:pPr>
          </w:p>
        </w:tc>
        <w:tc>
          <w:tcPr>
            <w:tcW w:w="360" w:type="dxa"/>
            <w:vAlign w:val="bottom"/>
            <w:tcBorders>
              <w:bottom w:val="single" w:sz="8" w:color="auto"/>
            </w:tcBorders>
            <w:shd w:val="clear" w:color="auto" w:fill="E6E6E6"/>
          </w:tcPr>
          <w:p>
            <w:pPr>
              <w:spacing w:after="0"/>
              <w:rPr>
                <w:sz w:val="21"/>
                <w:szCs w:val="21"/>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1,038</w:t>
            </w:r>
          </w:p>
        </w:tc>
        <w:tc>
          <w:tcPr>
            <w:tcW w:w="0" w:type="dxa"/>
            <w:vAlign w:val="bottom"/>
          </w:tcPr>
          <w:p>
            <w:pPr>
              <w:spacing w:after="0"/>
              <w:rPr>
                <w:sz w:val="1"/>
                <w:szCs w:val="1"/>
                <w:color w:val="auto"/>
              </w:rPr>
            </w:pPr>
          </w:p>
        </w:tc>
      </w:tr>
      <w:tr>
        <w:trPr>
          <w:trHeight w:val="193"/>
        </w:trPr>
        <w:tc>
          <w:tcPr>
            <w:tcW w:w="6400" w:type="dxa"/>
            <w:vAlign w:val="bottom"/>
            <w:tcBorders>
              <w:bottom w:val="single" w:sz="8" w:color="E6E6E6"/>
            </w:tcBorders>
          </w:tcPr>
          <w:p>
            <w:pPr>
              <w:ind w:left="60"/>
              <w:spacing w:after="0" w:line="193" w:lineRule="exact"/>
              <w:rPr>
                <w:sz w:val="20"/>
                <w:szCs w:val="20"/>
                <w:color w:val="auto"/>
              </w:rPr>
            </w:pPr>
            <w:r>
              <w:rPr>
                <w:rFonts w:ascii="Arial" w:cs="Arial" w:eastAsia="Arial" w:hAnsi="Arial"/>
                <w:sz w:val="17"/>
                <w:szCs w:val="17"/>
                <w:color w:val="auto"/>
              </w:rPr>
              <w:t>Net cash provided by operating activities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8,431</w:t>
            </w:r>
          </w:p>
        </w:tc>
        <w:tc>
          <w:tcPr>
            <w:tcW w:w="80" w:type="dxa"/>
            <w:vAlign w:val="bottom"/>
            <w:tcBorders>
              <w:bottom w:val="single" w:sz="8" w:color="E6E6E6"/>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9,445</w:t>
            </w:r>
          </w:p>
        </w:tc>
        <w:tc>
          <w:tcPr>
            <w:tcW w:w="80" w:type="dxa"/>
            <w:vAlign w:val="bottom"/>
            <w:tcBorders>
              <w:bottom w:val="single" w:sz="8" w:color="E6E6E6"/>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6,911</w:t>
            </w:r>
          </w:p>
        </w:tc>
        <w:tc>
          <w:tcPr>
            <w:tcW w:w="0" w:type="dxa"/>
            <w:vAlign w:val="bottom"/>
          </w:tcPr>
          <w:p>
            <w:pPr>
              <w:spacing w:after="0"/>
              <w:rPr>
                <w:sz w:val="1"/>
                <w:szCs w:val="1"/>
                <w:color w:val="auto"/>
              </w:rPr>
            </w:pPr>
          </w:p>
        </w:tc>
      </w:tr>
      <w:tr>
        <w:trPr>
          <w:trHeight w:val="223"/>
        </w:trPr>
        <w:tc>
          <w:tcPr>
            <w:tcW w:w="6400" w:type="dxa"/>
            <w:vAlign w:val="bottom"/>
            <w:shd w:val="clear" w:color="auto" w:fill="E6E6E6"/>
          </w:tcPr>
          <w:p>
            <w:pPr>
              <w:ind w:left="60"/>
              <w:spacing w:after="0"/>
              <w:rPr>
                <w:sz w:val="20"/>
                <w:szCs w:val="20"/>
                <w:color w:val="auto"/>
              </w:rPr>
            </w:pPr>
            <w:r>
              <w:rPr>
                <w:rFonts w:ascii="Arial" w:cs="Arial" w:eastAsia="Arial" w:hAnsi="Arial"/>
                <w:sz w:val="17"/>
                <w:szCs w:val="17"/>
                <w:color w:val="auto"/>
              </w:rPr>
              <w:t>Investing Activities:</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76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80"/>
              <w:spacing w:after="0"/>
              <w:rPr>
                <w:sz w:val="20"/>
                <w:szCs w:val="20"/>
                <w:color w:val="auto"/>
              </w:rPr>
            </w:pPr>
            <w:r>
              <w:rPr>
                <w:rFonts w:ascii="Arial" w:cs="Arial" w:eastAsia="Arial" w:hAnsi="Arial"/>
                <w:sz w:val="17"/>
                <w:szCs w:val="17"/>
                <w:color w:val="auto"/>
              </w:rPr>
              <w:t>Capital expenditures, net of flight equipment purchase deposit returns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(5,874)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(5,615)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(7,171)</w:t>
            </w:r>
          </w:p>
        </w:tc>
        <w:tc>
          <w:tcPr>
            <w:tcW w:w="0" w:type="dxa"/>
            <w:vAlign w:val="bottom"/>
          </w:tcPr>
          <w:p>
            <w:pPr>
              <w:spacing w:after="0"/>
              <w:rPr>
                <w:sz w:val="1"/>
                <w:szCs w:val="1"/>
                <w:color w:val="auto"/>
              </w:rPr>
            </w:pPr>
          </w:p>
        </w:tc>
      </w:tr>
      <w:tr>
        <w:trPr>
          <w:trHeight w:val="235"/>
        </w:trPr>
        <w:tc>
          <w:tcPr>
            <w:tcW w:w="64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Purchases of short-term and other investments</w:t>
            </w: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(7,763)</w:t>
            </w:r>
          </w:p>
        </w:tc>
        <w:tc>
          <w:tcPr>
            <w:tcW w:w="8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(5,809)</w:t>
            </w:r>
          </w:p>
        </w:tc>
        <w:tc>
          <w:tcPr>
            <w:tcW w:w="8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(9,470)</w:t>
            </w:r>
          </w:p>
        </w:tc>
        <w:tc>
          <w:tcPr>
            <w:tcW w:w="0" w:type="dxa"/>
            <w:vAlign w:val="bottom"/>
          </w:tcPr>
          <w:p>
            <w:pPr>
              <w:spacing w:after="0"/>
              <w:rPr>
                <w:sz w:val="1"/>
                <w:szCs w:val="1"/>
                <w:color w:val="auto"/>
              </w:rPr>
            </w:pPr>
          </w:p>
        </w:tc>
      </w:tr>
      <w:tr>
        <w:trPr>
          <w:trHeight w:val="230"/>
        </w:trPr>
        <w:tc>
          <w:tcPr>
            <w:tcW w:w="6400" w:type="dxa"/>
            <w:vAlign w:val="bottom"/>
          </w:tcPr>
          <w:p>
            <w:pPr>
              <w:ind w:left="280"/>
              <w:spacing w:after="0"/>
              <w:rPr>
                <w:sz w:val="20"/>
                <w:szCs w:val="20"/>
                <w:color w:val="auto"/>
              </w:rPr>
            </w:pPr>
            <w:r>
              <w:rPr>
                <w:rFonts w:ascii="Arial" w:cs="Arial" w:eastAsia="Arial" w:hAnsi="Arial"/>
                <w:sz w:val="17"/>
                <w:szCs w:val="17"/>
                <w:color w:val="auto"/>
              </w:rPr>
              <w:t>Proceeds from sale of short-term and other investments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7,284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8,661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10,519</w:t>
            </w:r>
          </w:p>
        </w:tc>
        <w:tc>
          <w:tcPr>
            <w:tcW w:w="0" w:type="dxa"/>
            <w:vAlign w:val="bottom"/>
          </w:tcPr>
          <w:p>
            <w:pPr>
              <w:spacing w:after="0"/>
              <w:rPr>
                <w:sz w:val="1"/>
                <w:szCs w:val="1"/>
                <w:color w:val="auto"/>
              </w:rPr>
            </w:pPr>
          </w:p>
        </w:tc>
      </w:tr>
      <w:tr>
        <w:trPr>
          <w:trHeight w:val="235"/>
        </w:trPr>
        <w:tc>
          <w:tcPr>
            <w:tcW w:w="64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Proceeds from sale of property and equipment</w:t>
            </w: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98</w:t>
            </w:r>
          </w:p>
        </w:tc>
        <w:tc>
          <w:tcPr>
            <w:tcW w:w="8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109</w:t>
            </w:r>
          </w:p>
        </w:tc>
        <w:tc>
          <w:tcPr>
            <w:tcW w:w="8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E6E6E6"/>
            </w:tcBorders>
          </w:tcPr>
          <w:p>
            <w:pPr>
              <w:ind w:left="280"/>
              <w:spacing w:after="0"/>
              <w:rPr>
                <w:sz w:val="20"/>
                <w:szCs w:val="20"/>
                <w:color w:val="auto"/>
              </w:rPr>
            </w:pPr>
            <w:r>
              <w:rPr>
                <w:rFonts w:ascii="Arial" w:cs="Arial" w:eastAsia="Arial" w:hAnsi="Arial"/>
                <w:sz w:val="17"/>
                <w:szCs w:val="17"/>
                <w:color w:val="auto"/>
              </w:rPr>
              <w:t>Other, net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8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E6E6E6"/>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33"/>
        </w:trPr>
        <w:tc>
          <w:tcPr>
            <w:tcW w:w="64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Net cash used in investing activities</w:t>
            </w:r>
          </w:p>
        </w:tc>
        <w:tc>
          <w:tcPr>
            <w:tcW w:w="260" w:type="dxa"/>
            <w:vAlign w:val="bottom"/>
            <w:tcBorders>
              <w:bottom w:val="single" w:sz="8" w:color="auto"/>
            </w:tcBorders>
            <w:shd w:val="clear" w:color="auto" w:fill="E6E6E6"/>
          </w:tcPr>
          <w:p>
            <w:pPr>
              <w:spacing w:after="0"/>
              <w:rPr>
                <w:sz w:val="20"/>
                <w:szCs w:val="20"/>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(6,350)</w:t>
            </w:r>
          </w:p>
        </w:tc>
        <w:tc>
          <w:tcPr>
            <w:tcW w:w="80" w:type="dxa"/>
            <w:vAlign w:val="bottom"/>
            <w:tcBorders>
              <w:bottom w:val="single" w:sz="8" w:color="E6E6E6"/>
            </w:tcBorders>
            <w:shd w:val="clear" w:color="auto" w:fill="E6E6E6"/>
          </w:tcPr>
          <w:p>
            <w:pPr>
              <w:spacing w:after="0"/>
              <w:rPr>
                <w:sz w:val="20"/>
                <w:szCs w:val="20"/>
                <w:color w:val="auto"/>
              </w:rPr>
            </w:pPr>
          </w:p>
        </w:tc>
        <w:tc>
          <w:tcPr>
            <w:tcW w:w="260" w:type="dxa"/>
            <w:vAlign w:val="bottom"/>
            <w:tcBorders>
              <w:bottom w:val="single" w:sz="8" w:color="auto"/>
            </w:tcBorders>
            <w:shd w:val="clear" w:color="auto" w:fill="E6E6E6"/>
          </w:tcPr>
          <w:p>
            <w:pPr>
              <w:spacing w:after="0"/>
              <w:rPr>
                <w:sz w:val="20"/>
                <w:szCs w:val="20"/>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(2,651)</w:t>
            </w:r>
          </w:p>
        </w:tc>
        <w:tc>
          <w:tcPr>
            <w:tcW w:w="80" w:type="dxa"/>
            <w:vAlign w:val="bottom"/>
            <w:tcBorders>
              <w:bottom w:val="single" w:sz="8" w:color="E6E6E6"/>
            </w:tcBorders>
            <w:shd w:val="clear" w:color="auto" w:fill="E6E6E6"/>
          </w:tcPr>
          <w:p>
            <w:pPr>
              <w:spacing w:after="0"/>
              <w:rPr>
                <w:sz w:val="20"/>
                <w:szCs w:val="20"/>
                <w:color w:val="auto"/>
              </w:rPr>
            </w:pPr>
          </w:p>
        </w:tc>
        <w:tc>
          <w:tcPr>
            <w:tcW w:w="360" w:type="dxa"/>
            <w:vAlign w:val="bottom"/>
            <w:tcBorders>
              <w:bottom w:val="single" w:sz="8" w:color="auto"/>
            </w:tcBorders>
            <w:shd w:val="clear" w:color="auto" w:fill="E6E6E6"/>
          </w:tcPr>
          <w:p>
            <w:pPr>
              <w:spacing w:after="0"/>
              <w:rPr>
                <w:sz w:val="20"/>
                <w:szCs w:val="20"/>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(6,106)</w:t>
            </w:r>
          </w:p>
        </w:tc>
        <w:tc>
          <w:tcPr>
            <w:tcW w:w="0" w:type="dxa"/>
            <w:vAlign w:val="bottom"/>
          </w:tcPr>
          <w:p>
            <w:pPr>
              <w:spacing w:after="0"/>
              <w:rPr>
                <w:sz w:val="1"/>
                <w:szCs w:val="1"/>
                <w:color w:val="auto"/>
              </w:rPr>
            </w:pPr>
          </w:p>
        </w:tc>
      </w:tr>
      <w:tr>
        <w:trPr>
          <w:trHeight w:val="200"/>
        </w:trPr>
        <w:tc>
          <w:tcPr>
            <w:tcW w:w="6400" w:type="dxa"/>
            <w:vAlign w:val="bottom"/>
          </w:tcPr>
          <w:p>
            <w:pPr>
              <w:ind w:left="60"/>
              <w:spacing w:after="0"/>
              <w:rPr>
                <w:sz w:val="20"/>
                <w:szCs w:val="20"/>
                <w:color w:val="auto"/>
              </w:rPr>
            </w:pPr>
            <w:r>
              <w:rPr>
                <w:rFonts w:ascii="Arial" w:cs="Arial" w:eastAsia="Arial" w:hAnsi="Arial"/>
                <w:sz w:val="17"/>
                <w:szCs w:val="17"/>
                <w:color w:val="auto"/>
              </w:rPr>
              <w:t>Financing Activities: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400" w:type="dxa"/>
            <w:vAlign w:val="bottom"/>
            <w:shd w:val="clear" w:color="auto" w:fill="E6E6E6"/>
          </w:tcPr>
          <w:p>
            <w:pPr>
              <w:ind w:left="280"/>
              <w:spacing w:after="0"/>
              <w:rPr>
                <w:sz w:val="20"/>
                <w:szCs w:val="20"/>
                <w:color w:val="auto"/>
              </w:rPr>
            </w:pPr>
            <w:r>
              <w:rPr>
                <w:rFonts w:ascii="Arial" w:cs="Arial" w:eastAsia="Arial" w:hAnsi="Arial"/>
                <w:sz w:val="17"/>
                <w:szCs w:val="17"/>
                <w:color w:val="auto"/>
                <w:w w:val="93"/>
              </w:rPr>
              <w:t>Proceeds from issuance of debt and other financial liabilities, net of discounts and fees</w:t>
            </w:r>
          </w:p>
        </w:tc>
        <w:tc>
          <w:tcPr>
            <w:tcW w:w="260" w:type="dxa"/>
            <w:vAlign w:val="bottom"/>
            <w:shd w:val="clear" w:color="auto" w:fill="E6E6E6"/>
          </w:tcPr>
          <w:p>
            <w:pPr>
              <w:spacing w:after="0"/>
              <w:rPr>
                <w:sz w:val="21"/>
                <w:szCs w:val="21"/>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578</w:t>
            </w: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6,139</w:t>
            </w:r>
          </w:p>
        </w:tc>
        <w:tc>
          <w:tcPr>
            <w:tcW w:w="8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2,388</w:t>
            </w:r>
          </w:p>
        </w:tc>
        <w:tc>
          <w:tcPr>
            <w:tcW w:w="0" w:type="dxa"/>
            <w:vAlign w:val="bottom"/>
          </w:tcPr>
          <w:p>
            <w:pPr>
              <w:spacing w:after="0"/>
              <w:rPr>
                <w:sz w:val="1"/>
                <w:szCs w:val="1"/>
                <w:color w:val="auto"/>
              </w:rPr>
            </w:pPr>
          </w:p>
        </w:tc>
      </w:tr>
      <w:tr>
        <w:trPr>
          <w:trHeight w:val="230"/>
        </w:trPr>
        <w:tc>
          <w:tcPr>
            <w:tcW w:w="6400" w:type="dxa"/>
            <w:vAlign w:val="bottom"/>
          </w:tcPr>
          <w:p>
            <w:pPr>
              <w:ind w:left="280"/>
              <w:spacing w:after="0"/>
              <w:rPr>
                <w:sz w:val="20"/>
                <w:szCs w:val="20"/>
                <w:color w:val="auto"/>
              </w:rPr>
            </w:pPr>
            <w:r>
              <w:rPr>
                <w:rFonts w:ascii="Arial" w:cs="Arial" w:eastAsia="Arial" w:hAnsi="Arial"/>
                <w:sz w:val="17"/>
                <w:szCs w:val="17"/>
                <w:color w:val="auto"/>
              </w:rPr>
              <w:t>Payments of long-term debt, finance leases and other financial liabilities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(4,771)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(10,138)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(4,248)</w:t>
            </w:r>
          </w:p>
        </w:tc>
        <w:tc>
          <w:tcPr>
            <w:tcW w:w="0" w:type="dxa"/>
            <w:vAlign w:val="bottom"/>
          </w:tcPr>
          <w:p>
            <w:pPr>
              <w:spacing w:after="0"/>
              <w:rPr>
                <w:sz w:val="1"/>
                <w:szCs w:val="1"/>
                <w:color w:val="auto"/>
              </w:rPr>
            </w:pPr>
          </w:p>
        </w:tc>
      </w:tr>
      <w:tr>
        <w:trPr>
          <w:trHeight w:val="235"/>
        </w:trPr>
        <w:tc>
          <w:tcPr>
            <w:tcW w:w="64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Repurchases of common stock</w:t>
            </w: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(637)</w:t>
            </w:r>
          </w:p>
        </w:tc>
        <w:tc>
          <w:tcPr>
            <w:tcW w:w="8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(162)</w:t>
            </w:r>
          </w:p>
        </w:tc>
        <w:tc>
          <w:tcPr>
            <w:tcW w:w="8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E6E6E6"/>
            </w:tcBorders>
          </w:tcPr>
          <w:p>
            <w:pPr>
              <w:ind w:left="280"/>
              <w:spacing w:after="0"/>
              <w:rPr>
                <w:sz w:val="20"/>
                <w:szCs w:val="20"/>
                <w:color w:val="auto"/>
              </w:rPr>
            </w:pPr>
            <w:r>
              <w:rPr>
                <w:rFonts w:ascii="Arial" w:cs="Arial" w:eastAsia="Arial" w:hAnsi="Arial"/>
                <w:sz w:val="17"/>
                <w:szCs w:val="17"/>
                <w:color w:val="auto"/>
              </w:rPr>
              <w:t>Other, net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8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80" w:type="dxa"/>
            <w:vAlign w:val="bottom"/>
            <w:tcBorders>
              <w:bottom w:val="single" w:sz="8" w:color="E6E6E6"/>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33"/>
        </w:trPr>
        <w:tc>
          <w:tcPr>
            <w:tcW w:w="64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Net cash used in financing activities</w:t>
            </w:r>
          </w:p>
        </w:tc>
        <w:tc>
          <w:tcPr>
            <w:tcW w:w="260" w:type="dxa"/>
            <w:vAlign w:val="bottom"/>
            <w:tcBorders>
              <w:bottom w:val="single" w:sz="8" w:color="auto"/>
            </w:tcBorders>
            <w:shd w:val="clear" w:color="auto" w:fill="E6E6E6"/>
          </w:tcPr>
          <w:p>
            <w:pPr>
              <w:spacing w:after="0"/>
              <w:rPr>
                <w:sz w:val="20"/>
                <w:szCs w:val="20"/>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(4,945)</w:t>
            </w:r>
          </w:p>
        </w:tc>
        <w:tc>
          <w:tcPr>
            <w:tcW w:w="80" w:type="dxa"/>
            <w:vAlign w:val="bottom"/>
            <w:tcBorders>
              <w:bottom w:val="single" w:sz="8" w:color="E6E6E6"/>
            </w:tcBorders>
            <w:shd w:val="clear" w:color="auto" w:fill="E6E6E6"/>
          </w:tcPr>
          <w:p>
            <w:pPr>
              <w:spacing w:after="0"/>
              <w:rPr>
                <w:sz w:val="20"/>
                <w:szCs w:val="20"/>
                <w:color w:val="auto"/>
              </w:rPr>
            </w:pPr>
          </w:p>
        </w:tc>
        <w:tc>
          <w:tcPr>
            <w:tcW w:w="260" w:type="dxa"/>
            <w:vAlign w:val="bottom"/>
            <w:tcBorders>
              <w:bottom w:val="single" w:sz="8" w:color="auto"/>
            </w:tcBorders>
            <w:shd w:val="clear" w:color="auto" w:fill="E6E6E6"/>
          </w:tcPr>
          <w:p>
            <w:pPr>
              <w:spacing w:after="0"/>
              <w:rPr>
                <w:sz w:val="20"/>
                <w:szCs w:val="20"/>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(4,182)</w:t>
            </w:r>
          </w:p>
        </w:tc>
        <w:tc>
          <w:tcPr>
            <w:tcW w:w="80" w:type="dxa"/>
            <w:vAlign w:val="bottom"/>
            <w:tcBorders>
              <w:bottom w:val="single" w:sz="8" w:color="E6E6E6"/>
            </w:tcBorders>
            <w:shd w:val="clear" w:color="auto" w:fill="E6E6E6"/>
          </w:tcPr>
          <w:p>
            <w:pPr>
              <w:spacing w:after="0"/>
              <w:rPr>
                <w:sz w:val="20"/>
                <w:szCs w:val="20"/>
                <w:color w:val="auto"/>
              </w:rPr>
            </w:pPr>
          </w:p>
        </w:tc>
        <w:tc>
          <w:tcPr>
            <w:tcW w:w="360" w:type="dxa"/>
            <w:vAlign w:val="bottom"/>
            <w:tcBorders>
              <w:bottom w:val="single" w:sz="8" w:color="auto"/>
            </w:tcBorders>
            <w:shd w:val="clear" w:color="auto" w:fill="E6E6E6"/>
          </w:tcPr>
          <w:p>
            <w:pPr>
              <w:spacing w:after="0"/>
              <w:rPr>
                <w:sz w:val="20"/>
                <w:szCs w:val="20"/>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(1,892)</w:t>
            </w:r>
          </w:p>
        </w:tc>
        <w:tc>
          <w:tcPr>
            <w:tcW w:w="0" w:type="dxa"/>
            <w:vAlign w:val="bottom"/>
          </w:tcPr>
          <w:p>
            <w:pPr>
              <w:spacing w:after="0"/>
              <w:rPr>
                <w:sz w:val="1"/>
                <w:szCs w:val="1"/>
                <w:color w:val="auto"/>
              </w:rPr>
            </w:pPr>
          </w:p>
        </w:tc>
      </w:tr>
      <w:tr>
        <w:trPr>
          <w:trHeight w:val="203"/>
        </w:trPr>
        <w:tc>
          <w:tcPr>
            <w:tcW w:w="6400" w:type="dxa"/>
            <w:vAlign w:val="bottom"/>
          </w:tcPr>
          <w:p>
            <w:pPr>
              <w:ind w:left="6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(2,865)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2,612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(1,087)</w:t>
            </w:r>
          </w:p>
        </w:tc>
        <w:tc>
          <w:tcPr>
            <w:tcW w:w="0" w:type="dxa"/>
            <w:vAlign w:val="bottom"/>
          </w:tcPr>
          <w:p>
            <w:pPr>
              <w:spacing w:after="0"/>
              <w:rPr>
                <w:sz w:val="1"/>
                <w:szCs w:val="1"/>
                <w:color w:val="auto"/>
              </w:rPr>
            </w:pPr>
          </w:p>
        </w:tc>
      </w:tr>
      <w:tr>
        <w:trPr>
          <w:trHeight w:val="243"/>
        </w:trPr>
        <w:tc>
          <w:tcPr>
            <w:tcW w:w="64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Cash, cash equivalents and restricted cash at beginning of year</w:t>
            </w:r>
          </w:p>
        </w:tc>
        <w:tc>
          <w:tcPr>
            <w:tcW w:w="260" w:type="dxa"/>
            <w:vAlign w:val="bottom"/>
            <w:tcBorders>
              <w:bottom w:val="single" w:sz="8" w:color="auto"/>
            </w:tcBorders>
            <w:shd w:val="clear" w:color="auto" w:fill="E6E6E6"/>
          </w:tcPr>
          <w:p>
            <w:pPr>
              <w:spacing w:after="0"/>
              <w:rPr>
                <w:sz w:val="21"/>
                <w:szCs w:val="21"/>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8,946</w:t>
            </w:r>
          </w:p>
        </w:tc>
        <w:tc>
          <w:tcPr>
            <w:tcW w:w="8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auto"/>
            </w:tcBorders>
            <w:shd w:val="clear" w:color="auto" w:fill="E6E6E6"/>
          </w:tcPr>
          <w:p>
            <w:pPr>
              <w:spacing w:after="0"/>
              <w:rPr>
                <w:sz w:val="21"/>
                <w:szCs w:val="21"/>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6,334</w:t>
            </w:r>
          </w:p>
        </w:tc>
        <w:tc>
          <w:tcPr>
            <w:tcW w:w="80" w:type="dxa"/>
            <w:vAlign w:val="bottom"/>
            <w:tcBorders>
              <w:bottom w:val="single" w:sz="8" w:color="E6E6E6"/>
            </w:tcBorders>
            <w:shd w:val="clear" w:color="auto" w:fill="E6E6E6"/>
          </w:tcPr>
          <w:p>
            <w:pPr>
              <w:spacing w:after="0"/>
              <w:rPr>
                <w:sz w:val="21"/>
                <w:szCs w:val="21"/>
                <w:color w:val="auto"/>
              </w:rPr>
            </w:pPr>
          </w:p>
        </w:tc>
        <w:tc>
          <w:tcPr>
            <w:tcW w:w="360" w:type="dxa"/>
            <w:vAlign w:val="bottom"/>
            <w:tcBorders>
              <w:bottom w:val="single" w:sz="8" w:color="auto"/>
            </w:tcBorders>
            <w:shd w:val="clear" w:color="auto" w:fill="E6E6E6"/>
          </w:tcPr>
          <w:p>
            <w:pPr>
              <w:spacing w:after="0"/>
              <w:rPr>
                <w:sz w:val="21"/>
                <w:szCs w:val="21"/>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7,421</w:t>
            </w:r>
          </w:p>
        </w:tc>
        <w:tc>
          <w:tcPr>
            <w:tcW w:w="0" w:type="dxa"/>
            <w:vAlign w:val="bottom"/>
          </w:tcPr>
          <w:p>
            <w:pPr>
              <w:spacing w:after="0"/>
              <w:rPr>
                <w:sz w:val="1"/>
                <w:szCs w:val="1"/>
                <w:color w:val="auto"/>
              </w:rPr>
            </w:pPr>
          </w:p>
        </w:tc>
      </w:tr>
      <w:tr>
        <w:trPr>
          <w:trHeight w:val="173"/>
        </w:trPr>
        <w:tc>
          <w:tcPr>
            <w:tcW w:w="6400" w:type="dxa"/>
            <w:vAlign w:val="bottom"/>
          </w:tcPr>
          <w:p>
            <w:pPr>
              <w:ind w:left="60"/>
              <w:spacing w:after="0" w:line="173" w:lineRule="exact"/>
              <w:rPr>
                <w:sz w:val="20"/>
                <w:szCs w:val="20"/>
                <w:color w:val="auto"/>
              </w:rPr>
            </w:pPr>
            <w:r>
              <w:rPr>
                <w:rFonts w:ascii="Arial" w:cs="Arial" w:eastAsia="Arial" w:hAnsi="Arial"/>
                <w:sz w:val="17"/>
                <w:szCs w:val="17"/>
                <w:color w:val="auto"/>
              </w:rPr>
              <w:t>Cash, cash equivalents and restricted cash at end of year</w:t>
            </w:r>
          </w:p>
        </w:tc>
        <w:tc>
          <w:tcPr>
            <w:tcW w:w="260" w:type="dxa"/>
            <w:vAlign w:val="bottom"/>
            <w:tcBorders>
              <w:bottom w:val="single" w:sz="8" w:color="auto"/>
            </w:tcBorders>
          </w:tcPr>
          <w:p>
            <w:pPr>
              <w:jc w:val="right"/>
              <w:ind w:right="33"/>
              <w:spacing w:after="0" w:line="17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6,081</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33"/>
              <w:spacing w:after="0" w:line="17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8,946</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133"/>
              <w:spacing w:after="0" w:line="17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6,334</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60"/>
              <w:spacing w:after="0"/>
              <w:rPr>
                <w:sz w:val="20"/>
                <w:szCs w:val="20"/>
                <w:color w:val="auto"/>
              </w:rPr>
            </w:pPr>
            <w:r>
              <w:rPr>
                <w:rFonts w:ascii="Arial" w:cs="Arial" w:eastAsia="Arial" w:hAnsi="Arial"/>
                <w:sz w:val="17"/>
                <w:szCs w:val="17"/>
                <w:color w:val="auto"/>
              </w:rPr>
              <w:t>Investing and Financing Activities Not Affecting Cash:</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4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Right-of-use assets acquired or modified through operating leases</w:t>
            </w:r>
          </w:p>
        </w:tc>
        <w:tc>
          <w:tcPr>
            <w:tcW w:w="2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1,901</w:t>
            </w:r>
          </w:p>
        </w:tc>
        <w:tc>
          <w:tcPr>
            <w:tcW w:w="340" w:type="dxa"/>
            <w:vAlign w:val="bottom"/>
            <w:gridSpan w:val="2"/>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625</w:t>
            </w:r>
          </w:p>
        </w:tc>
        <w:tc>
          <w:tcPr>
            <w:tcW w:w="440" w:type="dxa"/>
            <w:vAlign w:val="bottom"/>
            <w:gridSpan w:val="2"/>
            <w:shd w:val="clear" w:color="auto" w:fill="E6E6E6"/>
          </w:tcPr>
          <w:p>
            <w:pPr>
              <w:jc w:val="right"/>
              <w:ind w:right="133"/>
              <w:spacing w:after="0"/>
              <w:rPr>
                <w:sz w:val="20"/>
                <w:szCs w:val="20"/>
                <w:color w:val="auto"/>
              </w:rPr>
            </w:pPr>
            <w:r>
              <w:rPr>
                <w:rFonts w:ascii="Arial" w:cs="Arial" w:eastAsia="Arial" w:hAnsi="Arial"/>
                <w:sz w:val="17"/>
                <w:szCs w:val="17"/>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761</w:t>
            </w:r>
          </w:p>
        </w:tc>
        <w:tc>
          <w:tcPr>
            <w:tcW w:w="0" w:type="dxa"/>
            <w:vAlign w:val="bottom"/>
          </w:tcPr>
          <w:p>
            <w:pPr>
              <w:spacing w:after="0"/>
              <w:rPr>
                <w:sz w:val="1"/>
                <w:szCs w:val="1"/>
                <w:color w:val="auto"/>
              </w:rPr>
            </w:pPr>
          </w:p>
        </w:tc>
      </w:tr>
      <w:tr>
        <w:trPr>
          <w:trHeight w:val="174"/>
        </w:trPr>
        <w:tc>
          <w:tcPr>
            <w:tcW w:w="6400" w:type="dxa"/>
            <w:vAlign w:val="bottom"/>
          </w:tcPr>
          <w:p>
            <w:pPr>
              <w:ind w:left="280"/>
              <w:spacing w:after="0" w:line="175" w:lineRule="exact"/>
              <w:rPr>
                <w:sz w:val="20"/>
                <w:szCs w:val="20"/>
                <w:color w:val="auto"/>
              </w:rPr>
            </w:pPr>
            <w:r>
              <w:rPr>
                <w:rFonts w:ascii="Arial" w:cs="Arial" w:eastAsia="Arial" w:hAnsi="Arial"/>
                <w:sz w:val="17"/>
                <w:szCs w:val="17"/>
                <w:color w:val="auto"/>
                <w:w w:val="93"/>
              </w:rPr>
              <w:t>Property and equipment acquired through the issuance or modification of debt, finance</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409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819</w:t>
            </w:r>
          </w:p>
        </w:tc>
        <w:tc>
          <w:tcPr>
            <w:tcW w:w="0" w:type="dxa"/>
            <w:vAlign w:val="bottom"/>
          </w:tcPr>
          <w:p>
            <w:pPr>
              <w:spacing w:after="0"/>
              <w:rPr>
                <w:sz w:val="1"/>
                <w:szCs w:val="1"/>
                <w:color w:val="auto"/>
              </w:rPr>
            </w:pPr>
          </w:p>
        </w:tc>
      </w:tr>
      <w:tr>
        <w:trPr>
          <w:trHeight w:val="239"/>
        </w:trPr>
        <w:tc>
          <w:tcPr>
            <w:tcW w:w="6400" w:type="dxa"/>
            <w:vAlign w:val="bottom"/>
          </w:tcPr>
          <w:p>
            <w:pPr>
              <w:ind w:left="280"/>
              <w:spacing w:after="0"/>
              <w:rPr>
                <w:sz w:val="20"/>
                <w:szCs w:val="20"/>
                <w:color w:val="auto"/>
              </w:rPr>
            </w:pPr>
            <w:r>
              <w:rPr>
                <w:rFonts w:ascii="Arial" w:cs="Arial" w:eastAsia="Arial" w:hAnsi="Arial"/>
                <w:sz w:val="17"/>
                <w:szCs w:val="17"/>
                <w:color w:val="auto"/>
              </w:rPr>
              <w:t>leases and other financial liabilities</w:t>
            </w:r>
          </w:p>
        </w:tc>
        <w:tc>
          <w:tcPr>
            <w:tcW w:w="2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Operating leases converted to finance leases</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417</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239</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30"/>
        </w:trPr>
        <w:tc>
          <w:tcPr>
            <w:tcW w:w="6400" w:type="dxa"/>
            <w:vAlign w:val="bottom"/>
          </w:tcPr>
          <w:p>
            <w:pPr>
              <w:ind w:left="280"/>
              <w:spacing w:after="0"/>
              <w:rPr>
                <w:sz w:val="20"/>
                <w:szCs w:val="20"/>
                <w:color w:val="auto"/>
              </w:rPr>
            </w:pPr>
            <w:r>
              <w:rPr>
                <w:rFonts w:ascii="Arial" w:cs="Arial" w:eastAsia="Arial" w:hAnsi="Arial"/>
                <w:sz w:val="17"/>
                <w:szCs w:val="17"/>
                <w:color w:val="auto"/>
              </w:rPr>
              <w:t>Investment interests received in exchange for loans, goods and services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476"/>
        </w:trPr>
        <w:tc>
          <w:tcPr>
            <w:tcW w:w="6400" w:type="dxa"/>
            <w:vAlign w:val="bottom"/>
          </w:tcPr>
          <w:p>
            <w:pPr>
              <w:ind w:left="60"/>
              <w:spacing w:after="0"/>
              <w:rPr>
                <w:sz w:val="20"/>
                <w:szCs w:val="20"/>
                <w:color w:val="auto"/>
              </w:rPr>
            </w:pPr>
            <w:r>
              <w:rPr>
                <w:rFonts w:ascii="Arial" w:cs="Arial" w:eastAsia="Arial" w:hAnsi="Arial"/>
                <w:sz w:val="17"/>
                <w:szCs w:val="17"/>
                <w:color w:val="auto"/>
              </w:rPr>
              <w:t>Cash Paid During the Period for:</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4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Interest</w:t>
            </w:r>
          </w:p>
        </w:tc>
        <w:tc>
          <w:tcPr>
            <w:tcW w:w="2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1,330</w:t>
            </w:r>
          </w:p>
        </w:tc>
        <w:tc>
          <w:tcPr>
            <w:tcW w:w="340" w:type="dxa"/>
            <w:vAlign w:val="bottom"/>
            <w:gridSpan w:val="2"/>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1,494</w:t>
            </w:r>
          </w:p>
        </w:tc>
        <w:tc>
          <w:tcPr>
            <w:tcW w:w="440" w:type="dxa"/>
            <w:vAlign w:val="bottom"/>
            <w:gridSpan w:val="2"/>
            <w:shd w:val="clear" w:color="auto" w:fill="E6E6E6"/>
          </w:tcPr>
          <w:p>
            <w:pPr>
              <w:jc w:val="right"/>
              <w:ind w:right="133"/>
              <w:spacing w:after="0"/>
              <w:rPr>
                <w:sz w:val="20"/>
                <w:szCs w:val="20"/>
                <w:color w:val="auto"/>
              </w:rPr>
            </w:pPr>
            <w:r>
              <w:rPr>
                <w:rFonts w:ascii="Arial" w:cs="Arial" w:eastAsia="Arial" w:hAnsi="Arial"/>
                <w:sz w:val="17"/>
                <w:szCs w:val="17"/>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1,848</w:t>
            </w:r>
          </w:p>
        </w:tc>
        <w:tc>
          <w:tcPr>
            <w:tcW w:w="0" w:type="dxa"/>
            <w:vAlign w:val="bottom"/>
          </w:tcPr>
          <w:p>
            <w:pPr>
              <w:spacing w:after="0"/>
              <w:rPr>
                <w:sz w:val="1"/>
                <w:szCs w:val="1"/>
                <w:color w:val="auto"/>
              </w:rPr>
            </w:pPr>
          </w:p>
        </w:tc>
      </w:tr>
      <w:tr>
        <w:trPr>
          <w:trHeight w:val="228"/>
        </w:trPr>
        <w:tc>
          <w:tcPr>
            <w:tcW w:w="6400" w:type="dxa"/>
            <w:vAlign w:val="bottom"/>
          </w:tcPr>
          <w:p>
            <w:pPr>
              <w:ind w:left="280"/>
              <w:spacing w:after="0"/>
              <w:rPr>
                <w:sz w:val="20"/>
                <w:szCs w:val="20"/>
                <w:color w:val="auto"/>
              </w:rPr>
            </w:pPr>
            <w:r>
              <w:rPr>
                <w:rFonts w:ascii="Arial" w:cs="Arial" w:eastAsia="Arial" w:hAnsi="Arial"/>
                <w:sz w:val="17"/>
                <w:szCs w:val="17"/>
                <w:color w:val="auto"/>
              </w:rPr>
              <w:t>Income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-4093210</wp:posOffset>
            </wp:positionV>
            <wp:extent cx="225234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9">
                      <a:extLst>
                        <a:ext uri="{28A0092B-C50C-407E-A947-70E740481C1C}"/>
                      </a:extLst>
                    </a:blip>
                    <a:srcRect/>
                    <a:stretch>
                      <a:fillRect/>
                    </a:stretch>
                  </pic:blipFill>
                  <pic:spPr bwMode="auto">
                    <a:xfrm>
                      <a:off x="0" y="0"/>
                      <a:ext cx="2252345" cy="2540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-3945890</wp:posOffset>
            </wp:positionV>
            <wp:extent cx="225234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0">
                      <a:extLst>
                        <a:ext uri="{28A0092B-C50C-407E-A947-70E740481C1C}"/>
                      </a:extLst>
                    </a:blip>
                    <a:srcRect/>
                    <a:stretch>
                      <a:fillRect/>
                    </a:stretch>
                  </pic:blipFill>
                  <pic:spPr bwMode="auto">
                    <a:xfrm>
                      <a:off x="0" y="0"/>
                      <a:ext cx="2252345" cy="2540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-3058160</wp:posOffset>
            </wp:positionV>
            <wp:extent cx="225234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1">
                      <a:extLst>
                        <a:ext uri="{28A0092B-C50C-407E-A947-70E740481C1C}"/>
                      </a:extLst>
                    </a:blip>
                    <a:srcRect/>
                    <a:stretch>
                      <a:fillRect/>
                    </a:stretch>
                  </pic:blipFill>
                  <pic:spPr bwMode="auto">
                    <a:xfrm>
                      <a:off x="0" y="0"/>
                      <a:ext cx="2252345" cy="2540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-2910840</wp:posOffset>
            </wp:positionV>
            <wp:extent cx="225234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2">
                      <a:extLst>
                        <a:ext uri="{28A0092B-C50C-407E-A947-70E740481C1C}"/>
                      </a:extLst>
                    </a:blip>
                    <a:srcRect/>
                    <a:stretch>
                      <a:fillRect/>
                    </a:stretch>
                  </pic:blipFill>
                  <pic:spPr bwMode="auto">
                    <a:xfrm>
                      <a:off x="0" y="0"/>
                      <a:ext cx="2252345" cy="2540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-2162175</wp:posOffset>
            </wp:positionV>
            <wp:extent cx="225234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3">
                      <a:extLst>
                        <a:ext uri="{28A0092B-C50C-407E-A947-70E740481C1C}"/>
                      </a:extLst>
                    </a:blip>
                    <a:srcRect/>
                    <a:stretch>
                      <a:fillRect/>
                    </a:stretch>
                  </pic:blipFill>
                  <pic:spPr bwMode="auto">
                    <a:xfrm>
                      <a:off x="0" y="0"/>
                      <a:ext cx="2252345" cy="2540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-2014220</wp:posOffset>
            </wp:positionV>
            <wp:extent cx="225234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4">
                      <a:extLst>
                        <a:ext uri="{28A0092B-C50C-407E-A947-70E740481C1C}"/>
                      </a:extLst>
                    </a:blip>
                    <a:srcRect/>
                    <a:stretch>
                      <a:fillRect/>
                    </a:stretch>
                  </pic:blipFill>
                  <pic:spPr bwMode="auto">
                    <a:xfrm>
                      <a:off x="0" y="0"/>
                      <a:ext cx="2252345" cy="2540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-1718310</wp:posOffset>
            </wp:positionV>
            <wp:extent cx="225234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5">
                      <a:extLst>
                        <a:ext uri="{28A0092B-C50C-407E-A947-70E740481C1C}"/>
                      </a:extLst>
                    </a:blip>
                    <a:srcRect/>
                    <a:stretch>
                      <a:fillRect/>
                    </a:stretch>
                  </pic:blipFill>
                  <pic:spPr bwMode="auto">
                    <a:xfrm>
                      <a:off x="0" y="0"/>
                      <a:ext cx="225234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The accompanying Combined Notes to Consolidated Financial Statements are an integral part of these statements.</w:t>
      </w:r>
    </w:p>
    <w:p>
      <w:pPr>
        <w:sectPr>
          <w:pgSz w:w="11880" w:h="15480" w:orient="portrait"/>
          <w:cols w:equalWidth="0" w:num="1">
            <w:col w:w="9920"/>
          </w:cols>
          <w:pgMar w:left="960" w:top="579"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9920"/>
          </w:cols>
          <w:pgMar w:left="960" w:top="579" w:right="1000" w:bottom="33" w:gutter="0" w:footer="0" w:header="0"/>
          <w:type w:val="continuous"/>
        </w:sectPr>
      </w:pPr>
    </w:p>
    <w:bookmarkStart w:id="61" w:name="page62"/>
    <w:bookmarkEnd w:id="61"/>
    <w:p>
      <w:pPr>
        <w:jc w:val="center"/>
        <w:ind w:left="1040" w:right="2000"/>
        <w:spacing w:after="0" w:line="289" w:lineRule="auto"/>
        <w:rPr>
          <w:sz w:val="20"/>
          <w:szCs w:val="20"/>
          <w:color w:val="auto"/>
        </w:rPr>
      </w:pPr>
      <w:r>
        <w:rPr>
          <w:rFonts w:ascii="Arial" w:cs="Arial" w:eastAsia="Arial" w:hAnsi="Arial"/>
          <w:sz w:val="19"/>
          <w:szCs w:val="19"/>
          <w:b w:val="1"/>
          <w:bCs w:val="1"/>
          <w:color w:val="auto"/>
        </w:rPr>
        <w:t>UNITED AIRLINES HOLDINGS, INC. STATEMENTS OF CONSOLIDATED STOCKHOLDERS' EQUITY (In millions)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080" w:type="dxa"/>
            <w:vAlign w:val="bottom"/>
            <w:gridSpan w:val="4"/>
            <w:vMerge w:val="restart"/>
          </w:tcPr>
          <w:p>
            <w:pPr>
              <w:jc w:val="right"/>
              <w:ind w:right="2"/>
              <w:spacing w:after="0"/>
              <w:rPr>
                <w:sz w:val="20"/>
                <w:szCs w:val="20"/>
                <w:color w:val="auto"/>
              </w:rPr>
            </w:pPr>
            <w:r>
              <w:rPr>
                <w:rFonts w:ascii="Arial" w:cs="Arial" w:eastAsia="Arial" w:hAnsi="Arial"/>
                <w:sz w:val="16"/>
                <w:szCs w:val="16"/>
                <w:b w:val="1"/>
                <w:bCs w:val="1"/>
                <w:color w:val="auto"/>
              </w:rPr>
              <w:t>Common</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Arial" w:cs="Arial" w:eastAsia="Arial" w:hAnsi="Arial"/>
                <w:sz w:val="16"/>
                <w:szCs w:val="16"/>
                <w:b w:val="1"/>
                <w:bCs w:val="1"/>
                <w:color w:val="auto"/>
                <w:w w:val="87"/>
              </w:rPr>
              <w:t>Accumulated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gridSpan w:val="2"/>
            <w:vMerge w:val="restart"/>
          </w:tcPr>
          <w:p>
            <w:pPr>
              <w:jc w:val="center"/>
              <w:spacing w:after="0" w:line="155" w:lineRule="exact"/>
              <w:rPr>
                <w:sz w:val="20"/>
                <w:szCs w:val="20"/>
                <w:color w:val="auto"/>
              </w:rPr>
            </w:pPr>
            <w:r>
              <w:rPr>
                <w:rFonts w:ascii="Arial" w:cs="Arial" w:eastAsia="Arial" w:hAnsi="Arial"/>
                <w:sz w:val="16"/>
                <w:szCs w:val="16"/>
                <w:b w:val="1"/>
                <w:bCs w:val="1"/>
                <w:color w:val="auto"/>
                <w:w w:val="89"/>
              </w:rPr>
              <w:t>Additional</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ind w:right="62"/>
              <w:spacing w:after="0" w:line="155" w:lineRule="exact"/>
              <w:rPr>
                <w:sz w:val="20"/>
                <w:szCs w:val="20"/>
                <w:color w:val="auto"/>
              </w:rPr>
            </w:pPr>
            <w:r>
              <w:rPr>
                <w:rFonts w:ascii="Arial" w:cs="Arial" w:eastAsia="Arial" w:hAnsi="Arial"/>
                <w:sz w:val="16"/>
                <w:szCs w:val="16"/>
                <w:b w:val="1"/>
                <w:bCs w:val="1"/>
                <w:color w:val="auto"/>
                <w:w w:val="93"/>
              </w:rPr>
              <w:t>Other</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1080" w:type="dxa"/>
            <w:vAlign w:val="bottom"/>
            <w:gridSpan w:val="4"/>
            <w:vMerge w:val="restart"/>
          </w:tcPr>
          <w:p>
            <w:pPr>
              <w:jc w:val="right"/>
              <w:ind w:right="122"/>
              <w:spacing w:after="0"/>
              <w:rPr>
                <w:sz w:val="20"/>
                <w:szCs w:val="20"/>
                <w:color w:val="auto"/>
              </w:rPr>
            </w:pPr>
            <w:r>
              <w:rPr>
                <w:rFonts w:ascii="Arial" w:cs="Arial" w:eastAsia="Arial" w:hAnsi="Arial"/>
                <w:sz w:val="16"/>
                <w:szCs w:val="16"/>
                <w:b w:val="1"/>
                <w:bCs w:val="1"/>
                <w:color w:val="auto"/>
              </w:rPr>
              <w:t>Stock</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560" w:type="dxa"/>
            <w:vAlign w:val="bottom"/>
          </w:tcPr>
          <w:p>
            <w:pPr>
              <w:spacing w:after="0"/>
              <w:rPr>
                <w:sz w:val="11"/>
                <w:szCs w:val="11"/>
                <w:color w:val="auto"/>
              </w:rPr>
            </w:pPr>
          </w:p>
        </w:tc>
        <w:tc>
          <w:tcPr>
            <w:tcW w:w="1080" w:type="dxa"/>
            <w:vAlign w:val="bottom"/>
            <w:tcBorders>
              <w:bottom w:val="single" w:sz="8" w:color="auto"/>
            </w:tcBorders>
            <w:gridSpan w:val="4"/>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63"/>
              <w:spacing w:after="0" w:line="130"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right"/>
              <w:ind w:right="2"/>
              <w:spacing w:after="0" w:line="130" w:lineRule="exact"/>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43"/>
              <w:spacing w:after="0" w:line="130"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8"/>
              </w:rPr>
              <w:t>Comprehensive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560" w:type="dxa"/>
            <w:vAlign w:val="bottom"/>
            <w:tcBorders>
              <w:bottom w:val="single" w:sz="8" w:color="E6E6E6"/>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Shares</w:t>
            </w: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w w:val="95"/>
              </w:rPr>
              <w:t>Amount</w:t>
            </w: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83"/>
              <w:spacing w:after="0"/>
              <w:rPr>
                <w:sz w:val="20"/>
                <w:szCs w:val="20"/>
                <w:color w:val="auto"/>
              </w:rPr>
            </w:pPr>
            <w:r>
              <w:rPr>
                <w:rFonts w:ascii="Arial" w:cs="Arial" w:eastAsia="Arial" w:hAnsi="Arial"/>
                <w:sz w:val="16"/>
                <w:szCs w:val="16"/>
                <w:b w:val="1"/>
                <w:bCs w:val="1"/>
                <w:color w:val="auto"/>
                <w:w w:val="86"/>
              </w:rPr>
              <w:t>Invested</w:t>
            </w: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7"/>
              </w:rPr>
              <w:t>Stock</w:t>
            </w: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w w:val="90"/>
              </w:rPr>
              <w:t>Earnings</w:t>
            </w: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4"/>
              </w:rPr>
              <w:t>Income (Loss)</w:t>
            </w: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27"/>
        </w:trPr>
        <w:tc>
          <w:tcPr>
            <w:tcW w:w="3560" w:type="dxa"/>
            <w:vAlign w:val="bottom"/>
            <w:shd w:val="clear" w:color="auto" w:fill="E6E6E6"/>
          </w:tcPr>
          <w:p>
            <w:pPr>
              <w:ind w:left="60"/>
              <w:spacing w:after="0"/>
              <w:rPr>
                <w:sz w:val="20"/>
                <w:szCs w:val="20"/>
                <w:color w:val="auto"/>
              </w:rPr>
            </w:pPr>
            <w:r>
              <w:rPr>
                <w:rFonts w:ascii="Arial" w:cs="Arial" w:eastAsia="Arial" w:hAnsi="Arial"/>
                <w:sz w:val="16"/>
                <w:szCs w:val="16"/>
                <w:color w:val="auto"/>
              </w:rPr>
              <w:t>Balance at December 31, 2022</w:t>
            </w: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326.9</w:t>
            </w:r>
          </w:p>
        </w:tc>
        <w:tc>
          <w:tcPr>
            <w:tcW w:w="480" w:type="dxa"/>
            <w:vAlign w:val="bottom"/>
            <w:gridSpan w:val="3"/>
            <w:shd w:val="clear" w:color="auto" w:fill="E6E6E6"/>
          </w:tcPr>
          <w:p>
            <w:pPr>
              <w:jc w:val="right"/>
              <w:ind w:right="202"/>
              <w:spacing w:after="0"/>
              <w:rPr>
                <w:sz w:val="20"/>
                <w:szCs w:val="20"/>
                <w:color w:val="auto"/>
              </w:rPr>
            </w:pPr>
            <w:r>
              <w:rPr>
                <w:rFonts w:ascii="Arial" w:cs="Arial" w:eastAsia="Arial" w:hAnsi="Arial"/>
                <w:sz w:val="16"/>
                <w:szCs w:val="16"/>
                <w:color w:val="auto"/>
              </w:rPr>
              <w:t>$</w:t>
            </w:r>
          </w:p>
        </w:tc>
        <w:tc>
          <w:tcPr>
            <w:tcW w:w="3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22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8,986</w:t>
            </w:r>
          </w:p>
        </w:tc>
        <w:tc>
          <w:tcPr>
            <w:tcW w:w="24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(3,534)</w:t>
            </w:r>
          </w:p>
        </w:tc>
        <w:tc>
          <w:tcPr>
            <w:tcW w:w="26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1,265</w:t>
            </w:r>
          </w:p>
        </w:tc>
        <w:tc>
          <w:tcPr>
            <w:tcW w:w="22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175</w:t>
            </w:r>
          </w:p>
        </w:tc>
        <w:tc>
          <w:tcPr>
            <w:tcW w:w="20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6,896</w:t>
            </w:r>
          </w:p>
        </w:tc>
        <w:tc>
          <w:tcPr>
            <w:tcW w:w="0" w:type="dxa"/>
            <w:vAlign w:val="bottom"/>
          </w:tcPr>
          <w:p>
            <w:pPr>
              <w:spacing w:after="0"/>
              <w:rPr>
                <w:sz w:val="1"/>
                <w:szCs w:val="1"/>
                <w:color w:val="auto"/>
              </w:rPr>
            </w:pPr>
          </w:p>
        </w:tc>
      </w:tr>
      <w:tr>
        <w:trPr>
          <w:trHeight w:val="230"/>
        </w:trPr>
        <w:tc>
          <w:tcPr>
            <w:tcW w:w="3560" w:type="dxa"/>
            <w:vAlign w:val="bottom"/>
            <w:tcBorders>
              <w:top w:val="single" w:sz="8" w:color="E6E6E6"/>
            </w:tcBorders>
          </w:tcPr>
          <w:p>
            <w:pPr>
              <w:ind w:left="280"/>
              <w:spacing w:after="0"/>
              <w:rPr>
                <w:sz w:val="20"/>
                <w:szCs w:val="20"/>
                <w:color w:val="auto"/>
              </w:rPr>
            </w:pPr>
            <w:r>
              <w:rPr>
                <w:rFonts w:ascii="Arial" w:cs="Arial" w:eastAsia="Arial" w:hAnsi="Arial"/>
                <w:sz w:val="16"/>
                <w:szCs w:val="16"/>
                <w:color w:val="auto"/>
              </w:rPr>
              <w:t>Net income</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E6E6E6"/>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E6E6E6"/>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E6E6E6"/>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E6E6E6"/>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2,618</w:t>
            </w:r>
          </w:p>
        </w:tc>
        <w:tc>
          <w:tcPr>
            <w:tcW w:w="80" w:type="dxa"/>
            <w:vAlign w:val="bottom"/>
            <w:tcBorders>
              <w:top w:val="single" w:sz="8" w:color="E6E6E6"/>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E6E6E6"/>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2,618</w:t>
            </w:r>
          </w:p>
        </w:tc>
        <w:tc>
          <w:tcPr>
            <w:tcW w:w="0" w:type="dxa"/>
            <w:vAlign w:val="bottom"/>
          </w:tcPr>
          <w:p>
            <w:pPr>
              <w:spacing w:after="0"/>
              <w:rPr>
                <w:sz w:val="1"/>
                <w:szCs w:val="1"/>
                <w:color w:val="auto"/>
              </w:rPr>
            </w:pPr>
          </w:p>
        </w:tc>
      </w:tr>
      <w:tr>
        <w:trPr>
          <w:trHeight w:val="256"/>
        </w:trPr>
        <w:tc>
          <w:tcPr>
            <w:tcW w:w="3560" w:type="dxa"/>
            <w:vAlign w:val="bottom"/>
            <w:shd w:val="clear" w:color="auto" w:fill="E6E6E6"/>
          </w:tcPr>
          <w:p>
            <w:pPr>
              <w:ind w:left="280"/>
              <w:spacing w:after="0"/>
              <w:rPr>
                <w:sz w:val="20"/>
                <w:szCs w:val="20"/>
                <w:color w:val="auto"/>
              </w:rPr>
            </w:pPr>
            <w:r>
              <w:rPr>
                <w:rFonts w:ascii="Arial" w:cs="Arial" w:eastAsia="Arial" w:hAnsi="Arial"/>
                <w:sz w:val="16"/>
                <w:szCs w:val="16"/>
                <w:color w:val="auto"/>
              </w:rPr>
              <w:t>Other comprehensive loss</w:t>
            </w: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3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(237)</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39"/>
        </w:trPr>
        <w:tc>
          <w:tcPr>
            <w:tcW w:w="3560" w:type="dxa"/>
            <w:vAlign w:val="bottom"/>
          </w:tcPr>
          <w:p>
            <w:pPr>
              <w:ind w:left="280"/>
              <w:spacing w:after="0"/>
              <w:rPr>
                <w:sz w:val="20"/>
                <w:szCs w:val="20"/>
                <w:color w:val="auto"/>
              </w:rPr>
            </w:pPr>
            <w:r>
              <w:rPr>
                <w:rFonts w:ascii="Arial" w:cs="Arial" w:eastAsia="Arial" w:hAnsi="Arial"/>
                <w:sz w:val="16"/>
                <w:szCs w:val="16"/>
                <w:color w:val="auto"/>
              </w:rPr>
              <w:t>Stock-settled share-based compensation</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41"/>
        </w:trPr>
        <w:tc>
          <w:tcPr>
            <w:tcW w:w="3560" w:type="dxa"/>
            <w:vAlign w:val="bottom"/>
            <w:shd w:val="clear" w:color="auto" w:fill="E6E6E6"/>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80" w:type="dxa"/>
            <w:vAlign w:val="bottom"/>
            <w:shd w:val="clear" w:color="auto" w:fill="E6E6E6"/>
          </w:tcPr>
          <w:p>
            <w:pPr>
              <w:spacing w:after="0"/>
              <w:rPr>
                <w:sz w:val="20"/>
                <w:szCs w:val="20"/>
                <w:color w:val="auto"/>
              </w:rPr>
            </w:pPr>
          </w:p>
        </w:tc>
        <w:tc>
          <w:tcPr>
            <w:tcW w:w="3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5"/>
        </w:trPr>
        <w:tc>
          <w:tcPr>
            <w:tcW w:w="3560" w:type="dxa"/>
            <w:vAlign w:val="bottom"/>
          </w:tcPr>
          <w:p>
            <w:pPr>
              <w:ind w:left="280"/>
              <w:spacing w:after="0" w:line="175" w:lineRule="exact"/>
              <w:rPr>
                <w:sz w:val="20"/>
                <w:szCs w:val="20"/>
                <w:color w:val="auto"/>
              </w:rPr>
            </w:pPr>
            <w:r>
              <w:rPr>
                <w:rFonts w:ascii="Arial" w:cs="Arial" w:eastAsia="Arial" w:hAnsi="Arial"/>
                <w:sz w:val="16"/>
                <w:szCs w:val="16"/>
                <w:color w:val="auto"/>
                <w:w w:val="89"/>
              </w:rPr>
              <w:t>Stock issued for share-based awards, net of shares</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7"/>
        </w:trPr>
        <w:tc>
          <w:tcPr>
            <w:tcW w:w="3560" w:type="dxa"/>
            <w:vAlign w:val="bottom"/>
            <w:tcBorders>
              <w:bottom w:val="single" w:sz="8" w:color="E6E6E6"/>
            </w:tcBorders>
          </w:tcPr>
          <w:p>
            <w:pPr>
              <w:ind w:left="280"/>
              <w:spacing w:after="0"/>
              <w:rPr>
                <w:sz w:val="20"/>
                <w:szCs w:val="20"/>
                <w:color w:val="auto"/>
              </w:rPr>
            </w:pPr>
            <w:r>
              <w:rPr>
                <w:rFonts w:ascii="Arial" w:cs="Arial" w:eastAsia="Arial" w:hAnsi="Arial"/>
                <w:sz w:val="16"/>
                <w:szCs w:val="16"/>
                <w:color w:val="auto"/>
              </w:rPr>
              <w:t>withheld for tax</w:t>
            </w: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6"/>
                <w:szCs w:val="16"/>
                <w:color w:val="auto"/>
              </w:rPr>
              <w:t>Balance at December 31, 2023</w:t>
            </w:r>
          </w:p>
        </w:tc>
        <w:tc>
          <w:tcPr>
            <w:tcW w:w="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328</w:t>
            </w:r>
          </w:p>
        </w:tc>
        <w:tc>
          <w:tcPr>
            <w:tcW w:w="8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380" w:type="dxa"/>
            <w:vAlign w:val="bottom"/>
            <w:tcBorders>
              <w:bottom w:val="single" w:sz="8" w:color="auto"/>
            </w:tcBorders>
            <w:shd w:val="clear" w:color="auto" w:fill="E6E6E6"/>
          </w:tcPr>
          <w:p>
            <w:pPr>
              <w:spacing w:after="0"/>
              <w:rPr>
                <w:sz w:val="19"/>
                <w:szCs w:val="19"/>
                <w:color w:val="auto"/>
              </w:rPr>
            </w:pPr>
          </w:p>
        </w:tc>
        <w:tc>
          <w:tcPr>
            <w:tcW w:w="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8,992</w:t>
            </w:r>
          </w:p>
        </w:tc>
        <w:tc>
          <w:tcPr>
            <w:tcW w:w="8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(3,441)</w:t>
            </w:r>
          </w:p>
        </w:tc>
        <w:tc>
          <w:tcPr>
            <w:tcW w:w="8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160" w:type="dxa"/>
            <w:vAlign w:val="bottom"/>
            <w:tcBorders>
              <w:bottom w:val="single" w:sz="8" w:color="auto"/>
            </w:tcBorders>
            <w:shd w:val="clear" w:color="auto" w:fill="E6E6E6"/>
          </w:tcPr>
          <w:p>
            <w:pPr>
              <w:spacing w:after="0"/>
              <w:rPr>
                <w:sz w:val="19"/>
                <w:szCs w:val="19"/>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3,831</w:t>
            </w:r>
          </w:p>
        </w:tc>
        <w:tc>
          <w:tcPr>
            <w:tcW w:w="8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(62)</w:t>
            </w:r>
          </w:p>
        </w:tc>
        <w:tc>
          <w:tcPr>
            <w:tcW w:w="6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9,324</w:t>
            </w:r>
          </w:p>
        </w:tc>
        <w:tc>
          <w:tcPr>
            <w:tcW w:w="0" w:type="dxa"/>
            <w:vAlign w:val="bottom"/>
          </w:tcPr>
          <w:p>
            <w:pPr>
              <w:spacing w:after="0"/>
              <w:rPr>
                <w:sz w:val="1"/>
                <w:szCs w:val="1"/>
                <w:color w:val="auto"/>
              </w:rPr>
            </w:pPr>
          </w:p>
        </w:tc>
      </w:tr>
      <w:tr>
        <w:trPr>
          <w:trHeight w:val="230"/>
        </w:trPr>
        <w:tc>
          <w:tcPr>
            <w:tcW w:w="35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3,149</w:t>
            </w:r>
          </w:p>
        </w:tc>
        <w:tc>
          <w:tcPr>
            <w:tcW w:w="0" w:type="dxa"/>
            <w:vAlign w:val="bottom"/>
          </w:tcPr>
          <w:p>
            <w:pPr>
              <w:spacing w:after="0"/>
              <w:rPr>
                <w:sz w:val="1"/>
                <w:szCs w:val="1"/>
                <w:color w:val="auto"/>
              </w:rPr>
            </w:pPr>
          </w:p>
        </w:tc>
      </w:tr>
      <w:tr>
        <w:trPr>
          <w:trHeight w:val="256"/>
        </w:trPr>
        <w:tc>
          <w:tcPr>
            <w:tcW w:w="3560" w:type="dxa"/>
            <w:vAlign w:val="bottom"/>
            <w:shd w:val="clear" w:color="auto" w:fill="E6E6E6"/>
          </w:tcPr>
          <w:p>
            <w:pPr>
              <w:ind w:left="280"/>
              <w:spacing w:after="0"/>
              <w:rPr>
                <w:sz w:val="20"/>
                <w:szCs w:val="20"/>
                <w:color w:val="auto"/>
              </w:rPr>
            </w:pPr>
            <w:r>
              <w:rPr>
                <w:rFonts w:ascii="Arial" w:cs="Arial" w:eastAsia="Arial" w:hAnsi="Arial"/>
                <w:sz w:val="16"/>
                <w:szCs w:val="16"/>
                <w:color w:val="auto"/>
              </w:rPr>
              <w:t>Other comprehensive income</w:t>
            </w: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3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250</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39"/>
        </w:trPr>
        <w:tc>
          <w:tcPr>
            <w:tcW w:w="3560" w:type="dxa"/>
            <w:vAlign w:val="bottom"/>
          </w:tcPr>
          <w:p>
            <w:pPr>
              <w:ind w:left="280"/>
              <w:spacing w:after="0"/>
              <w:rPr>
                <w:sz w:val="20"/>
                <w:szCs w:val="20"/>
                <w:color w:val="auto"/>
              </w:rPr>
            </w:pPr>
            <w:r>
              <w:rPr>
                <w:rFonts w:ascii="Arial" w:cs="Arial" w:eastAsia="Arial" w:hAnsi="Arial"/>
                <w:sz w:val="16"/>
                <w:szCs w:val="16"/>
                <w:color w:val="auto"/>
              </w:rPr>
              <w:t>Stock-settled share-based compensation</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41"/>
        </w:trPr>
        <w:tc>
          <w:tcPr>
            <w:tcW w:w="3560" w:type="dxa"/>
            <w:vAlign w:val="bottom"/>
            <w:shd w:val="clear" w:color="auto" w:fill="E6E6E6"/>
          </w:tcPr>
          <w:p>
            <w:pPr>
              <w:ind w:left="280"/>
              <w:spacing w:after="0"/>
              <w:rPr>
                <w:sz w:val="20"/>
                <w:szCs w:val="20"/>
                <w:color w:val="auto"/>
              </w:rPr>
            </w:pPr>
            <w:r>
              <w:rPr>
                <w:rFonts w:ascii="Arial" w:cs="Arial" w:eastAsia="Arial" w:hAnsi="Arial"/>
                <w:sz w:val="16"/>
                <w:szCs w:val="16"/>
                <w:color w:val="auto"/>
              </w:rPr>
              <w:t>Repurchase of common stock</w:t>
            </w: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80" w:type="dxa"/>
            <w:vAlign w:val="bottom"/>
            <w:shd w:val="clear" w:color="auto" w:fill="E6E6E6"/>
          </w:tcPr>
          <w:p>
            <w:pPr>
              <w:spacing w:after="0"/>
              <w:rPr>
                <w:sz w:val="20"/>
                <w:szCs w:val="20"/>
                <w:color w:val="auto"/>
              </w:rPr>
            </w:pPr>
          </w:p>
        </w:tc>
        <w:tc>
          <w:tcPr>
            <w:tcW w:w="3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(162)</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25"/>
        </w:trPr>
        <w:tc>
          <w:tcPr>
            <w:tcW w:w="3560" w:type="dxa"/>
            <w:vAlign w:val="bottom"/>
          </w:tcPr>
          <w:p>
            <w:pPr>
              <w:ind w:left="280"/>
              <w:spacing w:after="0"/>
              <w:rPr>
                <w:sz w:val="20"/>
                <w:szCs w:val="20"/>
                <w:color w:val="auto"/>
              </w:rPr>
            </w:pPr>
            <w:r>
              <w:rPr>
                <w:rFonts w:ascii="Arial" w:cs="Arial" w:eastAsia="Arial" w:hAnsi="Arial"/>
                <w:sz w:val="16"/>
                <w:szCs w:val="16"/>
                <w:color w:val="auto"/>
              </w:rPr>
              <w:t>Share issued for settlement of Warrants</w:t>
            </w: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3560" w:type="dxa"/>
            <w:vAlign w:val="bottom"/>
            <w:shd w:val="clear" w:color="auto" w:fill="E6E6E6"/>
          </w:tcPr>
          <w:p>
            <w:pPr>
              <w:ind w:left="280"/>
              <w:spacing w:after="0"/>
              <w:rPr>
                <w:sz w:val="20"/>
                <w:szCs w:val="20"/>
                <w:color w:val="auto"/>
              </w:rPr>
            </w:pPr>
            <w:r>
              <w:rPr>
                <w:rFonts w:ascii="Arial" w:cs="Arial" w:eastAsia="Arial" w:hAnsi="Arial"/>
                <w:sz w:val="16"/>
                <w:szCs w:val="16"/>
                <w:color w:val="auto"/>
                <w:w w:val="89"/>
              </w:rPr>
              <w:t>Stock issued for share-based awards, net of shares</w:t>
            </w:r>
          </w:p>
        </w:tc>
        <w:tc>
          <w:tcPr>
            <w:tcW w:w="60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380" w:type="dxa"/>
            <w:vAlign w:val="bottom"/>
            <w:shd w:val="clear" w:color="auto" w:fill="E6E6E6"/>
          </w:tcPr>
          <w:p>
            <w:pPr>
              <w:spacing w:after="0"/>
              <w:rPr>
                <w:sz w:val="15"/>
                <w:szCs w:val="15"/>
                <w:color w:val="auto"/>
              </w:rPr>
            </w:pPr>
          </w:p>
        </w:tc>
        <w:tc>
          <w:tcPr>
            <w:tcW w:w="30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60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20" w:type="dxa"/>
            <w:vAlign w:val="bottom"/>
            <w:shd w:val="clear" w:color="auto" w:fill="E6E6E6"/>
          </w:tcPr>
          <w:p>
            <w:pPr>
              <w:spacing w:after="0"/>
              <w:rPr>
                <w:sz w:val="15"/>
                <w:szCs w:val="15"/>
                <w:color w:val="auto"/>
              </w:rPr>
            </w:pPr>
          </w:p>
        </w:tc>
        <w:tc>
          <w:tcPr>
            <w:tcW w:w="110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20" w:type="dxa"/>
            <w:vAlign w:val="bottom"/>
            <w:shd w:val="clear" w:color="auto" w:fill="E6E6E6"/>
          </w:tcPr>
          <w:p>
            <w:pPr>
              <w:spacing w:after="0"/>
              <w:rPr>
                <w:sz w:val="15"/>
                <w:szCs w:val="15"/>
                <w:color w:val="auto"/>
              </w:rPr>
            </w:pPr>
          </w:p>
        </w:tc>
        <w:tc>
          <w:tcPr>
            <w:tcW w:w="5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7"/>
        </w:trPr>
        <w:tc>
          <w:tcPr>
            <w:tcW w:w="356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6"/>
                <w:szCs w:val="16"/>
                <w:color w:val="auto"/>
              </w:rPr>
              <w:t>withheld for tax</w:t>
            </w:r>
          </w:p>
        </w:tc>
        <w:tc>
          <w:tcPr>
            <w:tcW w:w="600" w:type="dxa"/>
            <w:vAlign w:val="bottom"/>
            <w:tcBorders>
              <w:bottom w:val="single" w:sz="8" w:color="auto"/>
            </w:tcBorders>
            <w:vMerge w:val="continue"/>
            <w:shd w:val="clear" w:color="auto" w:fill="E6E6E6"/>
          </w:tcPr>
          <w:p>
            <w:pPr>
              <w:spacing w:after="0"/>
              <w:rPr>
                <w:sz w:val="18"/>
                <w:szCs w:val="18"/>
                <w:color w:val="auto"/>
              </w:rPr>
            </w:pPr>
          </w:p>
        </w:tc>
        <w:tc>
          <w:tcPr>
            <w:tcW w:w="8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380" w:type="dxa"/>
            <w:vAlign w:val="bottom"/>
            <w:tcBorders>
              <w:bottom w:val="single" w:sz="8" w:color="auto"/>
            </w:tcBorders>
            <w:shd w:val="clear" w:color="auto" w:fill="E6E6E6"/>
          </w:tcPr>
          <w:p>
            <w:pPr>
              <w:spacing w:after="0"/>
              <w:rPr>
                <w:sz w:val="18"/>
                <w:szCs w:val="18"/>
                <w:color w:val="auto"/>
              </w:rPr>
            </w:pPr>
          </w:p>
        </w:tc>
        <w:tc>
          <w:tcPr>
            <w:tcW w:w="300" w:type="dxa"/>
            <w:vAlign w:val="bottom"/>
            <w:tcBorders>
              <w:bottom w:val="single" w:sz="8" w:color="auto"/>
            </w:tcBorders>
            <w:vMerge w:val="continue"/>
            <w:shd w:val="clear" w:color="auto" w:fill="E6E6E6"/>
          </w:tcPr>
          <w:p>
            <w:pPr>
              <w:spacing w:after="0"/>
              <w:rPr>
                <w:sz w:val="18"/>
                <w:szCs w:val="18"/>
                <w:color w:val="auto"/>
              </w:rPr>
            </w:pPr>
          </w:p>
        </w:tc>
        <w:tc>
          <w:tcPr>
            <w:tcW w:w="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140" w:type="dxa"/>
            <w:vAlign w:val="bottom"/>
            <w:tcBorders>
              <w:bottom w:val="single" w:sz="8" w:color="auto"/>
            </w:tcBorders>
            <w:shd w:val="clear" w:color="auto" w:fill="E6E6E6"/>
          </w:tcPr>
          <w:p>
            <w:pPr>
              <w:spacing w:after="0"/>
              <w:rPr>
                <w:sz w:val="18"/>
                <w:szCs w:val="18"/>
                <w:color w:val="auto"/>
              </w:rPr>
            </w:pPr>
          </w:p>
        </w:tc>
        <w:tc>
          <w:tcPr>
            <w:tcW w:w="720" w:type="dxa"/>
            <w:vAlign w:val="bottom"/>
            <w:tcBorders>
              <w:bottom w:val="single" w:sz="8" w:color="auto"/>
            </w:tcBorders>
            <w:vMerge w:val="continue"/>
            <w:shd w:val="clear" w:color="auto" w:fill="E6E6E6"/>
          </w:tcPr>
          <w:p>
            <w:pPr>
              <w:spacing w:after="0"/>
              <w:rPr>
                <w:sz w:val="18"/>
                <w:szCs w:val="18"/>
                <w:color w:val="auto"/>
              </w:rPr>
            </w:pPr>
          </w:p>
        </w:tc>
        <w:tc>
          <w:tcPr>
            <w:tcW w:w="8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140" w:type="dxa"/>
            <w:vAlign w:val="bottom"/>
            <w:tcBorders>
              <w:bottom w:val="single" w:sz="8" w:color="auto"/>
            </w:tcBorders>
            <w:shd w:val="clear" w:color="auto" w:fill="E6E6E6"/>
          </w:tcPr>
          <w:p>
            <w:pPr>
              <w:spacing w:after="0"/>
              <w:rPr>
                <w:sz w:val="18"/>
                <w:szCs w:val="18"/>
                <w:color w:val="auto"/>
              </w:rPr>
            </w:pPr>
          </w:p>
        </w:tc>
        <w:tc>
          <w:tcPr>
            <w:tcW w:w="600" w:type="dxa"/>
            <w:vAlign w:val="bottom"/>
            <w:tcBorders>
              <w:bottom w:val="single" w:sz="8" w:color="auto"/>
            </w:tcBorders>
            <w:vMerge w:val="continue"/>
            <w:shd w:val="clear" w:color="auto" w:fill="E6E6E6"/>
          </w:tcPr>
          <w:p>
            <w:pPr>
              <w:spacing w:after="0"/>
              <w:rPr>
                <w:sz w:val="18"/>
                <w:szCs w:val="18"/>
                <w:color w:val="auto"/>
              </w:rPr>
            </w:pPr>
          </w:p>
        </w:tc>
        <w:tc>
          <w:tcPr>
            <w:tcW w:w="8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60" w:type="dxa"/>
            <w:vAlign w:val="bottom"/>
            <w:tcBorders>
              <w:bottom w:val="single" w:sz="8" w:color="auto"/>
            </w:tcBorders>
            <w:shd w:val="clear" w:color="auto" w:fill="E6E6E6"/>
          </w:tcPr>
          <w:p>
            <w:pPr>
              <w:spacing w:after="0"/>
              <w:rPr>
                <w:sz w:val="18"/>
                <w:szCs w:val="18"/>
                <w:color w:val="auto"/>
              </w:rPr>
            </w:pPr>
          </w:p>
        </w:tc>
        <w:tc>
          <w:tcPr>
            <w:tcW w:w="860" w:type="dxa"/>
            <w:vAlign w:val="bottom"/>
            <w:tcBorders>
              <w:bottom w:val="single" w:sz="8" w:color="auto"/>
            </w:tcBorders>
            <w:vMerge w:val="continue"/>
            <w:shd w:val="clear" w:color="auto" w:fill="E6E6E6"/>
          </w:tcPr>
          <w:p>
            <w:pPr>
              <w:spacing w:after="0"/>
              <w:rPr>
                <w:sz w:val="18"/>
                <w:szCs w:val="18"/>
                <w:color w:val="auto"/>
              </w:rPr>
            </w:pPr>
          </w:p>
        </w:tc>
        <w:tc>
          <w:tcPr>
            <w:tcW w:w="8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120" w:type="dxa"/>
            <w:vAlign w:val="bottom"/>
            <w:tcBorders>
              <w:bottom w:val="single" w:sz="8" w:color="auto"/>
            </w:tcBorders>
            <w:shd w:val="clear" w:color="auto" w:fill="E6E6E6"/>
          </w:tcPr>
          <w:p>
            <w:pPr>
              <w:spacing w:after="0"/>
              <w:rPr>
                <w:sz w:val="18"/>
                <w:szCs w:val="18"/>
                <w:color w:val="auto"/>
              </w:rPr>
            </w:pPr>
          </w:p>
        </w:tc>
        <w:tc>
          <w:tcPr>
            <w:tcW w:w="1100" w:type="dxa"/>
            <w:vAlign w:val="bottom"/>
            <w:tcBorders>
              <w:bottom w:val="single" w:sz="8" w:color="auto"/>
            </w:tcBorders>
            <w:vMerge w:val="continue"/>
            <w:shd w:val="clear" w:color="auto" w:fill="E6E6E6"/>
          </w:tcPr>
          <w:p>
            <w:pPr>
              <w:spacing w:after="0"/>
              <w:rPr>
                <w:sz w:val="18"/>
                <w:szCs w:val="18"/>
                <w:color w:val="auto"/>
              </w:rPr>
            </w:pPr>
          </w:p>
        </w:tc>
        <w:tc>
          <w:tcPr>
            <w:tcW w:w="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120" w:type="dxa"/>
            <w:vAlign w:val="bottom"/>
            <w:tcBorders>
              <w:bottom w:val="single" w:sz="8" w:color="auto"/>
            </w:tcBorders>
            <w:shd w:val="clear" w:color="auto" w:fill="E6E6E6"/>
          </w:tcPr>
          <w:p>
            <w:pPr>
              <w:spacing w:after="0"/>
              <w:rPr>
                <w:sz w:val="18"/>
                <w:szCs w:val="18"/>
                <w:color w:val="auto"/>
              </w:rPr>
            </w:pPr>
          </w:p>
        </w:tc>
        <w:tc>
          <w:tcPr>
            <w:tcW w:w="520" w:type="dxa"/>
            <w:vAlign w:val="bottom"/>
            <w:tcBorders>
              <w:bottom w:val="single" w:sz="8" w:color="auto"/>
            </w:tcBorders>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60" w:type="dxa"/>
            <w:vAlign w:val="bottom"/>
            <w:tcBorders>
              <w:bottom w:val="single" w:sz="8" w:color="E6E6E6"/>
            </w:tcBorders>
          </w:tcPr>
          <w:p>
            <w:pPr>
              <w:ind w:left="60"/>
              <w:spacing w:after="0"/>
              <w:rPr>
                <w:sz w:val="20"/>
                <w:szCs w:val="20"/>
                <w:color w:val="auto"/>
              </w:rPr>
            </w:pPr>
            <w:r>
              <w:rPr>
                <w:rFonts w:ascii="Arial" w:cs="Arial" w:eastAsia="Arial" w:hAnsi="Arial"/>
                <w:sz w:val="16"/>
                <w:szCs w:val="16"/>
                <w:color w:val="auto"/>
              </w:rPr>
              <w:t>Balance at December 31, 2024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327.9</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8,980</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(3,377)</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6,880</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12,675</w:t>
            </w:r>
          </w:p>
        </w:tc>
        <w:tc>
          <w:tcPr>
            <w:tcW w:w="0" w:type="dxa"/>
            <w:vAlign w:val="bottom"/>
          </w:tcPr>
          <w:p>
            <w:pPr>
              <w:spacing w:after="0"/>
              <w:rPr>
                <w:sz w:val="1"/>
                <w:szCs w:val="1"/>
                <w:color w:val="auto"/>
              </w:rPr>
            </w:pPr>
          </w:p>
        </w:tc>
      </w:tr>
      <w:tr>
        <w:trPr>
          <w:trHeight w:val="238"/>
        </w:trPr>
        <w:tc>
          <w:tcPr>
            <w:tcW w:w="3560" w:type="dxa"/>
            <w:vAlign w:val="bottom"/>
            <w:shd w:val="clear" w:color="auto" w:fill="E6E6E6"/>
          </w:tcPr>
          <w:p>
            <w:pPr>
              <w:ind w:left="280"/>
              <w:spacing w:after="0"/>
              <w:rPr>
                <w:sz w:val="20"/>
                <w:szCs w:val="20"/>
                <w:color w:val="auto"/>
              </w:rPr>
            </w:pPr>
            <w:r>
              <w:rPr>
                <w:rFonts w:ascii="Arial" w:cs="Arial" w:eastAsia="Arial" w:hAnsi="Arial"/>
                <w:sz w:val="16"/>
                <w:szCs w:val="16"/>
                <w:color w:val="auto"/>
              </w:rPr>
              <w:t>Net income</w:t>
            </w: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80" w:type="dxa"/>
            <w:vAlign w:val="bottom"/>
            <w:shd w:val="clear" w:color="auto" w:fill="E6E6E6"/>
          </w:tcPr>
          <w:p>
            <w:pPr>
              <w:spacing w:after="0"/>
              <w:rPr>
                <w:sz w:val="20"/>
                <w:szCs w:val="20"/>
                <w:color w:val="auto"/>
              </w:rPr>
            </w:pPr>
          </w:p>
        </w:tc>
        <w:tc>
          <w:tcPr>
            <w:tcW w:w="3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3,353</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3,353</w:t>
            </w:r>
          </w:p>
        </w:tc>
        <w:tc>
          <w:tcPr>
            <w:tcW w:w="0" w:type="dxa"/>
            <w:vAlign w:val="bottom"/>
          </w:tcPr>
          <w:p>
            <w:pPr>
              <w:spacing w:after="0"/>
              <w:rPr>
                <w:sz w:val="1"/>
                <w:szCs w:val="1"/>
                <w:color w:val="auto"/>
              </w:rPr>
            </w:pPr>
          </w:p>
        </w:tc>
      </w:tr>
      <w:tr>
        <w:trPr>
          <w:trHeight w:val="239"/>
        </w:trPr>
        <w:tc>
          <w:tcPr>
            <w:tcW w:w="3560" w:type="dxa"/>
            <w:vAlign w:val="bottom"/>
          </w:tcPr>
          <w:p>
            <w:pPr>
              <w:ind w:left="280"/>
              <w:spacing w:after="0"/>
              <w:rPr>
                <w:sz w:val="20"/>
                <w:szCs w:val="20"/>
                <w:color w:val="auto"/>
              </w:rPr>
            </w:pPr>
            <w:r>
              <w:rPr>
                <w:rFonts w:ascii="Arial" w:cs="Arial" w:eastAsia="Arial" w:hAnsi="Arial"/>
                <w:sz w:val="16"/>
                <w:szCs w:val="16"/>
                <w:color w:val="auto"/>
              </w:rPr>
              <w:t>Other comprehensive loss</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55"/>
        </w:trPr>
        <w:tc>
          <w:tcPr>
            <w:tcW w:w="3560" w:type="dxa"/>
            <w:vAlign w:val="bottom"/>
            <w:shd w:val="clear" w:color="auto" w:fill="E6E6E6"/>
          </w:tcPr>
          <w:p>
            <w:pPr>
              <w:ind w:left="280"/>
              <w:spacing w:after="0"/>
              <w:rPr>
                <w:sz w:val="20"/>
                <w:szCs w:val="20"/>
                <w:color w:val="auto"/>
              </w:rPr>
            </w:pPr>
            <w:r>
              <w:rPr>
                <w:rFonts w:ascii="Arial" w:cs="Arial" w:eastAsia="Arial" w:hAnsi="Arial"/>
                <w:sz w:val="16"/>
                <w:szCs w:val="16"/>
                <w:color w:val="auto"/>
              </w:rPr>
              <w:t>Stock-settled share-based compensation</w:t>
            </w: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3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142</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25"/>
        </w:trPr>
        <w:tc>
          <w:tcPr>
            <w:tcW w:w="356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60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41"/>
        </w:trPr>
        <w:tc>
          <w:tcPr>
            <w:tcW w:w="3560" w:type="dxa"/>
            <w:vAlign w:val="bottom"/>
            <w:shd w:val="clear" w:color="auto" w:fill="E6E6E6"/>
          </w:tcPr>
          <w:p>
            <w:pPr>
              <w:ind w:left="280"/>
              <w:spacing w:after="0"/>
              <w:rPr>
                <w:sz w:val="20"/>
                <w:szCs w:val="20"/>
                <w:color w:val="auto"/>
              </w:rPr>
            </w:pPr>
            <w:r>
              <w:rPr>
                <w:rFonts w:ascii="Arial" w:cs="Arial" w:eastAsia="Arial" w:hAnsi="Arial"/>
                <w:sz w:val="16"/>
                <w:szCs w:val="16"/>
                <w:color w:val="auto"/>
              </w:rPr>
              <w:t>Stock issued for settlement of Warrants</w:t>
            </w: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80" w:type="dxa"/>
            <w:vAlign w:val="bottom"/>
            <w:shd w:val="clear" w:color="auto" w:fill="E6E6E6"/>
          </w:tcPr>
          <w:p>
            <w:pPr>
              <w:spacing w:after="0"/>
              <w:rPr>
                <w:sz w:val="20"/>
                <w:szCs w:val="20"/>
                <w:color w:val="auto"/>
              </w:rPr>
            </w:pPr>
          </w:p>
        </w:tc>
        <w:tc>
          <w:tcPr>
            <w:tcW w:w="3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133</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3560" w:type="dxa"/>
            <w:vAlign w:val="bottom"/>
          </w:tcPr>
          <w:p>
            <w:pPr>
              <w:ind w:left="280"/>
              <w:spacing w:after="0" w:line="176" w:lineRule="exact"/>
              <w:rPr>
                <w:sz w:val="20"/>
                <w:szCs w:val="20"/>
                <w:color w:val="auto"/>
              </w:rPr>
            </w:pPr>
            <w:r>
              <w:rPr>
                <w:rFonts w:ascii="Arial" w:cs="Arial" w:eastAsia="Arial" w:hAnsi="Arial"/>
                <w:sz w:val="16"/>
                <w:szCs w:val="16"/>
                <w:color w:val="auto"/>
                <w:w w:val="89"/>
              </w:rPr>
              <w:t>Stock issued for share-based awards, net of shares</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7"/>
        </w:trPr>
        <w:tc>
          <w:tcPr>
            <w:tcW w:w="3560" w:type="dxa"/>
            <w:vAlign w:val="bottom"/>
            <w:tcBorders>
              <w:bottom w:val="single" w:sz="8" w:color="E6E6E6"/>
            </w:tcBorders>
          </w:tcPr>
          <w:p>
            <w:pPr>
              <w:ind w:left="280"/>
              <w:spacing w:after="0"/>
              <w:rPr>
                <w:sz w:val="20"/>
                <w:szCs w:val="20"/>
                <w:color w:val="auto"/>
              </w:rPr>
            </w:pPr>
            <w:r>
              <w:rPr>
                <w:rFonts w:ascii="Arial" w:cs="Arial" w:eastAsia="Arial" w:hAnsi="Arial"/>
                <w:sz w:val="16"/>
                <w:szCs w:val="16"/>
                <w:color w:val="auto"/>
              </w:rPr>
              <w:t>withheld for tax</w:t>
            </w: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6"/>
                <w:szCs w:val="16"/>
                <w:color w:val="auto"/>
              </w:rPr>
              <w:t>Balance at December 31, 2025</w:t>
            </w:r>
          </w:p>
        </w:tc>
        <w:tc>
          <w:tcPr>
            <w:tcW w:w="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323.5</w:t>
            </w:r>
          </w:p>
        </w:tc>
        <w:tc>
          <w:tcPr>
            <w:tcW w:w="100" w:type="dxa"/>
            <w:vAlign w:val="bottom"/>
            <w:tcBorders>
              <w:bottom w:val="single" w:sz="8" w:color="E6E6E6"/>
            </w:tcBorders>
            <w:gridSpan w:val="2"/>
            <w:shd w:val="clear" w:color="auto" w:fill="E6E6E6"/>
          </w:tcPr>
          <w:p>
            <w:pPr>
              <w:spacing w:after="0"/>
              <w:rPr>
                <w:sz w:val="19"/>
                <w:szCs w:val="19"/>
                <w:color w:val="auto"/>
              </w:rPr>
            </w:pPr>
          </w:p>
        </w:tc>
        <w:tc>
          <w:tcPr>
            <w:tcW w:w="380" w:type="dxa"/>
            <w:vAlign w:val="bottom"/>
            <w:tcBorders>
              <w:bottom w:val="single" w:sz="8" w:color="auto"/>
            </w:tcBorders>
            <w:shd w:val="clear" w:color="auto" w:fill="E6E6E6"/>
          </w:tcPr>
          <w:p>
            <w:pPr>
              <w:jc w:val="right"/>
              <w:ind w:right="202"/>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E6E6E6"/>
            </w:tcBorders>
            <w:gridSpan w:val="2"/>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8,911</w:t>
            </w:r>
          </w:p>
        </w:tc>
        <w:tc>
          <w:tcPr>
            <w:tcW w:w="100" w:type="dxa"/>
            <w:vAlign w:val="bottom"/>
            <w:tcBorders>
              <w:bottom w:val="single" w:sz="8" w:color="E6E6E6"/>
            </w:tcBorders>
            <w:gridSpan w:val="2"/>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(3,773)</w:t>
            </w:r>
          </w:p>
        </w:tc>
        <w:tc>
          <w:tcPr>
            <w:tcW w:w="100" w:type="dxa"/>
            <w:vAlign w:val="bottom"/>
            <w:tcBorders>
              <w:bottom w:val="single" w:sz="8" w:color="E6E6E6"/>
            </w:tcBorders>
            <w:gridSpan w:val="2"/>
            <w:shd w:val="clear" w:color="auto" w:fill="E6E6E6"/>
          </w:tcPr>
          <w:p>
            <w:pPr>
              <w:spacing w:after="0"/>
              <w:rPr>
                <w:sz w:val="19"/>
                <w:szCs w:val="19"/>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10,092</w:t>
            </w:r>
          </w:p>
        </w:tc>
        <w:tc>
          <w:tcPr>
            <w:tcW w:w="100" w:type="dxa"/>
            <w:vAlign w:val="bottom"/>
            <w:tcBorders>
              <w:bottom w:val="single" w:sz="8" w:color="E6E6E6"/>
            </w:tcBorders>
            <w:gridSpan w:val="2"/>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bottom w:val="single" w:sz="8" w:color="E6E6E6"/>
            </w:tcBorders>
            <w:gridSpan w:val="2"/>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w w:val="89"/>
              </w:rPr>
              <w:t>15,282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-3548380</wp:posOffset>
            </wp:positionV>
            <wp:extent cx="403606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6">
                      <a:extLst>
                        <a:ext uri="{28A0092B-C50C-407E-A947-70E740481C1C}"/>
                      </a:extLst>
                    </a:blip>
                    <a:srcRect/>
                    <a:stretch>
                      <a:fillRect/>
                    </a:stretch>
                  </pic:blipFill>
                  <pic:spPr bwMode="auto">
                    <a:xfrm>
                      <a:off x="0" y="0"/>
                      <a:ext cx="4036060" cy="25400"/>
                    </a:xfrm>
                    <a:prstGeom prst="rect">
                      <a:avLst/>
                    </a:prstGeom>
                    <a:noFill/>
                  </pic:spPr>
                </pic:pic>
              </a:graphicData>
            </a:graphic>
          </wp:anchor>
        </w:drawing>
        <w:drawing>
          <wp:anchor simplePos="0" relativeHeight="251657728" behindDoc="1" locked="0" layoutInCell="0" allowOverlap="1">
            <wp:simplePos x="0" y="0"/>
            <wp:positionH relativeFrom="column">
              <wp:posOffset>2252980</wp:posOffset>
            </wp:positionH>
            <wp:positionV relativeFrom="paragraph">
              <wp:posOffset>-3391535</wp:posOffset>
            </wp:positionV>
            <wp:extent cx="403606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7">
                      <a:extLst>
                        <a:ext uri="{28A0092B-C50C-407E-A947-70E740481C1C}"/>
                      </a:extLst>
                    </a:blip>
                    <a:srcRect/>
                    <a:stretch>
                      <a:fillRect/>
                    </a:stretch>
                  </pic:blipFill>
                  <pic:spPr bwMode="auto">
                    <a:xfrm>
                      <a:off x="0" y="0"/>
                      <a:ext cx="4036060" cy="25400"/>
                    </a:xfrm>
                    <a:prstGeom prst="rect">
                      <a:avLst/>
                    </a:prstGeom>
                    <a:noFill/>
                  </pic:spPr>
                </pic:pic>
              </a:graphicData>
            </a:graphic>
          </wp:anchor>
        </w:drawing>
        <w:drawing>
          <wp:anchor simplePos="0" relativeHeight="251657728" behindDoc="1" locked="0" layoutInCell="0" allowOverlap="1">
            <wp:simplePos x="0" y="0"/>
            <wp:positionH relativeFrom="column">
              <wp:posOffset>2252980</wp:posOffset>
            </wp:positionH>
            <wp:positionV relativeFrom="paragraph">
              <wp:posOffset>-2522855</wp:posOffset>
            </wp:positionV>
            <wp:extent cx="403606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8">
                      <a:extLst>
                        <a:ext uri="{28A0092B-C50C-407E-A947-70E740481C1C}"/>
                      </a:extLst>
                    </a:blip>
                    <a:srcRect/>
                    <a:stretch>
                      <a:fillRect/>
                    </a:stretch>
                  </pic:blipFill>
                  <pic:spPr bwMode="auto">
                    <a:xfrm>
                      <a:off x="0" y="0"/>
                      <a:ext cx="4036060" cy="25400"/>
                    </a:xfrm>
                    <a:prstGeom prst="rect">
                      <a:avLst/>
                    </a:prstGeom>
                    <a:noFill/>
                  </pic:spPr>
                </pic:pic>
              </a:graphicData>
            </a:graphic>
          </wp:anchor>
        </w:drawing>
        <w:drawing>
          <wp:anchor simplePos="0" relativeHeight="251657728" behindDoc="1" locked="0" layoutInCell="0" allowOverlap="1">
            <wp:simplePos x="0" y="0"/>
            <wp:positionH relativeFrom="column">
              <wp:posOffset>2252980</wp:posOffset>
            </wp:positionH>
            <wp:positionV relativeFrom="paragraph">
              <wp:posOffset>-2365375</wp:posOffset>
            </wp:positionV>
            <wp:extent cx="403606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9">
                      <a:extLst>
                        <a:ext uri="{28A0092B-C50C-407E-A947-70E740481C1C}"/>
                      </a:extLst>
                    </a:blip>
                    <a:srcRect/>
                    <a:stretch>
                      <a:fillRect/>
                    </a:stretch>
                  </pic:blipFill>
                  <pic:spPr bwMode="auto">
                    <a:xfrm>
                      <a:off x="0" y="0"/>
                      <a:ext cx="4036060" cy="25400"/>
                    </a:xfrm>
                    <a:prstGeom prst="rect">
                      <a:avLst/>
                    </a:prstGeom>
                    <a:noFill/>
                  </pic:spPr>
                </pic:pic>
              </a:graphicData>
            </a:graphic>
          </wp:anchor>
        </w:drawing>
        <w:drawing>
          <wp:anchor simplePos="0" relativeHeight="251657728" behindDoc="1" locked="0" layoutInCell="0" allowOverlap="1">
            <wp:simplePos x="0" y="0"/>
            <wp:positionH relativeFrom="column">
              <wp:posOffset>2252980</wp:posOffset>
            </wp:positionH>
            <wp:positionV relativeFrom="paragraph">
              <wp:posOffset>-1348740</wp:posOffset>
            </wp:positionV>
            <wp:extent cx="403606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0">
                      <a:extLst>
                        <a:ext uri="{28A0092B-C50C-407E-A947-70E740481C1C}"/>
                      </a:extLst>
                    </a:blip>
                    <a:srcRect/>
                    <a:stretch>
                      <a:fillRect/>
                    </a:stretch>
                  </pic:blipFill>
                  <pic:spPr bwMode="auto">
                    <a:xfrm>
                      <a:off x="0" y="0"/>
                      <a:ext cx="4036060" cy="25400"/>
                    </a:xfrm>
                    <a:prstGeom prst="rect">
                      <a:avLst/>
                    </a:prstGeom>
                    <a:noFill/>
                  </pic:spPr>
                </pic:pic>
              </a:graphicData>
            </a:graphic>
          </wp:anchor>
        </w:drawing>
        <w:drawing>
          <wp:anchor simplePos="0" relativeHeight="251657728" behindDoc="1" locked="0" layoutInCell="0" allowOverlap="1">
            <wp:simplePos x="0" y="0"/>
            <wp:positionH relativeFrom="column">
              <wp:posOffset>2252980</wp:posOffset>
            </wp:positionH>
            <wp:positionV relativeFrom="paragraph">
              <wp:posOffset>-1191895</wp:posOffset>
            </wp:positionV>
            <wp:extent cx="403606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1">
                      <a:extLst>
                        <a:ext uri="{28A0092B-C50C-407E-A947-70E740481C1C}"/>
                      </a:extLst>
                    </a:blip>
                    <a:srcRect/>
                    <a:stretch>
                      <a:fillRect/>
                    </a:stretch>
                  </pic:blipFill>
                  <pic:spPr bwMode="auto">
                    <a:xfrm>
                      <a:off x="0" y="0"/>
                      <a:ext cx="4036060" cy="25400"/>
                    </a:xfrm>
                    <a:prstGeom prst="rect">
                      <a:avLst/>
                    </a:prstGeom>
                    <a:noFill/>
                  </pic:spPr>
                </pic:pic>
              </a:graphicData>
            </a:graphic>
          </wp:anchor>
        </w:drawing>
        <w:drawing>
          <wp:anchor simplePos="0" relativeHeight="251657728" behindDoc="1" locked="0" layoutInCell="0" allowOverlap="1">
            <wp:simplePos x="0" y="0"/>
            <wp:positionH relativeFrom="column">
              <wp:posOffset>2252980</wp:posOffset>
            </wp:positionH>
            <wp:positionV relativeFrom="paragraph">
              <wp:posOffset>-175260</wp:posOffset>
            </wp:positionV>
            <wp:extent cx="403606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2">
                      <a:extLst>
                        <a:ext uri="{28A0092B-C50C-407E-A947-70E740481C1C}"/>
                      </a:extLst>
                    </a:blip>
                    <a:srcRect/>
                    <a:stretch>
                      <a:fillRect/>
                    </a:stretch>
                  </pic:blipFill>
                  <pic:spPr bwMode="auto">
                    <a:xfrm>
                      <a:off x="0" y="0"/>
                      <a:ext cx="4036060" cy="25400"/>
                    </a:xfrm>
                    <a:prstGeom prst="rect">
                      <a:avLst/>
                    </a:prstGeom>
                    <a:noFill/>
                  </pic:spPr>
                </pic:pic>
              </a:graphicData>
            </a:graphic>
          </wp:anchor>
        </w:drawing>
        <w:drawing>
          <wp:anchor simplePos="0" relativeHeight="251657728" behindDoc="1" locked="0" layoutInCell="0" allowOverlap="1">
            <wp:simplePos x="0" y="0"/>
            <wp:positionH relativeFrom="column">
              <wp:posOffset>2252980</wp:posOffset>
            </wp:positionH>
            <wp:positionV relativeFrom="paragraph">
              <wp:posOffset>-18415</wp:posOffset>
            </wp:positionV>
            <wp:extent cx="403606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3">
                      <a:extLst>
                        <a:ext uri="{28A0092B-C50C-407E-A947-70E740481C1C}"/>
                      </a:extLst>
                    </a:blip>
                    <a:srcRect/>
                    <a:stretch>
                      <a:fillRect/>
                    </a:stretch>
                  </pic:blipFill>
                  <pic:spPr bwMode="auto">
                    <a:xfrm>
                      <a:off x="0" y="0"/>
                      <a:ext cx="40360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ectPr>
          <w:pgSz w:w="11880" w:h="15480" w:orient="portrait"/>
          <w:cols w:equalWidth="0" w:num="1">
            <w:col w:w="9880"/>
          </w:cols>
          <w:pgMar w:left="960" w:top="812" w:right="104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9880"/>
          </w:cols>
          <w:pgMar w:left="960" w:top="812" w:right="1040" w:bottom="33"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19"/>
          <w:szCs w:val="19"/>
          <w:b w:val="1"/>
          <w:bCs w:val="1"/>
          <w:color w:val="auto"/>
        </w:rPr>
        <w:t>UNITED AIRLINES,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STATEMENTS OF CONSOLIDATED OPERATIONS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 millions)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7"/>
                <w:szCs w:val="17"/>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57"/>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4"/>
              <w:spacing w:after="0"/>
              <w:rPr>
                <w:sz w:val="20"/>
                <w:szCs w:val="20"/>
                <w:color w:val="auto"/>
              </w:rPr>
            </w:pPr>
            <w:r>
              <w:rPr>
                <w:rFonts w:ascii="Arial" w:cs="Arial" w:eastAsia="Arial" w:hAnsi="Arial"/>
                <w:sz w:val="17"/>
                <w:szCs w:val="17"/>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7"/>
                <w:szCs w:val="17"/>
                <w:b w:val="1"/>
                <w:bCs w:val="1"/>
                <w:color w:val="auto"/>
              </w:rPr>
              <w:t>2023</w:t>
            </w:r>
          </w:p>
        </w:tc>
      </w:tr>
      <w:tr>
        <w:trPr>
          <w:trHeight w:val="244"/>
        </w:trPr>
        <w:tc>
          <w:tcPr>
            <w:tcW w:w="5480" w:type="dxa"/>
            <w:vAlign w:val="bottom"/>
          </w:tcPr>
          <w:p>
            <w:pPr>
              <w:ind w:left="60"/>
              <w:spacing w:after="0"/>
              <w:rPr>
                <w:sz w:val="20"/>
                <w:szCs w:val="20"/>
                <w:color w:val="auto"/>
              </w:rPr>
            </w:pPr>
            <w:r>
              <w:rPr>
                <w:rFonts w:ascii="Arial" w:cs="Arial" w:eastAsia="Arial" w:hAnsi="Arial"/>
                <w:sz w:val="19"/>
                <w:szCs w:val="19"/>
                <w:color w:val="auto"/>
              </w:rPr>
              <w:t>Operating revenue: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
        </w:trPr>
        <w:tc>
          <w:tcPr>
            <w:tcW w:w="5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7"/>
        </w:trPr>
        <w:tc>
          <w:tcPr>
            <w:tcW w:w="5480" w:type="dxa"/>
            <w:vAlign w:val="bottom"/>
            <w:shd w:val="clear" w:color="auto" w:fill="E6E6E6"/>
          </w:tcPr>
          <w:p>
            <w:pPr>
              <w:ind w:left="540"/>
              <w:spacing w:after="0"/>
              <w:rPr>
                <w:sz w:val="20"/>
                <w:szCs w:val="20"/>
                <w:color w:val="auto"/>
              </w:rPr>
            </w:pPr>
            <w:r>
              <w:rPr>
                <w:rFonts w:ascii="Arial" w:cs="Arial" w:eastAsia="Arial" w:hAnsi="Arial"/>
                <w:sz w:val="19"/>
                <w:szCs w:val="19"/>
                <w:color w:val="auto"/>
              </w:rPr>
              <w:t>Passenger revenue</w:t>
            </w:r>
          </w:p>
        </w:tc>
        <w:tc>
          <w:tcPr>
            <w:tcW w:w="340" w:type="dxa"/>
            <w:vAlign w:val="bottom"/>
            <w:shd w:val="clear" w:color="auto" w:fill="E6E6E6"/>
          </w:tcPr>
          <w:p>
            <w:pPr>
              <w:jc w:val="right"/>
              <w:ind w:right="103"/>
              <w:spacing w:after="0"/>
              <w:rPr>
                <w:sz w:val="20"/>
                <w:szCs w:val="20"/>
                <w:color w:val="auto"/>
              </w:rPr>
            </w:pPr>
            <w:r>
              <w:rPr>
                <w:rFonts w:ascii="Arial" w:cs="Arial" w:eastAsia="Arial" w:hAnsi="Arial"/>
                <w:sz w:val="19"/>
                <w:szCs w:val="19"/>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53,438</w:t>
            </w:r>
          </w:p>
        </w:tc>
        <w:tc>
          <w:tcPr>
            <w:tcW w:w="420" w:type="dxa"/>
            <w:vAlign w:val="bottom"/>
            <w:gridSpan w:val="2"/>
            <w:shd w:val="clear" w:color="auto" w:fill="E6E6E6"/>
          </w:tcPr>
          <w:p>
            <w:pPr>
              <w:jc w:val="right"/>
              <w:ind w:right="200"/>
              <w:spacing w:after="0"/>
              <w:rPr>
                <w:sz w:val="20"/>
                <w:szCs w:val="20"/>
                <w:color w:val="auto"/>
              </w:rPr>
            </w:pPr>
            <w:r>
              <w:rPr>
                <w:rFonts w:ascii="Arial" w:cs="Arial" w:eastAsia="Arial" w:hAnsi="Arial"/>
                <w:sz w:val="19"/>
                <w:szCs w:val="19"/>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51,829</w:t>
            </w:r>
          </w:p>
        </w:tc>
        <w:tc>
          <w:tcPr>
            <w:tcW w:w="440" w:type="dxa"/>
            <w:vAlign w:val="bottom"/>
            <w:gridSpan w:val="2"/>
            <w:shd w:val="clear" w:color="auto" w:fill="E6E6E6"/>
          </w:tcPr>
          <w:p>
            <w:pPr>
              <w:jc w:val="right"/>
              <w:ind w:right="220"/>
              <w:spacing w:after="0"/>
              <w:rPr>
                <w:sz w:val="20"/>
                <w:szCs w:val="20"/>
                <w:color w:val="auto"/>
              </w:rPr>
            </w:pPr>
            <w:r>
              <w:rPr>
                <w:rFonts w:ascii="Arial" w:cs="Arial" w:eastAsia="Arial" w:hAnsi="Arial"/>
                <w:sz w:val="19"/>
                <w:szCs w:val="19"/>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49,046</w:t>
            </w:r>
          </w:p>
        </w:tc>
      </w:tr>
      <w:tr>
        <w:trPr>
          <w:trHeight w:val="270"/>
        </w:trPr>
        <w:tc>
          <w:tcPr>
            <w:tcW w:w="5480" w:type="dxa"/>
            <w:vAlign w:val="bottom"/>
          </w:tcPr>
          <w:p>
            <w:pPr>
              <w:ind w:left="540"/>
              <w:spacing w:after="0"/>
              <w:rPr>
                <w:sz w:val="20"/>
                <w:szCs w:val="20"/>
                <w:color w:val="auto"/>
              </w:rPr>
            </w:pPr>
            <w:r>
              <w:rPr>
                <w:rFonts w:ascii="Arial" w:cs="Arial" w:eastAsia="Arial" w:hAnsi="Arial"/>
                <w:sz w:val="19"/>
                <w:szCs w:val="19"/>
                <w:color w:val="auto"/>
              </w:rPr>
              <w:t>Cargo revenue</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1,779</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1,743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1,495</w:t>
            </w:r>
          </w:p>
        </w:tc>
      </w:tr>
      <w:tr>
        <w:trPr>
          <w:trHeight w:val="292"/>
        </w:trPr>
        <w:tc>
          <w:tcPr>
            <w:tcW w:w="5480" w:type="dxa"/>
            <w:vAlign w:val="bottom"/>
            <w:tcBorders>
              <w:bottom w:val="single" w:sz="8" w:color="E6E6E6"/>
            </w:tcBorders>
            <w:shd w:val="clear" w:color="auto" w:fill="E6E6E6"/>
          </w:tcPr>
          <w:p>
            <w:pPr>
              <w:ind w:left="540"/>
              <w:spacing w:after="0"/>
              <w:rPr>
                <w:sz w:val="20"/>
                <w:szCs w:val="20"/>
                <w:color w:val="auto"/>
              </w:rPr>
            </w:pPr>
            <w:r>
              <w:rPr>
                <w:rFonts w:ascii="Arial" w:cs="Arial" w:eastAsia="Arial" w:hAnsi="Arial"/>
                <w:sz w:val="19"/>
                <w:szCs w:val="19"/>
                <w:color w:val="auto"/>
              </w:rPr>
              <w:t>Other operating revenue</w:t>
            </w:r>
          </w:p>
        </w:tc>
        <w:tc>
          <w:tcPr>
            <w:tcW w:w="34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3,853</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3,491</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3,176</w:t>
            </w:r>
          </w:p>
        </w:tc>
      </w:tr>
      <w:tr>
        <w:trPr>
          <w:trHeight w:val="237"/>
        </w:trPr>
        <w:tc>
          <w:tcPr>
            <w:tcW w:w="5480" w:type="dxa"/>
            <w:vAlign w:val="bottom"/>
            <w:tcBorders>
              <w:bottom w:val="single" w:sz="8" w:color="E6E6E6"/>
            </w:tcBorders>
          </w:tcPr>
          <w:p>
            <w:pPr>
              <w:ind w:left="760"/>
              <w:spacing w:after="0"/>
              <w:rPr>
                <w:sz w:val="20"/>
                <w:szCs w:val="20"/>
                <w:color w:val="auto"/>
              </w:rPr>
            </w:pPr>
            <w:r>
              <w:rPr>
                <w:rFonts w:ascii="Arial" w:cs="Arial" w:eastAsia="Arial" w:hAnsi="Arial"/>
                <w:sz w:val="19"/>
                <w:szCs w:val="19"/>
                <w:color w:val="auto"/>
              </w:rPr>
              <w:t>Total operating revenue</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59,070</w:t>
            </w:r>
          </w:p>
        </w:tc>
        <w:tc>
          <w:tcPr>
            <w:tcW w:w="6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57,063</w:t>
            </w:r>
          </w:p>
        </w:tc>
        <w:tc>
          <w:tcPr>
            <w:tcW w:w="8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53,717</w:t>
            </w:r>
          </w:p>
        </w:tc>
      </w:tr>
      <w:tr>
        <w:trPr>
          <w:trHeight w:val="247"/>
        </w:trPr>
        <w:tc>
          <w:tcPr>
            <w:tcW w:w="54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Operating expense:</w:t>
            </w:r>
          </w:p>
        </w:tc>
        <w:tc>
          <w:tcPr>
            <w:tcW w:w="340" w:type="dxa"/>
            <w:vAlign w:val="bottom"/>
            <w:tcBorders>
              <w:bottom w:val="single" w:sz="8" w:color="E6E6E6"/>
            </w:tcBorders>
            <w:shd w:val="clear" w:color="auto" w:fill="E6E6E6"/>
          </w:tcPr>
          <w:p>
            <w:pPr>
              <w:spacing w:after="0"/>
              <w:rPr>
                <w:sz w:val="21"/>
                <w:szCs w:val="21"/>
                <w:color w:val="auto"/>
              </w:rPr>
            </w:pPr>
          </w:p>
        </w:tc>
        <w:tc>
          <w:tcPr>
            <w:tcW w:w="110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360" w:type="dxa"/>
            <w:vAlign w:val="bottom"/>
            <w:tcBorders>
              <w:bottom w:val="single" w:sz="8" w:color="E6E6E6"/>
            </w:tcBorders>
            <w:shd w:val="clear" w:color="auto" w:fill="E6E6E6"/>
          </w:tcPr>
          <w:p>
            <w:pPr>
              <w:spacing w:after="0"/>
              <w:rPr>
                <w:sz w:val="21"/>
                <w:szCs w:val="21"/>
                <w:color w:val="auto"/>
              </w:rPr>
            </w:pPr>
          </w:p>
        </w:tc>
        <w:tc>
          <w:tcPr>
            <w:tcW w:w="1080" w:type="dxa"/>
            <w:vAlign w:val="bottom"/>
            <w:tcBorders>
              <w:bottom w:val="single" w:sz="8" w:color="E6E6E6"/>
            </w:tcBorders>
            <w:shd w:val="clear" w:color="auto" w:fill="E6E6E6"/>
          </w:tcPr>
          <w:p>
            <w:pPr>
              <w:spacing w:after="0"/>
              <w:rPr>
                <w:sz w:val="21"/>
                <w:szCs w:val="21"/>
                <w:color w:val="auto"/>
              </w:rPr>
            </w:pPr>
          </w:p>
        </w:tc>
        <w:tc>
          <w:tcPr>
            <w:tcW w:w="80" w:type="dxa"/>
            <w:vAlign w:val="bottom"/>
            <w:tcBorders>
              <w:bottom w:val="single" w:sz="8" w:color="E6E6E6"/>
            </w:tcBorders>
            <w:shd w:val="clear" w:color="auto" w:fill="E6E6E6"/>
          </w:tcPr>
          <w:p>
            <w:pPr>
              <w:spacing w:after="0"/>
              <w:rPr>
                <w:sz w:val="21"/>
                <w:szCs w:val="21"/>
                <w:color w:val="auto"/>
              </w:rPr>
            </w:pPr>
          </w:p>
        </w:tc>
        <w:tc>
          <w:tcPr>
            <w:tcW w:w="360" w:type="dxa"/>
            <w:vAlign w:val="bottom"/>
            <w:tcBorders>
              <w:bottom w:val="single" w:sz="8" w:color="E6E6E6"/>
            </w:tcBorders>
            <w:shd w:val="clear" w:color="auto" w:fill="E6E6E6"/>
          </w:tcPr>
          <w:p>
            <w:pPr>
              <w:spacing w:after="0"/>
              <w:rPr>
                <w:sz w:val="21"/>
                <w:szCs w:val="21"/>
                <w:color w:val="auto"/>
              </w:rPr>
            </w:pPr>
          </w:p>
        </w:tc>
        <w:tc>
          <w:tcPr>
            <w:tcW w:w="1080" w:type="dxa"/>
            <w:vAlign w:val="bottom"/>
            <w:tcBorders>
              <w:bottom w:val="single" w:sz="8" w:color="E6E6E6"/>
            </w:tcBorders>
            <w:shd w:val="clear" w:color="auto" w:fill="E6E6E6"/>
          </w:tcPr>
          <w:p>
            <w:pPr>
              <w:spacing w:after="0"/>
              <w:rPr>
                <w:sz w:val="21"/>
                <w:szCs w:val="21"/>
                <w:color w:val="auto"/>
              </w:rPr>
            </w:pPr>
          </w:p>
        </w:tc>
      </w:tr>
      <w:tr>
        <w:trPr>
          <w:trHeight w:val="270"/>
        </w:trPr>
        <w:tc>
          <w:tcPr>
            <w:tcW w:w="5480" w:type="dxa"/>
            <w:vAlign w:val="bottom"/>
          </w:tcPr>
          <w:p>
            <w:pPr>
              <w:ind w:left="540"/>
              <w:spacing w:after="0"/>
              <w:rPr>
                <w:sz w:val="20"/>
                <w:szCs w:val="20"/>
                <w:color w:val="auto"/>
              </w:rPr>
            </w:pPr>
            <w:r>
              <w:rPr>
                <w:rFonts w:ascii="Arial" w:cs="Arial" w:eastAsia="Arial" w:hAnsi="Arial"/>
                <w:sz w:val="19"/>
                <w:szCs w:val="19"/>
                <w:color w:val="auto"/>
              </w:rPr>
              <w:t>Salaries and related costs</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17,647</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16,678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14,787</w:t>
            </w:r>
          </w:p>
        </w:tc>
      </w:tr>
      <w:tr>
        <w:trPr>
          <w:trHeight w:val="283"/>
        </w:trPr>
        <w:tc>
          <w:tcPr>
            <w:tcW w:w="5480" w:type="dxa"/>
            <w:vAlign w:val="bottom"/>
            <w:shd w:val="clear" w:color="auto" w:fill="E6E6E6"/>
          </w:tcPr>
          <w:p>
            <w:pPr>
              <w:ind w:left="540"/>
              <w:spacing w:after="0"/>
              <w:rPr>
                <w:sz w:val="20"/>
                <w:szCs w:val="20"/>
                <w:color w:val="auto"/>
              </w:rPr>
            </w:pPr>
            <w:r>
              <w:rPr>
                <w:rFonts w:ascii="Arial" w:cs="Arial" w:eastAsia="Arial" w:hAnsi="Arial"/>
                <w:sz w:val="19"/>
                <w:szCs w:val="19"/>
                <w:color w:val="auto"/>
              </w:rPr>
              <w:t>Aircraft fuel</w:t>
            </w:r>
          </w:p>
        </w:tc>
        <w:tc>
          <w:tcPr>
            <w:tcW w:w="3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11,396</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11,756</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12,651</w:t>
            </w:r>
          </w:p>
        </w:tc>
      </w:tr>
      <w:tr>
        <w:trPr>
          <w:trHeight w:val="270"/>
        </w:trPr>
        <w:tc>
          <w:tcPr>
            <w:tcW w:w="5480" w:type="dxa"/>
            <w:vAlign w:val="bottom"/>
          </w:tcPr>
          <w:p>
            <w:pPr>
              <w:ind w:left="540"/>
              <w:spacing w:after="0"/>
              <w:rPr>
                <w:sz w:val="20"/>
                <w:szCs w:val="20"/>
                <w:color w:val="auto"/>
              </w:rPr>
            </w:pPr>
            <w:r>
              <w:rPr>
                <w:rFonts w:ascii="Arial" w:cs="Arial" w:eastAsia="Arial" w:hAnsi="Arial"/>
                <w:sz w:val="19"/>
                <w:szCs w:val="19"/>
                <w:color w:val="auto"/>
              </w:rPr>
              <w:t>Landing fees and other rent</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3,849</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3,437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3,076</w:t>
            </w:r>
          </w:p>
        </w:tc>
      </w:tr>
      <w:tr>
        <w:trPr>
          <w:trHeight w:val="297"/>
        </w:trPr>
        <w:tc>
          <w:tcPr>
            <w:tcW w:w="5480" w:type="dxa"/>
            <w:vAlign w:val="bottom"/>
            <w:shd w:val="clear" w:color="auto" w:fill="E6E6E6"/>
          </w:tcPr>
          <w:p>
            <w:pPr>
              <w:ind w:left="540"/>
              <w:spacing w:after="0"/>
              <w:rPr>
                <w:sz w:val="20"/>
                <w:szCs w:val="20"/>
                <w:color w:val="auto"/>
              </w:rPr>
            </w:pPr>
            <w:r>
              <w:rPr>
                <w:rFonts w:ascii="Arial" w:cs="Arial" w:eastAsia="Arial" w:hAnsi="Arial"/>
                <w:sz w:val="19"/>
                <w:szCs w:val="19"/>
                <w:color w:val="auto"/>
              </w:rPr>
              <w:t>Aircraft maintenance materials and outside repairs</w:t>
            </w:r>
          </w:p>
        </w:tc>
        <w:tc>
          <w:tcPr>
            <w:tcW w:w="3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3,294</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3,063</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2,736</w:t>
            </w:r>
          </w:p>
        </w:tc>
      </w:tr>
      <w:tr>
        <w:trPr>
          <w:trHeight w:val="285"/>
        </w:trPr>
        <w:tc>
          <w:tcPr>
            <w:tcW w:w="5480" w:type="dxa"/>
            <w:vAlign w:val="bottom"/>
          </w:tcPr>
          <w:p>
            <w:pPr>
              <w:ind w:left="540"/>
              <w:spacing w:after="0"/>
              <w:rPr>
                <w:sz w:val="20"/>
                <w:szCs w:val="20"/>
                <w:color w:val="auto"/>
              </w:rPr>
            </w:pPr>
            <w:r>
              <w:rPr>
                <w:rFonts w:ascii="Arial" w:cs="Arial" w:eastAsia="Arial" w:hAnsi="Arial"/>
                <w:sz w:val="19"/>
                <w:szCs w:val="19"/>
                <w:color w:val="auto"/>
              </w:rPr>
              <w:t>Depreciation and amortization</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2,939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2,928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2,671</w:t>
            </w:r>
          </w:p>
        </w:tc>
      </w:tr>
      <w:tr>
        <w:trPr>
          <w:trHeight w:val="283"/>
        </w:trPr>
        <w:tc>
          <w:tcPr>
            <w:tcW w:w="5480" w:type="dxa"/>
            <w:vAlign w:val="bottom"/>
            <w:shd w:val="clear" w:color="auto" w:fill="E6E6E6"/>
          </w:tcPr>
          <w:p>
            <w:pPr>
              <w:ind w:left="540"/>
              <w:spacing w:after="0"/>
              <w:rPr>
                <w:sz w:val="20"/>
                <w:szCs w:val="20"/>
                <w:color w:val="auto"/>
              </w:rPr>
            </w:pPr>
            <w:r>
              <w:rPr>
                <w:rFonts w:ascii="Arial" w:cs="Arial" w:eastAsia="Arial" w:hAnsi="Arial"/>
                <w:sz w:val="19"/>
                <w:szCs w:val="19"/>
                <w:color w:val="auto"/>
              </w:rPr>
              <w:t>Regional capacity purchase</w:t>
            </w:r>
          </w:p>
        </w:tc>
        <w:tc>
          <w:tcPr>
            <w:tcW w:w="3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2,693</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2,516</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2,400</w:t>
            </w:r>
          </w:p>
        </w:tc>
      </w:tr>
      <w:tr>
        <w:trPr>
          <w:trHeight w:val="270"/>
        </w:trPr>
        <w:tc>
          <w:tcPr>
            <w:tcW w:w="5480" w:type="dxa"/>
            <w:vAlign w:val="bottom"/>
          </w:tcPr>
          <w:p>
            <w:pPr>
              <w:ind w:left="540"/>
              <w:spacing w:after="0"/>
              <w:rPr>
                <w:sz w:val="20"/>
                <w:szCs w:val="20"/>
                <w:color w:val="auto"/>
              </w:rPr>
            </w:pPr>
            <w:r>
              <w:rPr>
                <w:rFonts w:ascii="Arial" w:cs="Arial" w:eastAsia="Arial" w:hAnsi="Arial"/>
                <w:sz w:val="19"/>
                <w:szCs w:val="19"/>
                <w:color w:val="auto"/>
              </w:rPr>
              <w:t>Distribution expenses</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2,109</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2,231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1,977</w:t>
            </w:r>
          </w:p>
        </w:tc>
      </w:tr>
      <w:tr>
        <w:trPr>
          <w:trHeight w:val="283"/>
        </w:trPr>
        <w:tc>
          <w:tcPr>
            <w:tcW w:w="5480" w:type="dxa"/>
            <w:vAlign w:val="bottom"/>
            <w:shd w:val="clear" w:color="auto" w:fill="E6E6E6"/>
          </w:tcPr>
          <w:p>
            <w:pPr>
              <w:ind w:left="540"/>
              <w:spacing w:after="0"/>
              <w:rPr>
                <w:sz w:val="20"/>
                <w:szCs w:val="20"/>
                <w:color w:val="auto"/>
              </w:rPr>
            </w:pPr>
            <w:r>
              <w:rPr>
                <w:rFonts w:ascii="Arial" w:cs="Arial" w:eastAsia="Arial" w:hAnsi="Arial"/>
                <w:sz w:val="19"/>
                <w:szCs w:val="19"/>
                <w:color w:val="auto"/>
              </w:rPr>
              <w:t>Aircraft rent</w:t>
            </w:r>
          </w:p>
        </w:tc>
        <w:tc>
          <w:tcPr>
            <w:tcW w:w="3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252</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193</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197</w:t>
            </w:r>
          </w:p>
        </w:tc>
      </w:tr>
      <w:tr>
        <w:trPr>
          <w:trHeight w:val="270"/>
        </w:trPr>
        <w:tc>
          <w:tcPr>
            <w:tcW w:w="5480" w:type="dxa"/>
            <w:vAlign w:val="bottom"/>
          </w:tcPr>
          <w:p>
            <w:pPr>
              <w:ind w:left="540"/>
              <w:spacing w:after="0"/>
              <w:rPr>
                <w:sz w:val="20"/>
                <w:szCs w:val="20"/>
                <w:color w:val="auto"/>
              </w:rPr>
            </w:pPr>
            <w:r>
              <w:rPr>
                <w:rFonts w:ascii="Arial" w:cs="Arial" w:eastAsia="Arial" w:hAnsi="Arial"/>
                <w:sz w:val="19"/>
                <w:szCs w:val="19"/>
                <w:color w:val="auto"/>
              </w:rPr>
              <w:t>Special charges</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259</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112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949</w:t>
            </w:r>
          </w:p>
        </w:tc>
      </w:tr>
      <w:tr>
        <w:trPr>
          <w:trHeight w:val="292"/>
        </w:trPr>
        <w:tc>
          <w:tcPr>
            <w:tcW w:w="5480" w:type="dxa"/>
            <w:vAlign w:val="bottom"/>
            <w:tcBorders>
              <w:bottom w:val="single" w:sz="8" w:color="E6E6E6"/>
            </w:tcBorders>
            <w:shd w:val="clear" w:color="auto" w:fill="E6E6E6"/>
          </w:tcPr>
          <w:p>
            <w:pPr>
              <w:ind w:left="540"/>
              <w:spacing w:after="0"/>
              <w:rPr>
                <w:sz w:val="20"/>
                <w:szCs w:val="20"/>
                <w:color w:val="auto"/>
              </w:rPr>
            </w:pPr>
            <w:r>
              <w:rPr>
                <w:rFonts w:ascii="Arial" w:cs="Arial" w:eastAsia="Arial" w:hAnsi="Arial"/>
                <w:sz w:val="19"/>
                <w:szCs w:val="19"/>
                <w:color w:val="auto"/>
              </w:rPr>
              <w:t>Other operating expenses</w:t>
            </w:r>
          </w:p>
        </w:tc>
        <w:tc>
          <w:tcPr>
            <w:tcW w:w="34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9,917</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9,050</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8,059</w:t>
            </w:r>
          </w:p>
        </w:tc>
      </w:tr>
      <w:tr>
        <w:trPr>
          <w:trHeight w:val="237"/>
        </w:trPr>
        <w:tc>
          <w:tcPr>
            <w:tcW w:w="5480" w:type="dxa"/>
            <w:vAlign w:val="bottom"/>
            <w:tcBorders>
              <w:bottom w:val="single" w:sz="8" w:color="E6E6E6"/>
            </w:tcBorders>
          </w:tcPr>
          <w:p>
            <w:pPr>
              <w:ind w:left="760"/>
              <w:spacing w:after="0"/>
              <w:rPr>
                <w:sz w:val="20"/>
                <w:szCs w:val="20"/>
                <w:color w:val="auto"/>
              </w:rPr>
            </w:pPr>
            <w:r>
              <w:rPr>
                <w:rFonts w:ascii="Arial" w:cs="Arial" w:eastAsia="Arial" w:hAnsi="Arial"/>
                <w:sz w:val="19"/>
                <w:szCs w:val="19"/>
                <w:color w:val="auto"/>
              </w:rPr>
              <w:t>Total operating expense</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54,354</w:t>
            </w:r>
          </w:p>
        </w:tc>
        <w:tc>
          <w:tcPr>
            <w:tcW w:w="6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51,964</w:t>
            </w:r>
          </w:p>
        </w:tc>
        <w:tc>
          <w:tcPr>
            <w:tcW w:w="8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49,503</w:t>
            </w:r>
          </w:p>
        </w:tc>
      </w:tr>
      <w:tr>
        <w:trPr>
          <w:trHeight w:val="257"/>
        </w:trPr>
        <w:tc>
          <w:tcPr>
            <w:tcW w:w="54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Operating income</w:t>
            </w:r>
          </w:p>
        </w:tc>
        <w:tc>
          <w:tcPr>
            <w:tcW w:w="340" w:type="dxa"/>
            <w:vAlign w:val="bottom"/>
            <w:tcBorders>
              <w:bottom w:val="single" w:sz="8" w:color="auto"/>
            </w:tcBorders>
            <w:shd w:val="clear" w:color="auto" w:fill="E6E6E6"/>
          </w:tcPr>
          <w:p>
            <w:pPr>
              <w:spacing w:after="0"/>
              <w:rPr>
                <w:sz w:val="22"/>
                <w:szCs w:val="22"/>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4,716</w:t>
            </w:r>
          </w:p>
        </w:tc>
        <w:tc>
          <w:tcPr>
            <w:tcW w:w="60" w:type="dxa"/>
            <w:vAlign w:val="bottom"/>
            <w:tcBorders>
              <w:bottom w:val="single" w:sz="8" w:color="E6E6E6"/>
            </w:tcBorders>
            <w:shd w:val="clear" w:color="auto" w:fill="E6E6E6"/>
          </w:tcPr>
          <w:p>
            <w:pPr>
              <w:spacing w:after="0"/>
              <w:rPr>
                <w:sz w:val="22"/>
                <w:szCs w:val="22"/>
                <w:color w:val="auto"/>
              </w:rPr>
            </w:pPr>
          </w:p>
        </w:tc>
        <w:tc>
          <w:tcPr>
            <w:tcW w:w="360" w:type="dxa"/>
            <w:vAlign w:val="bottom"/>
            <w:tcBorders>
              <w:bottom w:val="single" w:sz="8" w:color="auto"/>
            </w:tcBorders>
            <w:shd w:val="clear" w:color="auto" w:fill="E6E6E6"/>
          </w:tcPr>
          <w:p>
            <w:pPr>
              <w:spacing w:after="0"/>
              <w:rPr>
                <w:sz w:val="22"/>
                <w:szCs w:val="22"/>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5,099</w:t>
            </w:r>
          </w:p>
        </w:tc>
        <w:tc>
          <w:tcPr>
            <w:tcW w:w="80" w:type="dxa"/>
            <w:vAlign w:val="bottom"/>
            <w:tcBorders>
              <w:bottom w:val="single" w:sz="8" w:color="E6E6E6"/>
            </w:tcBorders>
            <w:shd w:val="clear" w:color="auto" w:fill="E6E6E6"/>
          </w:tcPr>
          <w:p>
            <w:pPr>
              <w:spacing w:after="0"/>
              <w:rPr>
                <w:sz w:val="22"/>
                <w:szCs w:val="22"/>
                <w:color w:val="auto"/>
              </w:rPr>
            </w:pPr>
          </w:p>
        </w:tc>
        <w:tc>
          <w:tcPr>
            <w:tcW w:w="360" w:type="dxa"/>
            <w:vAlign w:val="bottom"/>
            <w:tcBorders>
              <w:bottom w:val="single" w:sz="8" w:color="auto"/>
            </w:tcBorders>
            <w:shd w:val="clear" w:color="auto" w:fill="E6E6E6"/>
          </w:tcPr>
          <w:p>
            <w:pPr>
              <w:spacing w:after="0"/>
              <w:rPr>
                <w:sz w:val="22"/>
                <w:szCs w:val="22"/>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4,214</w:t>
            </w:r>
          </w:p>
        </w:tc>
      </w:tr>
      <w:tr>
        <w:trPr>
          <w:trHeight w:val="267"/>
        </w:trPr>
        <w:tc>
          <w:tcPr>
            <w:tcW w:w="5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7"/>
        </w:trPr>
        <w:tc>
          <w:tcPr>
            <w:tcW w:w="54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Nonoperating income (expense):</w:t>
            </w:r>
          </w:p>
        </w:tc>
        <w:tc>
          <w:tcPr>
            <w:tcW w:w="340" w:type="dxa"/>
            <w:vAlign w:val="bottom"/>
            <w:tcBorders>
              <w:bottom w:val="single" w:sz="8" w:color="E6E6E6"/>
            </w:tcBorders>
            <w:shd w:val="clear" w:color="auto" w:fill="E6E6E6"/>
          </w:tcPr>
          <w:p>
            <w:pPr>
              <w:spacing w:after="0"/>
              <w:rPr>
                <w:sz w:val="22"/>
                <w:szCs w:val="22"/>
                <w:color w:val="auto"/>
              </w:rPr>
            </w:pPr>
          </w:p>
        </w:tc>
        <w:tc>
          <w:tcPr>
            <w:tcW w:w="1100" w:type="dxa"/>
            <w:vAlign w:val="bottom"/>
            <w:tcBorders>
              <w:bottom w:val="single" w:sz="8" w:color="E6E6E6"/>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360" w:type="dxa"/>
            <w:vAlign w:val="bottom"/>
            <w:tcBorders>
              <w:bottom w:val="single" w:sz="8" w:color="E6E6E6"/>
            </w:tcBorders>
            <w:shd w:val="clear" w:color="auto" w:fill="E6E6E6"/>
          </w:tcPr>
          <w:p>
            <w:pPr>
              <w:spacing w:after="0"/>
              <w:rPr>
                <w:sz w:val="22"/>
                <w:szCs w:val="22"/>
                <w:color w:val="auto"/>
              </w:rPr>
            </w:pPr>
          </w:p>
        </w:tc>
        <w:tc>
          <w:tcPr>
            <w:tcW w:w="1080" w:type="dxa"/>
            <w:vAlign w:val="bottom"/>
            <w:tcBorders>
              <w:bottom w:val="single" w:sz="8" w:color="E6E6E6"/>
            </w:tcBorders>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360" w:type="dxa"/>
            <w:vAlign w:val="bottom"/>
            <w:tcBorders>
              <w:bottom w:val="single" w:sz="8" w:color="E6E6E6"/>
            </w:tcBorders>
            <w:shd w:val="clear" w:color="auto" w:fill="E6E6E6"/>
          </w:tcPr>
          <w:p>
            <w:pPr>
              <w:spacing w:after="0"/>
              <w:rPr>
                <w:sz w:val="22"/>
                <w:szCs w:val="22"/>
                <w:color w:val="auto"/>
              </w:rPr>
            </w:pPr>
          </w:p>
        </w:tc>
        <w:tc>
          <w:tcPr>
            <w:tcW w:w="1080" w:type="dxa"/>
            <w:vAlign w:val="bottom"/>
            <w:tcBorders>
              <w:bottom w:val="single" w:sz="8" w:color="E6E6E6"/>
            </w:tcBorders>
            <w:shd w:val="clear" w:color="auto" w:fill="E6E6E6"/>
          </w:tcPr>
          <w:p>
            <w:pPr>
              <w:spacing w:after="0"/>
              <w:rPr>
                <w:sz w:val="22"/>
                <w:szCs w:val="22"/>
                <w:color w:val="auto"/>
              </w:rPr>
            </w:pPr>
          </w:p>
        </w:tc>
      </w:tr>
      <w:tr>
        <w:trPr>
          <w:trHeight w:val="270"/>
        </w:trPr>
        <w:tc>
          <w:tcPr>
            <w:tcW w:w="5480" w:type="dxa"/>
            <w:vAlign w:val="bottom"/>
          </w:tcPr>
          <w:p>
            <w:pPr>
              <w:ind w:left="540"/>
              <w:spacing w:after="0"/>
              <w:rPr>
                <w:sz w:val="20"/>
                <w:szCs w:val="20"/>
                <w:color w:val="auto"/>
              </w:rPr>
            </w:pPr>
            <w:r>
              <w:rPr>
                <w:rFonts w:ascii="Arial" w:cs="Arial" w:eastAsia="Arial" w:hAnsi="Arial"/>
                <w:sz w:val="19"/>
                <w:szCs w:val="19"/>
                <w:color w:val="auto"/>
              </w:rPr>
              <w:t>Interest expense</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(1,373)</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(1,629)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(1,956)</w:t>
            </w:r>
          </w:p>
        </w:tc>
      </w:tr>
      <w:tr>
        <w:trPr>
          <w:trHeight w:val="283"/>
        </w:trPr>
        <w:tc>
          <w:tcPr>
            <w:tcW w:w="5480" w:type="dxa"/>
            <w:vAlign w:val="bottom"/>
            <w:shd w:val="clear" w:color="auto" w:fill="E6E6E6"/>
          </w:tcPr>
          <w:p>
            <w:pPr>
              <w:ind w:left="540"/>
              <w:spacing w:after="0"/>
              <w:rPr>
                <w:sz w:val="20"/>
                <w:szCs w:val="20"/>
                <w:color w:val="auto"/>
              </w:rPr>
            </w:pPr>
            <w:r>
              <w:rPr>
                <w:rFonts w:ascii="Arial" w:cs="Arial" w:eastAsia="Arial" w:hAnsi="Arial"/>
                <w:sz w:val="19"/>
                <w:szCs w:val="19"/>
                <w:color w:val="auto"/>
              </w:rPr>
              <w:t>Interest income</w:t>
            </w:r>
          </w:p>
        </w:tc>
        <w:tc>
          <w:tcPr>
            <w:tcW w:w="3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611</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726</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827</w:t>
            </w:r>
          </w:p>
        </w:tc>
      </w:tr>
      <w:tr>
        <w:trPr>
          <w:trHeight w:val="270"/>
        </w:trPr>
        <w:tc>
          <w:tcPr>
            <w:tcW w:w="5480" w:type="dxa"/>
            <w:vAlign w:val="bottom"/>
          </w:tcPr>
          <w:p>
            <w:pPr>
              <w:ind w:left="540"/>
              <w:spacing w:after="0"/>
              <w:rPr>
                <w:sz w:val="20"/>
                <w:szCs w:val="20"/>
                <w:color w:val="auto"/>
              </w:rPr>
            </w:pPr>
            <w:r>
              <w:rPr>
                <w:rFonts w:ascii="Arial" w:cs="Arial" w:eastAsia="Arial" w:hAnsi="Arial"/>
                <w:sz w:val="19"/>
                <w:szCs w:val="19"/>
                <w:color w:val="auto"/>
              </w:rPr>
              <w:t>Interest capitalized</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206</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227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182</w:t>
            </w:r>
          </w:p>
        </w:tc>
      </w:tr>
      <w:tr>
        <w:trPr>
          <w:trHeight w:val="297"/>
        </w:trPr>
        <w:tc>
          <w:tcPr>
            <w:tcW w:w="5480" w:type="dxa"/>
            <w:vAlign w:val="bottom"/>
            <w:shd w:val="clear" w:color="auto" w:fill="E6E6E6"/>
          </w:tcPr>
          <w:p>
            <w:pPr>
              <w:ind w:left="540"/>
              <w:spacing w:after="0"/>
              <w:rPr>
                <w:sz w:val="20"/>
                <w:szCs w:val="20"/>
                <w:color w:val="auto"/>
              </w:rPr>
            </w:pPr>
            <w:r>
              <w:rPr>
                <w:rFonts w:ascii="Arial" w:cs="Arial" w:eastAsia="Arial" w:hAnsi="Arial"/>
                <w:sz w:val="19"/>
                <w:szCs w:val="19"/>
                <w:color w:val="auto"/>
              </w:rPr>
              <w:t>Unrealized gains (losses) on investments, net</w:t>
            </w:r>
          </w:p>
        </w:tc>
        <w:tc>
          <w:tcPr>
            <w:tcW w:w="3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(199)</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27</w:t>
            </w:r>
          </w:p>
        </w:tc>
      </w:tr>
      <w:tr>
        <w:trPr>
          <w:trHeight w:val="281"/>
        </w:trPr>
        <w:tc>
          <w:tcPr>
            <w:tcW w:w="5480" w:type="dxa"/>
            <w:vAlign w:val="bottom"/>
            <w:tcBorders>
              <w:bottom w:val="single" w:sz="8" w:color="E6E6E6"/>
            </w:tcBorders>
          </w:tcPr>
          <w:p>
            <w:pPr>
              <w:ind w:left="540"/>
              <w:spacing w:after="0"/>
              <w:rPr>
                <w:sz w:val="20"/>
                <w:szCs w:val="20"/>
                <w:color w:val="auto"/>
              </w:rPr>
            </w:pPr>
            <w:r>
              <w:rPr>
                <w:rFonts w:ascii="Arial" w:cs="Arial" w:eastAsia="Arial" w:hAnsi="Arial"/>
                <w:sz w:val="19"/>
                <w:szCs w:val="19"/>
                <w:color w:val="auto"/>
              </w:rPr>
              <w:t>Miscellaneous, net</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144</w:t>
            </w:r>
          </w:p>
        </w:tc>
        <w:tc>
          <w:tcPr>
            <w:tcW w:w="6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w:t>
            </w: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w:t>
            </w:r>
          </w:p>
        </w:tc>
      </w:tr>
      <w:tr>
        <w:trPr>
          <w:trHeight w:val="276"/>
        </w:trPr>
        <w:tc>
          <w:tcPr>
            <w:tcW w:w="5480" w:type="dxa"/>
            <w:vAlign w:val="bottom"/>
            <w:tcBorders>
              <w:bottom w:val="single" w:sz="8" w:color="E6E6E6"/>
            </w:tcBorders>
            <w:shd w:val="clear" w:color="auto" w:fill="E6E6E6"/>
          </w:tcPr>
          <w:p>
            <w:pPr>
              <w:ind w:left="760"/>
              <w:spacing w:after="0"/>
              <w:rPr>
                <w:sz w:val="20"/>
                <w:szCs w:val="20"/>
                <w:color w:val="auto"/>
              </w:rPr>
            </w:pPr>
            <w:r>
              <w:rPr>
                <w:rFonts w:ascii="Arial" w:cs="Arial" w:eastAsia="Arial" w:hAnsi="Arial"/>
                <w:sz w:val="19"/>
                <w:szCs w:val="19"/>
                <w:color w:val="auto"/>
              </w:rPr>
              <w:t>Total nonoperating expense, net</w:t>
            </w:r>
          </w:p>
        </w:tc>
        <w:tc>
          <w:tcPr>
            <w:tcW w:w="340" w:type="dxa"/>
            <w:vAlign w:val="bottom"/>
            <w:tcBorders>
              <w:bottom w:val="single" w:sz="8" w:color="auto"/>
            </w:tcBorders>
            <w:shd w:val="clear" w:color="auto" w:fill="E6E6E6"/>
          </w:tcPr>
          <w:p>
            <w:pPr>
              <w:spacing w:after="0"/>
              <w:rPr>
                <w:sz w:val="23"/>
                <w:szCs w:val="23"/>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(408)</w:t>
            </w:r>
          </w:p>
        </w:tc>
        <w:tc>
          <w:tcPr>
            <w:tcW w:w="6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spacing w:after="0"/>
              <w:rPr>
                <w:sz w:val="23"/>
                <w:szCs w:val="23"/>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(928)</w:t>
            </w:r>
          </w:p>
        </w:tc>
        <w:tc>
          <w:tcPr>
            <w:tcW w:w="8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spacing w:after="0"/>
              <w:rPr>
                <w:sz w:val="23"/>
                <w:szCs w:val="23"/>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(824)</w:t>
            </w:r>
          </w:p>
        </w:tc>
      </w:tr>
      <w:tr>
        <w:trPr>
          <w:trHeight w:val="241"/>
        </w:trPr>
        <w:tc>
          <w:tcPr>
            <w:tcW w:w="5480" w:type="dxa"/>
            <w:vAlign w:val="bottom"/>
          </w:tcPr>
          <w:p>
            <w:pPr>
              <w:ind w:left="60"/>
              <w:spacing w:after="0"/>
              <w:rPr>
                <w:sz w:val="20"/>
                <w:szCs w:val="20"/>
                <w:color w:val="auto"/>
              </w:rPr>
            </w:pPr>
            <w:r>
              <w:rPr>
                <w:rFonts w:ascii="Arial" w:cs="Arial" w:eastAsia="Arial" w:hAnsi="Arial"/>
                <w:sz w:val="19"/>
                <w:szCs w:val="19"/>
                <w:color w:val="auto"/>
              </w:rPr>
              <w:t>Income before income taxes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4,308</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4,171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3,390</w:t>
            </w:r>
          </w:p>
        </w:tc>
      </w:tr>
      <w:tr>
        <w:trPr>
          <w:trHeight w:val="292"/>
        </w:trPr>
        <w:tc>
          <w:tcPr>
            <w:tcW w:w="54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Income tax expense</w:t>
            </w:r>
          </w:p>
        </w:tc>
        <w:tc>
          <w:tcPr>
            <w:tcW w:w="34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953</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1,020</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770</w:t>
            </w:r>
          </w:p>
        </w:tc>
      </w:tr>
      <w:tr>
        <w:trPr>
          <w:trHeight w:val="219"/>
        </w:trPr>
        <w:tc>
          <w:tcPr>
            <w:tcW w:w="5480" w:type="dxa"/>
            <w:vAlign w:val="bottom"/>
          </w:tcPr>
          <w:p>
            <w:pPr>
              <w:ind w:left="60"/>
              <w:spacing w:after="0"/>
              <w:rPr>
                <w:sz w:val="20"/>
                <w:szCs w:val="20"/>
                <w:color w:val="auto"/>
              </w:rPr>
            </w:pPr>
            <w:r>
              <w:rPr>
                <w:rFonts w:ascii="Arial" w:cs="Arial" w:eastAsia="Arial" w:hAnsi="Arial"/>
                <w:sz w:val="19"/>
                <w:szCs w:val="19"/>
                <w:color w:val="auto"/>
              </w:rPr>
              <w:t>Net income</w:t>
            </w:r>
          </w:p>
        </w:tc>
        <w:tc>
          <w:tcPr>
            <w:tcW w:w="34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3,355</w:t>
            </w:r>
          </w:p>
        </w:tc>
        <w:tc>
          <w:tcPr>
            <w:tcW w:w="42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3,151</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2,620</w:t>
            </w: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-4457065</wp:posOffset>
            </wp:positionV>
            <wp:extent cx="286258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4">
                      <a:extLst>
                        <a:ext uri="{28A0092B-C50C-407E-A947-70E740481C1C}"/>
                      </a:extLst>
                    </a:blip>
                    <a:srcRect/>
                    <a:stretch>
                      <a:fillRect/>
                    </a:stretch>
                  </pic:blipFill>
                  <pic:spPr bwMode="auto">
                    <a:xfrm>
                      <a:off x="0" y="0"/>
                      <a:ext cx="2862580" cy="254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-4281170</wp:posOffset>
            </wp:positionV>
            <wp:extent cx="286258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5">
                      <a:extLst>
                        <a:ext uri="{28A0092B-C50C-407E-A947-70E740481C1C}"/>
                      </a:extLst>
                    </a:blip>
                    <a:srcRect/>
                    <a:stretch>
                      <a:fillRect/>
                    </a:stretch>
                  </pic:blipFill>
                  <pic:spPr bwMode="auto">
                    <a:xfrm>
                      <a:off x="0" y="0"/>
                      <a:ext cx="2862580" cy="254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-2331720</wp:posOffset>
            </wp:positionV>
            <wp:extent cx="286258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6">
                      <a:extLst>
                        <a:ext uri="{28A0092B-C50C-407E-A947-70E740481C1C}"/>
                      </a:extLst>
                    </a:blip>
                    <a:srcRect/>
                    <a:stretch>
                      <a:fillRect/>
                    </a:stretch>
                  </pic:blipFill>
                  <pic:spPr bwMode="auto">
                    <a:xfrm>
                      <a:off x="0" y="0"/>
                      <a:ext cx="2862580" cy="254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-2155825</wp:posOffset>
            </wp:positionV>
            <wp:extent cx="286258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7">
                      <a:extLst>
                        <a:ext uri="{28A0092B-C50C-407E-A947-70E740481C1C}"/>
                      </a:extLst>
                    </a:blip>
                    <a:srcRect/>
                    <a:stretch>
                      <a:fillRect/>
                    </a:stretch>
                  </pic:blipFill>
                  <pic:spPr bwMode="auto">
                    <a:xfrm>
                      <a:off x="0" y="0"/>
                      <a:ext cx="2862580" cy="254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-1980565</wp:posOffset>
            </wp:positionV>
            <wp:extent cx="286258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8">
                      <a:extLst>
                        <a:ext uri="{28A0092B-C50C-407E-A947-70E740481C1C}"/>
                      </a:extLst>
                    </a:blip>
                    <a:srcRect/>
                    <a:stretch>
                      <a:fillRect/>
                    </a:stretch>
                  </pic:blipFill>
                  <pic:spPr bwMode="auto">
                    <a:xfrm>
                      <a:off x="0" y="0"/>
                      <a:ext cx="2862580" cy="254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-732790</wp:posOffset>
            </wp:positionV>
            <wp:extent cx="286258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9">
                      <a:extLst>
                        <a:ext uri="{28A0092B-C50C-407E-A947-70E740481C1C}"/>
                      </a:extLst>
                    </a:blip>
                    <a:srcRect/>
                    <a:stretch>
                      <a:fillRect/>
                    </a:stretch>
                  </pic:blipFill>
                  <pic:spPr bwMode="auto">
                    <a:xfrm>
                      <a:off x="0" y="0"/>
                      <a:ext cx="2862580" cy="254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-557530</wp:posOffset>
            </wp:positionV>
            <wp:extent cx="286258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0">
                      <a:extLst>
                        <a:ext uri="{28A0092B-C50C-407E-A947-70E740481C1C}"/>
                      </a:extLst>
                    </a:blip>
                    <a:srcRect/>
                    <a:stretch>
                      <a:fillRect/>
                    </a:stretch>
                  </pic:blipFill>
                  <pic:spPr bwMode="auto">
                    <a:xfrm>
                      <a:off x="0" y="0"/>
                      <a:ext cx="2862580" cy="254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-206375</wp:posOffset>
            </wp:positionV>
            <wp:extent cx="286258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1">
                      <a:extLst>
                        <a:ext uri="{28A0092B-C50C-407E-A947-70E740481C1C}"/>
                      </a:extLst>
                    </a:blip>
                    <a:srcRect/>
                    <a:stretch>
                      <a:fillRect/>
                    </a:stretch>
                  </pic:blipFill>
                  <pic:spPr bwMode="auto">
                    <a:xfrm>
                      <a:off x="0" y="0"/>
                      <a:ext cx="2862580" cy="25400"/>
                    </a:xfrm>
                    <a:prstGeom prst="rect">
                      <a:avLst/>
                    </a:prstGeom>
                    <a:noFill/>
                  </pic:spPr>
                </pic:pic>
              </a:graphicData>
            </a:graphic>
          </wp:anchor>
        </w:drawing>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The accompanying Combined Notes to Consolidated Financial Statements are an integral part of these statements.</w:t>
      </w:r>
    </w:p>
    <w:p>
      <w:pPr>
        <w:sectPr>
          <w:pgSz w:w="11880" w:h="15480" w:orient="portrait"/>
          <w:cols w:equalWidth="0" w:num="1">
            <w:col w:w="9940"/>
          </w:cols>
          <w:pgMar w:left="960" w:top="812"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9940"/>
          </w:cols>
          <w:pgMar w:left="960" w:top="812" w:right="980" w:bottom="33"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9"/>
          <w:szCs w:val="19"/>
          <w:b w:val="1"/>
          <w:bCs w:val="1"/>
          <w:color w:val="auto"/>
        </w:rPr>
        <w:t>UNITED AIRLINES,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STATEMENTS OF CONSOLIDATED COMPREHENSIVE INCOME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r>
      <w:tr>
        <w:trPr>
          <w:trHeight w:val="271"/>
        </w:trPr>
        <w:tc>
          <w:tcPr>
            <w:tcW w:w="6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46"/>
              <w:spacing w:after="0"/>
              <w:rPr>
                <w:sz w:val="20"/>
                <w:szCs w:val="20"/>
                <w:color w:val="auto"/>
              </w:rPr>
            </w:pPr>
            <w:r>
              <w:rPr>
                <w:rFonts w:ascii="Arial" w:cs="Arial" w:eastAsia="Arial" w:hAnsi="Arial"/>
                <w:sz w:val="17"/>
                <w:szCs w:val="17"/>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5"/>
              <w:spacing w:after="0"/>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45"/>
              <w:spacing w:after="0"/>
              <w:rPr>
                <w:sz w:val="20"/>
                <w:szCs w:val="20"/>
                <w:color w:val="auto"/>
              </w:rPr>
            </w:pPr>
            <w:r>
              <w:rPr>
                <w:rFonts w:ascii="Arial" w:cs="Arial" w:eastAsia="Arial" w:hAnsi="Arial"/>
                <w:sz w:val="17"/>
                <w:szCs w:val="17"/>
                <w:b w:val="1"/>
                <w:bCs w:val="1"/>
                <w:color w:val="auto"/>
              </w:rPr>
              <w:t>2023</w:t>
            </w:r>
          </w:p>
        </w:tc>
      </w:tr>
      <w:tr>
        <w:trPr>
          <w:trHeight w:val="267"/>
        </w:trPr>
        <w:tc>
          <w:tcPr>
            <w:tcW w:w="6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7"/>
        </w:trPr>
        <w:tc>
          <w:tcPr>
            <w:tcW w:w="6100" w:type="dxa"/>
            <w:vAlign w:val="bottom"/>
            <w:shd w:val="clear" w:color="auto" w:fill="E6E6E6"/>
          </w:tcPr>
          <w:p>
            <w:pPr>
              <w:ind w:left="40"/>
              <w:spacing w:after="0"/>
              <w:rPr>
                <w:sz w:val="20"/>
                <w:szCs w:val="20"/>
                <w:color w:val="auto"/>
              </w:rPr>
            </w:pPr>
            <w:r>
              <w:rPr>
                <w:rFonts w:ascii="Arial" w:cs="Arial" w:eastAsia="Arial" w:hAnsi="Arial"/>
                <w:sz w:val="19"/>
                <w:szCs w:val="19"/>
                <w:color w:val="auto"/>
              </w:rPr>
              <w:t>Net income</w:t>
            </w:r>
          </w:p>
        </w:tc>
        <w:tc>
          <w:tcPr>
            <w:tcW w:w="300" w:type="dxa"/>
            <w:vAlign w:val="bottom"/>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3,355</w:t>
            </w:r>
          </w:p>
        </w:tc>
        <w:tc>
          <w:tcPr>
            <w:tcW w:w="360" w:type="dxa"/>
            <w:vAlign w:val="bottom"/>
            <w:gridSpan w:val="2"/>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3,151</w:t>
            </w:r>
          </w:p>
        </w:tc>
        <w:tc>
          <w:tcPr>
            <w:tcW w:w="440" w:type="dxa"/>
            <w:vAlign w:val="bottom"/>
            <w:gridSpan w:val="2"/>
            <w:shd w:val="clear" w:color="auto" w:fill="E6E6E6"/>
          </w:tcPr>
          <w:p>
            <w:pPr>
              <w:jc w:val="right"/>
              <w:ind w:right="123"/>
              <w:spacing w:after="0"/>
              <w:rPr>
                <w:sz w:val="20"/>
                <w:szCs w:val="20"/>
                <w:color w:val="auto"/>
              </w:rPr>
            </w:pPr>
            <w:r>
              <w:rPr>
                <w:rFonts w:ascii="Arial" w:cs="Arial" w:eastAsia="Arial" w:hAnsi="Arial"/>
                <w:sz w:val="19"/>
                <w:szCs w:val="19"/>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2,620</w:t>
            </w:r>
          </w:p>
        </w:tc>
      </w:tr>
      <w:tr>
        <w:trPr>
          <w:trHeight w:val="277"/>
        </w:trPr>
        <w:tc>
          <w:tcPr>
            <w:tcW w:w="6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7"/>
        </w:trPr>
        <w:tc>
          <w:tcPr>
            <w:tcW w:w="6100" w:type="dxa"/>
            <w:vAlign w:val="bottom"/>
            <w:shd w:val="clear" w:color="auto" w:fill="E6E6E6"/>
          </w:tcPr>
          <w:p>
            <w:pPr>
              <w:ind w:left="40"/>
              <w:spacing w:after="0"/>
              <w:rPr>
                <w:sz w:val="20"/>
                <w:szCs w:val="20"/>
                <w:color w:val="auto"/>
              </w:rPr>
            </w:pPr>
            <w:r>
              <w:rPr>
                <w:rFonts w:ascii="Arial" w:cs="Arial" w:eastAsia="Arial" w:hAnsi="Arial"/>
                <w:sz w:val="19"/>
                <w:szCs w:val="19"/>
                <w:color w:val="auto"/>
              </w:rPr>
              <w:t>Other comprehensive income (loss), net of tax:</w:t>
            </w:r>
          </w:p>
        </w:tc>
        <w:tc>
          <w:tcPr>
            <w:tcW w:w="30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860" w:type="dxa"/>
            <w:vAlign w:val="bottom"/>
            <w:shd w:val="clear" w:color="auto" w:fill="E6E6E6"/>
          </w:tcPr>
          <w:p>
            <w:pPr>
              <w:spacing w:after="0"/>
              <w:rPr>
                <w:sz w:val="24"/>
                <w:szCs w:val="24"/>
                <w:color w:val="auto"/>
              </w:rPr>
            </w:pPr>
          </w:p>
        </w:tc>
      </w:tr>
      <w:tr>
        <w:trPr>
          <w:trHeight w:val="285"/>
        </w:trPr>
        <w:tc>
          <w:tcPr>
            <w:tcW w:w="6100" w:type="dxa"/>
            <w:vAlign w:val="bottom"/>
          </w:tcPr>
          <w:p>
            <w:pPr>
              <w:ind w:left="400"/>
              <w:spacing w:after="0"/>
              <w:rPr>
                <w:sz w:val="20"/>
                <w:szCs w:val="20"/>
                <w:color w:val="auto"/>
              </w:rPr>
            </w:pPr>
            <w:r>
              <w:rPr>
                <w:rFonts w:ascii="Arial" w:cs="Arial" w:eastAsia="Arial" w:hAnsi="Arial"/>
                <w:sz w:val="19"/>
                <w:szCs w:val="19"/>
                <w:color w:val="auto"/>
              </w:rPr>
              <w:t>Employee benefit plans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247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(261)</w:t>
            </w:r>
          </w:p>
        </w:tc>
      </w:tr>
      <w:tr>
        <w:trPr>
          <w:trHeight w:val="287"/>
        </w:trPr>
        <w:tc>
          <w:tcPr>
            <w:tcW w:w="610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9"/>
                <w:szCs w:val="19"/>
                <w:color w:val="auto"/>
              </w:rPr>
              <w:t>Investments and other</w:t>
            </w:r>
          </w:p>
        </w:tc>
        <w:tc>
          <w:tcPr>
            <w:tcW w:w="30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8</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24</w:t>
            </w:r>
          </w:p>
        </w:tc>
      </w:tr>
      <w:tr>
        <w:trPr>
          <w:trHeight w:val="271"/>
        </w:trPr>
        <w:tc>
          <w:tcPr>
            <w:tcW w:w="6100" w:type="dxa"/>
            <w:vAlign w:val="bottom"/>
            <w:tcBorders>
              <w:bottom w:val="single" w:sz="8" w:color="E6E6E6"/>
            </w:tcBorders>
          </w:tcPr>
          <w:p>
            <w:pPr>
              <w:ind w:left="400"/>
              <w:spacing w:after="0"/>
              <w:rPr>
                <w:sz w:val="20"/>
                <w:szCs w:val="20"/>
                <w:color w:val="auto"/>
              </w:rPr>
            </w:pPr>
            <w:r>
              <w:rPr>
                <w:rFonts w:ascii="Arial" w:cs="Arial" w:eastAsia="Arial" w:hAnsi="Arial"/>
                <w:sz w:val="19"/>
                <w:szCs w:val="19"/>
                <w:color w:val="auto"/>
              </w:rPr>
              <w:t>Total other comprehensive income (loss), net of tax</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(140)</w:t>
            </w:r>
          </w:p>
        </w:tc>
        <w:tc>
          <w:tcPr>
            <w:tcW w:w="6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250</w:t>
            </w:r>
          </w:p>
        </w:tc>
        <w:tc>
          <w:tcPr>
            <w:tcW w:w="8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(237)</w:t>
            </w:r>
          </w:p>
        </w:tc>
      </w:tr>
      <w:tr>
        <w:trPr>
          <w:trHeight w:val="305"/>
        </w:trPr>
        <w:tc>
          <w:tcPr>
            <w:tcW w:w="61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9"/>
                <w:szCs w:val="19"/>
                <w:color w:val="auto"/>
              </w:rPr>
              <w:t>Total comprehensive income, net</w:t>
            </w:r>
          </w:p>
        </w:tc>
        <w:tc>
          <w:tcPr>
            <w:tcW w:w="300" w:type="dxa"/>
            <w:vAlign w:val="bottom"/>
            <w:tcBorders>
              <w:bottom w:val="single" w:sz="8" w:color="auto"/>
            </w:tcBorders>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3,215</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3,401</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23"/>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3867150</wp:posOffset>
            </wp:positionH>
            <wp:positionV relativeFrom="paragraph">
              <wp:posOffset>-409575</wp:posOffset>
            </wp:positionV>
            <wp:extent cx="244665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2">
                      <a:extLst>
                        <a:ext uri="{28A0092B-C50C-407E-A947-70E740481C1C}"/>
                      </a:extLst>
                    </a:blip>
                    <a:srcRect/>
                    <a:stretch>
                      <a:fillRect/>
                    </a:stretch>
                  </pic:blipFill>
                  <pic:spPr bwMode="auto">
                    <a:xfrm>
                      <a:off x="0" y="0"/>
                      <a:ext cx="2446655" cy="2540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-224790</wp:posOffset>
            </wp:positionV>
            <wp:extent cx="244665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3">
                      <a:extLst>
                        <a:ext uri="{28A0092B-C50C-407E-A947-70E740481C1C}"/>
                      </a:extLst>
                    </a:blip>
                    <a:srcRect/>
                    <a:stretch>
                      <a:fillRect/>
                    </a:stretch>
                  </pic:blipFill>
                  <pic:spPr bwMode="auto">
                    <a:xfrm>
                      <a:off x="0" y="0"/>
                      <a:ext cx="2446655" cy="2540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-42545</wp:posOffset>
            </wp:positionV>
            <wp:extent cx="2446655" cy="50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4">
                      <a:extLst>
                        <a:ext uri="{28A0092B-C50C-407E-A947-70E740481C1C}"/>
                      </a:extLst>
                    </a:blip>
                    <a:srcRect/>
                    <a:stretch>
                      <a:fillRect/>
                    </a:stretch>
                  </pic:blipFill>
                  <pic:spPr bwMode="auto">
                    <a:xfrm>
                      <a:off x="0" y="0"/>
                      <a:ext cx="2446655" cy="5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Combined Notes to Consolidated Financial Statements are an integral part of these statements.</w:t>
      </w:r>
    </w:p>
    <w:p>
      <w:pPr>
        <w:sectPr>
          <w:pgSz w:w="11880" w:h="15480" w:orient="portrait"/>
          <w:cols w:equalWidth="0" w:num="1">
            <w:col w:w="9920"/>
          </w:cols>
          <w:pgMar w:left="980" w:top="579"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9920"/>
          </w:cols>
          <w:pgMar w:left="980" w:top="579" w:right="980" w:bottom="33"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9"/>
          <w:szCs w:val="19"/>
          <w:b w:val="1"/>
          <w:bCs w:val="1"/>
          <w:color w:val="auto"/>
        </w:rPr>
        <w:t>UNITED AIRLINES,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millions, except shares)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4"/>
          </w:tcPr>
          <w:p>
            <w:pPr>
              <w:jc w:val="right"/>
              <w:ind w:right="643"/>
              <w:spacing w:after="0"/>
              <w:rPr>
                <w:sz w:val="20"/>
                <w:szCs w:val="20"/>
                <w:color w:val="auto"/>
              </w:rPr>
            </w:pPr>
            <w:r>
              <w:rPr>
                <w:rFonts w:ascii="Arial" w:cs="Arial" w:eastAsia="Arial" w:hAnsi="Arial"/>
                <w:sz w:val="17"/>
                <w:szCs w:val="17"/>
                <w:b w:val="1"/>
                <w:bCs w:val="1"/>
                <w:color w:val="auto"/>
              </w:rPr>
              <w:t>At December 31,</w:t>
            </w:r>
          </w:p>
        </w:tc>
        <w:tc>
          <w:tcPr>
            <w:tcW w:w="0" w:type="dxa"/>
            <w:vAlign w:val="bottom"/>
          </w:tcPr>
          <w:p>
            <w:pPr>
              <w:spacing w:after="0"/>
              <w:rPr>
                <w:sz w:val="1"/>
                <w:szCs w:val="1"/>
                <w:color w:val="auto"/>
              </w:rPr>
            </w:pPr>
          </w:p>
        </w:tc>
      </w:tr>
      <w:tr>
        <w:trPr>
          <w:trHeight w:val="25"/>
        </w:trPr>
        <w:tc>
          <w:tcPr>
            <w:tcW w:w="7200" w:type="dxa"/>
            <w:vAlign w:val="bottom"/>
            <w:gridSpan w:val="2"/>
            <w:vMerge w:val="restart"/>
          </w:tcPr>
          <w:p>
            <w:pPr>
              <w:ind w:left="40"/>
              <w:spacing w:after="0"/>
              <w:rPr>
                <w:sz w:val="20"/>
                <w:szCs w:val="20"/>
                <w:color w:val="auto"/>
              </w:rPr>
            </w:pPr>
            <w:r>
              <w:rPr>
                <w:rFonts w:ascii="Arial" w:cs="Arial" w:eastAsia="Arial" w:hAnsi="Arial"/>
                <w:sz w:val="19"/>
                <w:szCs w:val="19"/>
                <w:b w:val="1"/>
                <w:bCs w:val="1"/>
                <w:color w:val="auto"/>
              </w:rPr>
              <w:t>ASSETS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720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404"/>
              <w:spacing w:after="0"/>
              <w:rPr>
                <w:sz w:val="20"/>
                <w:szCs w:val="20"/>
                <w:color w:val="auto"/>
              </w:rPr>
            </w:pPr>
            <w:r>
              <w:rPr>
                <w:rFonts w:ascii="Arial" w:cs="Arial" w:eastAsia="Arial" w:hAnsi="Arial"/>
                <w:sz w:val="17"/>
                <w:szCs w:val="17"/>
                <w:b w:val="1"/>
                <w:bCs w:val="1"/>
                <w:color w:val="auto"/>
              </w:rPr>
              <w:t>2025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403"/>
              <w:spacing w:after="0"/>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22"/>
        </w:trPr>
        <w:tc>
          <w:tcPr>
            <w:tcW w:w="718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Cash and cash equivalents</w:t>
            </w:r>
          </w:p>
        </w:tc>
        <w:tc>
          <w:tcPr>
            <w:tcW w:w="300" w:type="dxa"/>
            <w:vAlign w:val="bottom"/>
            <w:shd w:val="clear" w:color="auto" w:fill="E6E6E6"/>
          </w:tcPr>
          <w:p>
            <w:pPr>
              <w:jc w:val="right"/>
              <w:ind w:right="83"/>
              <w:spacing w:after="0"/>
              <w:rPr>
                <w:sz w:val="20"/>
                <w:szCs w:val="20"/>
                <w:color w:val="auto"/>
              </w:rPr>
            </w:pPr>
            <w:r>
              <w:rPr>
                <w:rFonts w:ascii="Arial" w:cs="Arial" w:eastAsia="Arial" w:hAnsi="Arial"/>
                <w:sz w:val="19"/>
                <w:szCs w:val="19"/>
                <w:color w:val="auto"/>
                <w:w w:val="94"/>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5,942</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19"/>
                <w:szCs w:val="19"/>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8,769</w:t>
            </w:r>
          </w:p>
        </w:tc>
        <w:tc>
          <w:tcPr>
            <w:tcW w:w="0" w:type="dxa"/>
            <w:vAlign w:val="bottom"/>
          </w:tcPr>
          <w:p>
            <w:pPr>
              <w:spacing w:after="0"/>
              <w:rPr>
                <w:sz w:val="1"/>
                <w:szCs w:val="1"/>
                <w:color w:val="auto"/>
              </w:rPr>
            </w:pPr>
          </w:p>
        </w:tc>
      </w:tr>
      <w:tr>
        <w:trPr>
          <w:trHeight w:val="285"/>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Short-term investments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6,298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5,706</w:t>
            </w:r>
          </w:p>
        </w:tc>
        <w:tc>
          <w:tcPr>
            <w:tcW w:w="0" w:type="dxa"/>
            <w:vAlign w:val="bottom"/>
          </w:tcPr>
          <w:p>
            <w:pPr>
              <w:spacing w:after="0"/>
              <w:rPr>
                <w:sz w:val="1"/>
                <w:szCs w:val="1"/>
                <w:color w:val="auto"/>
              </w:rPr>
            </w:pPr>
          </w:p>
        </w:tc>
      </w:tr>
      <w:tr>
        <w:trPr>
          <w:trHeight w:val="297"/>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Receivables, net</w:t>
            </w: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2,391</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2,163</w:t>
            </w:r>
          </w:p>
        </w:tc>
        <w:tc>
          <w:tcPr>
            <w:tcW w:w="0" w:type="dxa"/>
            <w:vAlign w:val="bottom"/>
          </w:tcPr>
          <w:p>
            <w:pPr>
              <w:spacing w:after="0"/>
              <w:rPr>
                <w:sz w:val="1"/>
                <w:szCs w:val="1"/>
                <w:color w:val="auto"/>
              </w:rPr>
            </w:pPr>
          </w:p>
        </w:tc>
      </w:tr>
      <w:tr>
        <w:trPr>
          <w:trHeight w:val="285"/>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Aircraft fuel, spare parts and supplies, net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1,556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1,572</w:t>
            </w:r>
          </w:p>
        </w:tc>
        <w:tc>
          <w:tcPr>
            <w:tcW w:w="0" w:type="dxa"/>
            <w:vAlign w:val="bottom"/>
          </w:tcPr>
          <w:p>
            <w:pPr>
              <w:spacing w:after="0"/>
              <w:rPr>
                <w:sz w:val="1"/>
                <w:szCs w:val="1"/>
                <w:color w:val="auto"/>
              </w:rPr>
            </w:pPr>
          </w:p>
        </w:tc>
      </w:tr>
      <w:tr>
        <w:trPr>
          <w:trHeight w:val="292"/>
        </w:trPr>
        <w:tc>
          <w:tcPr>
            <w:tcW w:w="7200" w:type="dxa"/>
            <w:vAlign w:val="bottom"/>
            <w:tcBorders>
              <w:bottom w:val="single" w:sz="8" w:color="E6E6E6"/>
            </w:tcBorders>
            <w:gridSpan w:val="2"/>
            <w:shd w:val="clear" w:color="auto" w:fill="E6E6E6"/>
          </w:tcPr>
          <w:p>
            <w:pPr>
              <w:ind w:left="520"/>
              <w:spacing w:after="0"/>
              <w:rPr>
                <w:sz w:val="20"/>
                <w:szCs w:val="20"/>
                <w:color w:val="auto"/>
              </w:rPr>
            </w:pPr>
            <w:r>
              <w:rPr>
                <w:rFonts w:ascii="Arial" w:cs="Arial" w:eastAsia="Arial" w:hAnsi="Arial"/>
                <w:sz w:val="19"/>
                <w:szCs w:val="19"/>
                <w:color w:val="auto"/>
              </w:rPr>
              <w:t>Prepaid expenses and other</w:t>
            </w:r>
          </w:p>
        </w:tc>
        <w:tc>
          <w:tcPr>
            <w:tcW w:w="30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671</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673</w:t>
            </w:r>
          </w:p>
        </w:tc>
        <w:tc>
          <w:tcPr>
            <w:tcW w:w="0" w:type="dxa"/>
            <w:vAlign w:val="bottom"/>
          </w:tcPr>
          <w:p>
            <w:pPr>
              <w:spacing w:after="0"/>
              <w:rPr>
                <w:sz w:val="1"/>
                <w:szCs w:val="1"/>
                <w:color w:val="auto"/>
              </w:rPr>
            </w:pPr>
          </w:p>
        </w:tc>
      </w:tr>
      <w:tr>
        <w:trPr>
          <w:trHeight w:val="252"/>
        </w:trPr>
        <w:tc>
          <w:tcPr>
            <w:tcW w:w="7200" w:type="dxa"/>
            <w:vAlign w:val="bottom"/>
            <w:tcBorders>
              <w:bottom w:val="single" w:sz="8" w:color="E6E6E6"/>
            </w:tcBorders>
            <w:gridSpan w:val="2"/>
          </w:tcPr>
          <w:p>
            <w:pPr>
              <w:ind w:left="1100"/>
              <w:spacing w:after="0"/>
              <w:rPr>
                <w:sz w:val="20"/>
                <w:szCs w:val="20"/>
                <w:color w:val="auto"/>
              </w:rPr>
            </w:pPr>
            <w:r>
              <w:rPr>
                <w:rFonts w:ascii="Arial" w:cs="Arial" w:eastAsia="Arial" w:hAnsi="Arial"/>
                <w:sz w:val="19"/>
                <w:szCs w:val="19"/>
                <w:color w:val="auto"/>
              </w:rPr>
              <w:t>Total current assets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16,857</w:t>
            </w:r>
          </w:p>
        </w:tc>
        <w:tc>
          <w:tcPr>
            <w:tcW w:w="6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18,883</w:t>
            </w:r>
          </w:p>
        </w:tc>
        <w:tc>
          <w:tcPr>
            <w:tcW w:w="0" w:type="dxa"/>
            <w:vAlign w:val="bottom"/>
          </w:tcPr>
          <w:p>
            <w:pPr>
              <w:spacing w:after="0"/>
              <w:rPr>
                <w:sz w:val="1"/>
                <w:szCs w:val="1"/>
                <w:color w:val="auto"/>
              </w:rPr>
            </w:pPr>
          </w:p>
        </w:tc>
      </w:tr>
      <w:tr>
        <w:trPr>
          <w:trHeight w:val="281"/>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Operating property and equipment, net</w:t>
            </w: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46,121</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42,908</w:t>
            </w:r>
          </w:p>
        </w:tc>
        <w:tc>
          <w:tcPr>
            <w:tcW w:w="0" w:type="dxa"/>
            <w:vAlign w:val="bottom"/>
          </w:tcPr>
          <w:p>
            <w:pPr>
              <w:spacing w:after="0"/>
              <w:rPr>
                <w:sz w:val="1"/>
                <w:szCs w:val="1"/>
                <w:color w:val="auto"/>
              </w:rPr>
            </w:pPr>
          </w:p>
        </w:tc>
      </w:tr>
      <w:tr>
        <w:trPr>
          <w:trHeight w:val="285"/>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Operating lease right-of-use assets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4,958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3,815</w:t>
            </w:r>
          </w:p>
        </w:tc>
        <w:tc>
          <w:tcPr>
            <w:tcW w:w="0" w:type="dxa"/>
            <w:vAlign w:val="bottom"/>
          </w:tcPr>
          <w:p>
            <w:pPr>
              <w:spacing w:after="0"/>
              <w:rPr>
                <w:sz w:val="1"/>
                <w:szCs w:val="1"/>
                <w:color w:val="auto"/>
              </w:rPr>
            </w:pPr>
          </w:p>
        </w:tc>
      </w:tr>
      <w:tr>
        <w:trPr>
          <w:trHeight w:val="283"/>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Goodwill</w:t>
            </w: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4,527</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4,527</w:t>
            </w:r>
          </w:p>
        </w:tc>
        <w:tc>
          <w:tcPr>
            <w:tcW w:w="0" w:type="dxa"/>
            <w:vAlign w:val="bottom"/>
          </w:tcPr>
          <w:p>
            <w:pPr>
              <w:spacing w:after="0"/>
              <w:rPr>
                <w:sz w:val="1"/>
                <w:szCs w:val="1"/>
                <w:color w:val="auto"/>
              </w:rPr>
            </w:pPr>
          </w:p>
        </w:tc>
      </w:tr>
      <w:tr>
        <w:trPr>
          <w:trHeight w:val="270"/>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Intangible assets, net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2,655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2,683</w:t>
            </w:r>
          </w:p>
        </w:tc>
        <w:tc>
          <w:tcPr>
            <w:tcW w:w="0" w:type="dxa"/>
            <w:vAlign w:val="bottom"/>
          </w:tcPr>
          <w:p>
            <w:pPr>
              <w:spacing w:after="0"/>
              <w:rPr>
                <w:sz w:val="1"/>
                <w:szCs w:val="1"/>
                <w:color w:val="auto"/>
              </w:rPr>
            </w:pPr>
          </w:p>
        </w:tc>
      </w:tr>
      <w:tr>
        <w:trPr>
          <w:trHeight w:val="292"/>
        </w:trPr>
        <w:tc>
          <w:tcPr>
            <w:tcW w:w="7200" w:type="dxa"/>
            <w:vAlign w:val="bottom"/>
            <w:tcBorders>
              <w:bottom w:val="single" w:sz="8" w:color="E6E6E6"/>
            </w:tcBorders>
            <w:gridSpan w:val="2"/>
            <w:shd w:val="clear" w:color="auto" w:fill="E6E6E6"/>
          </w:tcPr>
          <w:p>
            <w:pPr>
              <w:ind w:left="520"/>
              <w:spacing w:after="0"/>
              <w:rPr>
                <w:sz w:val="20"/>
                <w:szCs w:val="20"/>
                <w:color w:val="auto"/>
              </w:rPr>
            </w:pPr>
            <w:r>
              <w:rPr>
                <w:rFonts w:ascii="Arial" w:cs="Arial" w:eastAsia="Arial" w:hAnsi="Arial"/>
                <w:sz w:val="19"/>
                <w:szCs w:val="19"/>
                <w:color w:val="auto"/>
              </w:rPr>
              <w:t>Investments in affiliates and other, net</w:t>
            </w:r>
          </w:p>
        </w:tc>
        <w:tc>
          <w:tcPr>
            <w:tcW w:w="30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1,330</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1,267</w:t>
            </w:r>
          </w:p>
        </w:tc>
        <w:tc>
          <w:tcPr>
            <w:tcW w:w="0" w:type="dxa"/>
            <w:vAlign w:val="bottom"/>
          </w:tcPr>
          <w:p>
            <w:pPr>
              <w:spacing w:after="0"/>
              <w:rPr>
                <w:sz w:val="1"/>
                <w:szCs w:val="1"/>
                <w:color w:val="auto"/>
              </w:rPr>
            </w:pPr>
          </w:p>
        </w:tc>
      </w:tr>
      <w:tr>
        <w:trPr>
          <w:trHeight w:val="252"/>
        </w:trPr>
        <w:tc>
          <w:tcPr>
            <w:tcW w:w="7200" w:type="dxa"/>
            <w:vAlign w:val="bottom"/>
            <w:tcBorders>
              <w:bottom w:val="single" w:sz="8" w:color="E6E6E6"/>
            </w:tcBorders>
            <w:gridSpan w:val="2"/>
          </w:tcPr>
          <w:p>
            <w:pPr>
              <w:ind w:left="1100"/>
              <w:spacing w:after="0"/>
              <w:rPr>
                <w:sz w:val="20"/>
                <w:szCs w:val="20"/>
                <w:color w:val="auto"/>
              </w:rPr>
            </w:pPr>
            <w:r>
              <w:rPr>
                <w:rFonts w:ascii="Arial" w:cs="Arial" w:eastAsia="Arial" w:hAnsi="Arial"/>
                <w:sz w:val="19"/>
                <w:szCs w:val="19"/>
                <w:color w:val="auto"/>
              </w:rPr>
              <w:t>Total noncurrent assets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59,591</w:t>
            </w:r>
          </w:p>
        </w:tc>
        <w:tc>
          <w:tcPr>
            <w:tcW w:w="6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55,200</w:t>
            </w:r>
          </w:p>
        </w:tc>
        <w:tc>
          <w:tcPr>
            <w:tcW w:w="0" w:type="dxa"/>
            <w:vAlign w:val="bottom"/>
          </w:tcPr>
          <w:p>
            <w:pPr>
              <w:spacing w:after="0"/>
              <w:rPr>
                <w:sz w:val="1"/>
                <w:szCs w:val="1"/>
                <w:color w:val="auto"/>
              </w:rPr>
            </w:pPr>
          </w:p>
        </w:tc>
      </w:tr>
      <w:tr>
        <w:trPr>
          <w:trHeight w:val="290"/>
        </w:trPr>
        <w:tc>
          <w:tcPr>
            <w:tcW w:w="7200" w:type="dxa"/>
            <w:vAlign w:val="bottom"/>
            <w:gridSpan w:val="2"/>
            <w:shd w:val="clear" w:color="auto" w:fill="E6E6E6"/>
          </w:tcPr>
          <w:p>
            <w:pPr>
              <w:ind w:left="40"/>
              <w:spacing w:after="0"/>
              <w:rPr>
                <w:sz w:val="20"/>
                <w:szCs w:val="20"/>
                <w:color w:val="auto"/>
              </w:rPr>
            </w:pPr>
            <w:r>
              <w:rPr>
                <w:rFonts w:ascii="Arial" w:cs="Arial" w:eastAsia="Arial" w:hAnsi="Arial"/>
                <w:sz w:val="19"/>
                <w:szCs w:val="19"/>
                <w:color w:val="auto"/>
              </w:rPr>
              <w:t>Total assets</w:t>
            </w:r>
          </w:p>
        </w:tc>
        <w:tc>
          <w:tcPr>
            <w:tcW w:w="300" w:type="dxa"/>
            <w:vAlign w:val="bottom"/>
            <w:shd w:val="clear" w:color="auto" w:fill="E6E6E6"/>
          </w:tcPr>
          <w:p>
            <w:pPr>
              <w:jc w:val="right"/>
              <w:ind w:right="83"/>
              <w:spacing w:after="0"/>
              <w:rPr>
                <w:sz w:val="20"/>
                <w:szCs w:val="20"/>
                <w:color w:val="auto"/>
              </w:rPr>
            </w:pPr>
            <w:r>
              <w:rPr>
                <w:rFonts w:ascii="Arial" w:cs="Arial" w:eastAsia="Arial" w:hAnsi="Arial"/>
                <w:sz w:val="19"/>
                <w:szCs w:val="19"/>
                <w:color w:val="auto"/>
                <w:w w:val="94"/>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76,448</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19"/>
                <w:szCs w:val="19"/>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74,083</w:t>
            </w:r>
          </w:p>
        </w:tc>
        <w:tc>
          <w:tcPr>
            <w:tcW w:w="0" w:type="dxa"/>
            <w:vAlign w:val="bottom"/>
          </w:tcPr>
          <w:p>
            <w:pPr>
              <w:spacing w:after="0"/>
              <w:rPr>
                <w:sz w:val="1"/>
                <w:szCs w:val="1"/>
                <w:color w:val="auto"/>
              </w:rPr>
            </w:pPr>
          </w:p>
        </w:tc>
      </w:tr>
      <w:tr>
        <w:trPr>
          <w:trHeight w:val="228"/>
        </w:trPr>
        <w:tc>
          <w:tcPr>
            <w:tcW w:w="7180" w:type="dxa"/>
            <w:vAlign w:val="bottom"/>
            <w:tcBorders>
              <w:top w:val="single" w:sz="8" w:color="E6E6E6"/>
            </w:tcBorders>
          </w:tcPr>
          <w:p>
            <w:pPr>
              <w:ind w:left="40"/>
              <w:spacing w:after="0"/>
              <w:rPr>
                <w:sz w:val="20"/>
                <w:szCs w:val="20"/>
                <w:color w:val="auto"/>
              </w:rPr>
            </w:pPr>
            <w:r>
              <w:rPr>
                <w:rFonts w:ascii="Arial" w:cs="Arial" w:eastAsia="Arial" w:hAnsi="Arial"/>
                <w:sz w:val="19"/>
                <w:szCs w:val="19"/>
                <w:b w:val="1"/>
                <w:bCs w:val="1"/>
                <w:color w:val="auto"/>
              </w:rPr>
              <w:t>LIABILITIES AND STOCKHOLDER'S EQUITY</w:t>
            </w: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Accounts payable</w:t>
            </w:r>
          </w:p>
        </w:tc>
        <w:tc>
          <w:tcPr>
            <w:tcW w:w="300" w:type="dxa"/>
            <w:vAlign w:val="bottom"/>
            <w:shd w:val="clear" w:color="auto" w:fill="E6E6E6"/>
          </w:tcPr>
          <w:p>
            <w:pPr>
              <w:jc w:val="right"/>
              <w:ind w:right="83"/>
              <w:spacing w:after="0"/>
              <w:rPr>
                <w:sz w:val="20"/>
                <w:szCs w:val="20"/>
                <w:color w:val="auto"/>
              </w:rPr>
            </w:pPr>
            <w:r>
              <w:rPr>
                <w:rFonts w:ascii="Arial" w:cs="Arial" w:eastAsia="Arial" w:hAnsi="Arial"/>
                <w:sz w:val="19"/>
                <w:szCs w:val="19"/>
                <w:color w:val="auto"/>
                <w:w w:val="94"/>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4,567</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19"/>
                <w:szCs w:val="19"/>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4,193</w:t>
            </w:r>
          </w:p>
        </w:tc>
        <w:tc>
          <w:tcPr>
            <w:tcW w:w="0" w:type="dxa"/>
            <w:vAlign w:val="bottom"/>
          </w:tcPr>
          <w:p>
            <w:pPr>
              <w:spacing w:after="0"/>
              <w:rPr>
                <w:sz w:val="1"/>
                <w:szCs w:val="1"/>
                <w:color w:val="auto"/>
              </w:rPr>
            </w:pPr>
          </w:p>
        </w:tc>
      </w:tr>
      <w:tr>
        <w:trPr>
          <w:trHeight w:val="285"/>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Accrued salaries and benefits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3,900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3,289</w:t>
            </w:r>
          </w:p>
        </w:tc>
        <w:tc>
          <w:tcPr>
            <w:tcW w:w="0" w:type="dxa"/>
            <w:vAlign w:val="bottom"/>
          </w:tcPr>
          <w:p>
            <w:pPr>
              <w:spacing w:after="0"/>
              <w:rPr>
                <w:sz w:val="1"/>
                <w:szCs w:val="1"/>
                <w:color w:val="auto"/>
              </w:rPr>
            </w:pPr>
          </w:p>
        </w:tc>
      </w:tr>
      <w:tr>
        <w:trPr>
          <w:trHeight w:val="297"/>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Advance ticket sales</w:t>
            </w: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8,131</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7,561</w:t>
            </w:r>
          </w:p>
        </w:tc>
        <w:tc>
          <w:tcPr>
            <w:tcW w:w="0" w:type="dxa"/>
            <w:vAlign w:val="bottom"/>
          </w:tcPr>
          <w:p>
            <w:pPr>
              <w:spacing w:after="0"/>
              <w:rPr>
                <w:sz w:val="1"/>
                <w:szCs w:val="1"/>
                <w:color w:val="auto"/>
              </w:rPr>
            </w:pPr>
          </w:p>
        </w:tc>
      </w:tr>
      <w:tr>
        <w:trPr>
          <w:trHeight w:val="285"/>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Frequent flyer deferred revenue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3,721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3,403</w:t>
            </w:r>
          </w:p>
        </w:tc>
        <w:tc>
          <w:tcPr>
            <w:tcW w:w="0" w:type="dxa"/>
            <w:vAlign w:val="bottom"/>
          </w:tcPr>
          <w:p>
            <w:pPr>
              <w:spacing w:after="0"/>
              <w:rPr>
                <w:sz w:val="1"/>
                <w:szCs w:val="1"/>
                <w:color w:val="auto"/>
              </w:rPr>
            </w:pPr>
          </w:p>
        </w:tc>
      </w:tr>
      <w:tr>
        <w:trPr>
          <w:trHeight w:val="297"/>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w w:val="98"/>
              </w:rPr>
              <w:t>Current maturities of long-term debt, finance leases, and other financial liabilities</w:t>
            </w: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4,426</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3,453</w:t>
            </w:r>
          </w:p>
        </w:tc>
        <w:tc>
          <w:tcPr>
            <w:tcW w:w="0" w:type="dxa"/>
            <w:vAlign w:val="bottom"/>
          </w:tcPr>
          <w:p>
            <w:pPr>
              <w:spacing w:after="0"/>
              <w:rPr>
                <w:sz w:val="1"/>
                <w:szCs w:val="1"/>
                <w:color w:val="auto"/>
              </w:rPr>
            </w:pPr>
          </w:p>
        </w:tc>
      </w:tr>
      <w:tr>
        <w:trPr>
          <w:trHeight w:val="285"/>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Current maturities of operating leases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631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467</w:t>
            </w:r>
          </w:p>
        </w:tc>
        <w:tc>
          <w:tcPr>
            <w:tcW w:w="0" w:type="dxa"/>
            <w:vAlign w:val="bottom"/>
          </w:tcPr>
          <w:p>
            <w:pPr>
              <w:spacing w:after="0"/>
              <w:rPr>
                <w:sz w:val="1"/>
                <w:szCs w:val="1"/>
                <w:color w:val="auto"/>
              </w:rPr>
            </w:pPr>
          </w:p>
        </w:tc>
      </w:tr>
      <w:tr>
        <w:trPr>
          <w:trHeight w:val="306"/>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Other</w:t>
            </w: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754</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949</w:t>
            </w:r>
          </w:p>
        </w:tc>
        <w:tc>
          <w:tcPr>
            <w:tcW w:w="0" w:type="dxa"/>
            <w:vAlign w:val="bottom"/>
          </w:tcPr>
          <w:p>
            <w:pPr>
              <w:spacing w:after="0"/>
              <w:rPr>
                <w:sz w:val="1"/>
                <w:szCs w:val="1"/>
                <w:color w:val="auto"/>
              </w:rPr>
            </w:pPr>
          </w:p>
        </w:tc>
      </w:tr>
      <w:tr>
        <w:trPr>
          <w:trHeight w:val="252"/>
        </w:trPr>
        <w:tc>
          <w:tcPr>
            <w:tcW w:w="7180" w:type="dxa"/>
            <w:vAlign w:val="bottom"/>
            <w:tcBorders>
              <w:top w:val="single" w:sz="8" w:color="E6E6E6"/>
              <w:bottom w:val="single" w:sz="8" w:color="E6E6E6"/>
            </w:tcBorders>
          </w:tcPr>
          <w:p>
            <w:pPr>
              <w:ind w:left="960"/>
              <w:spacing w:after="0"/>
              <w:rPr>
                <w:sz w:val="20"/>
                <w:szCs w:val="20"/>
                <w:color w:val="auto"/>
              </w:rPr>
            </w:pPr>
            <w:r>
              <w:rPr>
                <w:rFonts w:ascii="Arial" w:cs="Arial" w:eastAsia="Arial" w:hAnsi="Arial"/>
                <w:sz w:val="19"/>
                <w:szCs w:val="19"/>
                <w:color w:val="auto"/>
              </w:rPr>
              <w:t>Total current liabilities</w:t>
            </w: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26,130</w:t>
            </w:r>
          </w:p>
        </w:tc>
        <w:tc>
          <w:tcPr>
            <w:tcW w:w="60" w:type="dxa"/>
            <w:vAlign w:val="bottom"/>
            <w:tcBorders>
              <w:top w:val="single" w:sz="8" w:color="E6E6E6"/>
              <w:bottom w:val="single" w:sz="8" w:color="E6E6E6"/>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23,315</w:t>
            </w:r>
          </w:p>
        </w:tc>
        <w:tc>
          <w:tcPr>
            <w:tcW w:w="0" w:type="dxa"/>
            <w:vAlign w:val="bottom"/>
          </w:tcPr>
          <w:p>
            <w:pPr>
              <w:spacing w:after="0"/>
              <w:rPr>
                <w:sz w:val="1"/>
                <w:szCs w:val="1"/>
                <w:color w:val="auto"/>
              </w:rPr>
            </w:pPr>
          </w:p>
        </w:tc>
      </w:tr>
      <w:tr>
        <w:trPr>
          <w:trHeight w:val="281"/>
        </w:trPr>
        <w:tc>
          <w:tcPr>
            <w:tcW w:w="7180" w:type="dxa"/>
            <w:vAlign w:val="bottom"/>
            <w:shd w:val="clear" w:color="auto" w:fill="E6E6E6"/>
          </w:tcPr>
          <w:p>
            <w:pPr>
              <w:ind w:left="520"/>
              <w:spacing w:after="0"/>
              <w:rPr>
                <w:sz w:val="20"/>
                <w:szCs w:val="20"/>
                <w:color w:val="auto"/>
              </w:rPr>
            </w:pPr>
            <w:r>
              <w:rPr>
                <w:rFonts w:ascii="Arial" w:cs="Arial" w:eastAsia="Arial" w:hAnsi="Arial"/>
                <w:sz w:val="19"/>
                <w:szCs w:val="19"/>
                <w:color w:val="auto"/>
              </w:rPr>
              <w:t>Long-term debt, finance leases, and other financial liabilities</w:t>
            </w:r>
          </w:p>
        </w:tc>
        <w:tc>
          <w:tcPr>
            <w:tcW w:w="2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20,562</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25,203</w:t>
            </w:r>
          </w:p>
        </w:tc>
        <w:tc>
          <w:tcPr>
            <w:tcW w:w="0" w:type="dxa"/>
            <w:vAlign w:val="bottom"/>
          </w:tcPr>
          <w:p>
            <w:pPr>
              <w:spacing w:after="0"/>
              <w:rPr>
                <w:sz w:val="1"/>
                <w:szCs w:val="1"/>
                <w:color w:val="auto"/>
              </w:rPr>
            </w:pPr>
          </w:p>
        </w:tc>
      </w:tr>
      <w:tr>
        <w:trPr>
          <w:trHeight w:val="285"/>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Long-term obligations under operating leases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5,417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4,510</w:t>
            </w:r>
          </w:p>
        </w:tc>
        <w:tc>
          <w:tcPr>
            <w:tcW w:w="0" w:type="dxa"/>
            <w:vAlign w:val="bottom"/>
          </w:tcPr>
          <w:p>
            <w:pPr>
              <w:spacing w:after="0"/>
              <w:rPr>
                <w:sz w:val="1"/>
                <w:szCs w:val="1"/>
                <w:color w:val="auto"/>
              </w:rPr>
            </w:pPr>
          </w:p>
        </w:tc>
      </w:tr>
      <w:tr>
        <w:trPr>
          <w:trHeight w:val="297"/>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Frequent flyer deferred revenue</w:t>
            </w: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4,056</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4,038</w:t>
            </w:r>
          </w:p>
        </w:tc>
        <w:tc>
          <w:tcPr>
            <w:tcW w:w="0" w:type="dxa"/>
            <w:vAlign w:val="bottom"/>
          </w:tcPr>
          <w:p>
            <w:pPr>
              <w:spacing w:after="0"/>
              <w:rPr>
                <w:sz w:val="1"/>
                <w:szCs w:val="1"/>
                <w:color w:val="auto"/>
              </w:rPr>
            </w:pPr>
          </w:p>
        </w:tc>
      </w:tr>
      <w:tr>
        <w:trPr>
          <w:trHeight w:val="285"/>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Pension and postretirement benefit liability</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1,058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1,233</w:t>
            </w:r>
          </w:p>
        </w:tc>
        <w:tc>
          <w:tcPr>
            <w:tcW w:w="0" w:type="dxa"/>
            <w:vAlign w:val="bottom"/>
          </w:tcPr>
          <w:p>
            <w:pPr>
              <w:spacing w:after="0"/>
              <w:rPr>
                <w:sz w:val="1"/>
                <w:szCs w:val="1"/>
                <w:color w:val="auto"/>
              </w:rPr>
            </w:pPr>
          </w:p>
        </w:tc>
      </w:tr>
      <w:tr>
        <w:trPr>
          <w:trHeight w:val="297"/>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Deferred income taxes</w:t>
            </w: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2,493</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1,610</w:t>
            </w:r>
          </w:p>
        </w:tc>
        <w:tc>
          <w:tcPr>
            <w:tcW w:w="0" w:type="dxa"/>
            <w:vAlign w:val="bottom"/>
          </w:tcPr>
          <w:p>
            <w:pPr>
              <w:spacing w:after="0"/>
              <w:rPr>
                <w:sz w:val="1"/>
                <w:szCs w:val="1"/>
                <w:color w:val="auto"/>
              </w:rPr>
            </w:pPr>
          </w:p>
        </w:tc>
      </w:tr>
      <w:tr>
        <w:trPr>
          <w:trHeight w:val="281"/>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Other</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1,478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1,530</w:t>
            </w:r>
          </w:p>
        </w:tc>
        <w:tc>
          <w:tcPr>
            <w:tcW w:w="0" w:type="dxa"/>
            <w:vAlign w:val="bottom"/>
          </w:tcPr>
          <w:p>
            <w:pPr>
              <w:spacing w:after="0"/>
              <w:rPr>
                <w:sz w:val="1"/>
                <w:szCs w:val="1"/>
                <w:color w:val="auto"/>
              </w:rPr>
            </w:pPr>
          </w:p>
        </w:tc>
      </w:tr>
      <w:tr>
        <w:trPr>
          <w:trHeight w:val="290"/>
        </w:trPr>
        <w:tc>
          <w:tcPr>
            <w:tcW w:w="7180" w:type="dxa"/>
            <w:vAlign w:val="bottom"/>
            <w:tcBorders>
              <w:top w:val="single" w:sz="8" w:color="E6E6E6"/>
              <w:bottom w:val="single" w:sz="8" w:color="E6E6E6"/>
            </w:tcBorders>
            <w:shd w:val="clear" w:color="auto" w:fill="E6E6E6"/>
          </w:tcPr>
          <w:p>
            <w:pPr>
              <w:ind w:left="960"/>
              <w:spacing w:after="0"/>
              <w:rPr>
                <w:sz w:val="20"/>
                <w:szCs w:val="20"/>
                <w:color w:val="auto"/>
              </w:rPr>
            </w:pPr>
            <w:r>
              <w:rPr>
                <w:rFonts w:ascii="Arial" w:cs="Arial" w:eastAsia="Arial" w:hAnsi="Arial"/>
                <w:sz w:val="19"/>
                <w:szCs w:val="19"/>
                <w:color w:val="auto"/>
              </w:rPr>
              <w:t>Total noncurrent liabilities</w:t>
            </w: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300" w:type="dxa"/>
            <w:vAlign w:val="bottom"/>
            <w:tcBorders>
              <w:top w:val="single" w:sz="8" w:color="auto"/>
              <w:bottom w:val="single" w:sz="8" w:color="auto"/>
            </w:tcBorders>
            <w:shd w:val="clear" w:color="auto" w:fill="E6E6E6"/>
          </w:tcPr>
          <w:p>
            <w:pPr>
              <w:spacing w:after="0"/>
              <w:rPr>
                <w:sz w:val="24"/>
                <w:szCs w:val="24"/>
                <w:color w:val="auto"/>
              </w:rPr>
            </w:pPr>
          </w:p>
        </w:tc>
        <w:tc>
          <w:tcPr>
            <w:tcW w:w="10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35,064</w:t>
            </w:r>
          </w:p>
        </w:tc>
        <w:tc>
          <w:tcPr>
            <w:tcW w:w="60" w:type="dxa"/>
            <w:vAlign w:val="bottom"/>
            <w:tcBorders>
              <w:top w:val="single" w:sz="8" w:color="E6E6E6"/>
              <w:bottom w:val="single" w:sz="8" w:color="E6E6E6"/>
            </w:tcBorders>
            <w:shd w:val="clear" w:color="auto" w:fill="E6E6E6"/>
          </w:tcPr>
          <w:p>
            <w:pPr>
              <w:spacing w:after="0"/>
              <w:rPr>
                <w:sz w:val="24"/>
                <w:szCs w:val="24"/>
                <w:color w:val="auto"/>
              </w:rPr>
            </w:pPr>
          </w:p>
        </w:tc>
        <w:tc>
          <w:tcPr>
            <w:tcW w:w="320" w:type="dxa"/>
            <w:vAlign w:val="bottom"/>
            <w:tcBorders>
              <w:top w:val="single" w:sz="8" w:color="auto"/>
              <w:bottom w:val="single" w:sz="8" w:color="auto"/>
            </w:tcBorders>
            <w:shd w:val="clear" w:color="auto" w:fill="E6E6E6"/>
          </w:tcPr>
          <w:p>
            <w:pPr>
              <w:spacing w:after="0"/>
              <w:rPr>
                <w:sz w:val="24"/>
                <w:szCs w:val="24"/>
                <w:color w:val="auto"/>
              </w:rPr>
            </w:pPr>
          </w:p>
        </w:tc>
        <w:tc>
          <w:tcPr>
            <w:tcW w:w="10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38,124</w:t>
            </w:r>
          </w:p>
        </w:tc>
        <w:tc>
          <w:tcPr>
            <w:tcW w:w="0" w:type="dxa"/>
            <w:vAlign w:val="bottom"/>
          </w:tcPr>
          <w:p>
            <w:pPr>
              <w:spacing w:after="0"/>
              <w:rPr>
                <w:sz w:val="1"/>
                <w:szCs w:val="1"/>
                <w:color w:val="auto"/>
              </w:rPr>
            </w:pPr>
          </w:p>
        </w:tc>
      </w:tr>
      <w:tr>
        <w:trPr>
          <w:trHeight w:val="232"/>
        </w:trPr>
        <w:tc>
          <w:tcPr>
            <w:tcW w:w="7180" w:type="dxa"/>
            <w:vAlign w:val="bottom"/>
          </w:tcPr>
          <w:p>
            <w:pPr>
              <w:ind w:left="40"/>
              <w:spacing w:after="0"/>
              <w:rPr>
                <w:sz w:val="20"/>
                <w:szCs w:val="20"/>
                <w:color w:val="auto"/>
              </w:rPr>
            </w:pPr>
            <w:r>
              <w:rPr>
                <w:rFonts w:ascii="Arial" w:cs="Arial" w:eastAsia="Arial" w:hAnsi="Arial"/>
                <w:sz w:val="19"/>
                <w:szCs w:val="19"/>
                <w:color w:val="auto"/>
              </w:rPr>
              <w:t>Commitments and Contingencies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720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19"/>
                <w:szCs w:val="19"/>
                <w:color w:val="auto"/>
              </w:rPr>
              <w:t>Stockholder's equity:</w:t>
            </w:r>
          </w:p>
        </w:tc>
        <w:tc>
          <w:tcPr>
            <w:tcW w:w="300" w:type="dxa"/>
            <w:vAlign w:val="bottom"/>
            <w:tcBorders>
              <w:bottom w:val="single" w:sz="8" w:color="E6E6E6"/>
            </w:tcBorders>
            <w:shd w:val="clear" w:color="auto" w:fill="E6E6E6"/>
          </w:tcPr>
          <w:p>
            <w:pPr>
              <w:spacing w:after="0"/>
              <w:rPr>
                <w:sz w:val="23"/>
                <w:szCs w:val="23"/>
                <w:color w:val="auto"/>
              </w:rPr>
            </w:pPr>
          </w:p>
        </w:tc>
        <w:tc>
          <w:tcPr>
            <w:tcW w:w="102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102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7200" w:type="dxa"/>
            <w:vAlign w:val="bottom"/>
            <w:gridSpan w:val="2"/>
          </w:tcPr>
          <w:p>
            <w:pPr>
              <w:ind w:left="520"/>
              <w:spacing w:after="0" w:line="185" w:lineRule="exact"/>
              <w:rPr>
                <w:sz w:val="20"/>
                <w:szCs w:val="20"/>
                <w:color w:val="auto"/>
              </w:rPr>
            </w:pPr>
            <w:r>
              <w:rPr>
                <w:rFonts w:ascii="Arial" w:cs="Arial" w:eastAsia="Arial" w:hAnsi="Arial"/>
                <w:sz w:val="19"/>
                <w:szCs w:val="19"/>
                <w:color w:val="auto"/>
              </w:rPr>
              <w:t>Common stock at par, $0.01 par value; authorized 1,000 shares; issued and</w:t>
            </w:r>
          </w:p>
        </w:tc>
        <w:tc>
          <w:tcPr>
            <w:tcW w:w="3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0"/>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outstanding 1,000 shares at December 31, 2025 and 2024</w:t>
            </w:r>
          </w:p>
        </w:tc>
        <w:tc>
          <w:tcPr>
            <w:tcW w:w="30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Additional capital invested</w:t>
            </w: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760</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617</w:t>
            </w:r>
          </w:p>
        </w:tc>
        <w:tc>
          <w:tcPr>
            <w:tcW w:w="0" w:type="dxa"/>
            <w:vAlign w:val="bottom"/>
          </w:tcPr>
          <w:p>
            <w:pPr>
              <w:spacing w:after="0"/>
              <w:rPr>
                <w:sz w:val="1"/>
                <w:szCs w:val="1"/>
                <w:color w:val="auto"/>
              </w:rPr>
            </w:pPr>
          </w:p>
        </w:tc>
      </w:tr>
      <w:tr>
        <w:trPr>
          <w:trHeight w:val="285"/>
        </w:trPr>
        <w:tc>
          <w:tcPr>
            <w:tcW w:w="7200" w:type="dxa"/>
            <w:vAlign w:val="bottom"/>
            <w:gridSpan w:val="2"/>
          </w:tcPr>
          <w:p>
            <w:pPr>
              <w:ind w:left="520"/>
              <w:spacing w:after="0"/>
              <w:rPr>
                <w:sz w:val="20"/>
                <w:szCs w:val="20"/>
                <w:color w:val="auto"/>
              </w:rPr>
            </w:pPr>
            <w:r>
              <w:rPr>
                <w:rFonts w:ascii="Arial" w:cs="Arial" w:eastAsia="Arial" w:hAnsi="Arial"/>
                <w:sz w:val="19"/>
                <w:szCs w:val="19"/>
                <w:color w:val="auto"/>
              </w:rPr>
              <w:t>Retained earnings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12,842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9,487</w:t>
            </w:r>
          </w:p>
        </w:tc>
        <w:tc>
          <w:tcPr>
            <w:tcW w:w="0" w:type="dxa"/>
            <w:vAlign w:val="bottom"/>
          </w:tcPr>
          <w:p>
            <w:pPr>
              <w:spacing w:after="0"/>
              <w:rPr>
                <w:sz w:val="1"/>
                <w:szCs w:val="1"/>
                <w:color w:val="auto"/>
              </w:rPr>
            </w:pPr>
          </w:p>
        </w:tc>
      </w:tr>
      <w:tr>
        <w:trPr>
          <w:trHeight w:val="297"/>
        </w:trPr>
        <w:tc>
          <w:tcPr>
            <w:tcW w:w="7200" w:type="dxa"/>
            <w:vAlign w:val="bottom"/>
            <w:gridSpan w:val="2"/>
            <w:shd w:val="clear" w:color="auto" w:fill="E6E6E6"/>
          </w:tcPr>
          <w:p>
            <w:pPr>
              <w:ind w:left="520"/>
              <w:spacing w:after="0"/>
              <w:rPr>
                <w:sz w:val="20"/>
                <w:szCs w:val="20"/>
                <w:color w:val="auto"/>
              </w:rPr>
            </w:pPr>
            <w:r>
              <w:rPr>
                <w:rFonts w:ascii="Arial" w:cs="Arial" w:eastAsia="Arial" w:hAnsi="Arial"/>
                <w:sz w:val="19"/>
                <w:szCs w:val="19"/>
                <w:color w:val="auto"/>
              </w:rPr>
              <w:t>Accumulated other comprehensive income</w:t>
            </w: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48</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188</w:t>
            </w:r>
          </w:p>
        </w:tc>
        <w:tc>
          <w:tcPr>
            <w:tcW w:w="0" w:type="dxa"/>
            <w:vAlign w:val="bottom"/>
          </w:tcPr>
          <w:p>
            <w:pPr>
              <w:spacing w:after="0"/>
              <w:rPr>
                <w:sz w:val="1"/>
                <w:szCs w:val="1"/>
                <w:color w:val="auto"/>
              </w:rPr>
            </w:pPr>
          </w:p>
        </w:tc>
      </w:tr>
      <w:tr>
        <w:trPr>
          <w:trHeight w:val="281"/>
        </w:trPr>
        <w:tc>
          <w:tcPr>
            <w:tcW w:w="7200" w:type="dxa"/>
            <w:vAlign w:val="bottom"/>
            <w:gridSpan w:val="2"/>
          </w:tcPr>
          <w:p>
            <w:pPr>
              <w:ind w:left="500"/>
              <w:spacing w:after="0"/>
              <w:rPr>
                <w:sz w:val="20"/>
                <w:szCs w:val="20"/>
                <w:color w:val="auto"/>
              </w:rPr>
            </w:pPr>
            <w:r>
              <w:rPr>
                <w:rFonts w:ascii="Arial" w:cs="Arial" w:eastAsia="Arial" w:hAnsi="Arial"/>
                <w:sz w:val="19"/>
                <w:szCs w:val="19"/>
                <w:color w:val="auto"/>
              </w:rPr>
              <w:t>Payable to parent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1,604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2,352</w:t>
            </w:r>
          </w:p>
        </w:tc>
        <w:tc>
          <w:tcPr>
            <w:tcW w:w="0" w:type="dxa"/>
            <w:vAlign w:val="bottom"/>
          </w:tcPr>
          <w:p>
            <w:pPr>
              <w:spacing w:after="0"/>
              <w:rPr>
                <w:sz w:val="1"/>
                <w:szCs w:val="1"/>
                <w:color w:val="auto"/>
              </w:rPr>
            </w:pPr>
          </w:p>
        </w:tc>
      </w:tr>
      <w:tr>
        <w:trPr>
          <w:trHeight w:val="290"/>
        </w:trPr>
        <w:tc>
          <w:tcPr>
            <w:tcW w:w="7180" w:type="dxa"/>
            <w:vAlign w:val="bottom"/>
            <w:tcBorders>
              <w:top w:val="single" w:sz="8" w:color="E6E6E6"/>
              <w:bottom w:val="single" w:sz="8" w:color="E6E6E6"/>
            </w:tcBorders>
            <w:shd w:val="clear" w:color="auto" w:fill="E6E6E6"/>
          </w:tcPr>
          <w:p>
            <w:pPr>
              <w:ind w:left="960"/>
              <w:spacing w:after="0"/>
              <w:rPr>
                <w:sz w:val="20"/>
                <w:szCs w:val="20"/>
                <w:color w:val="auto"/>
              </w:rPr>
            </w:pPr>
            <w:r>
              <w:rPr>
                <w:rFonts w:ascii="Arial" w:cs="Arial" w:eastAsia="Arial" w:hAnsi="Arial"/>
                <w:sz w:val="19"/>
                <w:szCs w:val="19"/>
                <w:color w:val="auto"/>
              </w:rPr>
              <w:t>Total stockholder's equity</w:t>
            </w: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300" w:type="dxa"/>
            <w:vAlign w:val="bottom"/>
            <w:tcBorders>
              <w:top w:val="single" w:sz="8" w:color="auto"/>
              <w:bottom w:val="single" w:sz="8" w:color="auto"/>
            </w:tcBorders>
            <w:shd w:val="clear" w:color="auto" w:fill="E6E6E6"/>
          </w:tcPr>
          <w:p>
            <w:pPr>
              <w:spacing w:after="0"/>
              <w:rPr>
                <w:sz w:val="24"/>
                <w:szCs w:val="24"/>
                <w:color w:val="auto"/>
              </w:rPr>
            </w:pPr>
          </w:p>
        </w:tc>
        <w:tc>
          <w:tcPr>
            <w:tcW w:w="10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15,254</w:t>
            </w:r>
          </w:p>
        </w:tc>
        <w:tc>
          <w:tcPr>
            <w:tcW w:w="60" w:type="dxa"/>
            <w:vAlign w:val="bottom"/>
            <w:tcBorders>
              <w:top w:val="single" w:sz="8" w:color="E6E6E6"/>
              <w:bottom w:val="single" w:sz="8" w:color="E6E6E6"/>
            </w:tcBorders>
            <w:shd w:val="clear" w:color="auto" w:fill="E6E6E6"/>
          </w:tcPr>
          <w:p>
            <w:pPr>
              <w:spacing w:after="0"/>
              <w:rPr>
                <w:sz w:val="24"/>
                <w:szCs w:val="24"/>
                <w:color w:val="auto"/>
              </w:rPr>
            </w:pPr>
          </w:p>
        </w:tc>
        <w:tc>
          <w:tcPr>
            <w:tcW w:w="320" w:type="dxa"/>
            <w:vAlign w:val="bottom"/>
            <w:tcBorders>
              <w:top w:val="single" w:sz="8" w:color="auto"/>
              <w:bottom w:val="single" w:sz="8" w:color="auto"/>
            </w:tcBorders>
            <w:shd w:val="clear" w:color="auto" w:fill="E6E6E6"/>
          </w:tcPr>
          <w:p>
            <w:pPr>
              <w:spacing w:after="0"/>
              <w:rPr>
                <w:sz w:val="24"/>
                <w:szCs w:val="24"/>
                <w:color w:val="auto"/>
              </w:rPr>
            </w:pPr>
          </w:p>
        </w:tc>
        <w:tc>
          <w:tcPr>
            <w:tcW w:w="10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12,644</w:t>
            </w:r>
          </w:p>
        </w:tc>
        <w:tc>
          <w:tcPr>
            <w:tcW w:w="0" w:type="dxa"/>
            <w:vAlign w:val="bottom"/>
          </w:tcPr>
          <w:p>
            <w:pPr>
              <w:spacing w:after="0"/>
              <w:rPr>
                <w:sz w:val="1"/>
                <w:szCs w:val="1"/>
                <w:color w:val="auto"/>
              </w:rPr>
            </w:pPr>
          </w:p>
        </w:tc>
      </w:tr>
      <w:tr>
        <w:trPr>
          <w:trHeight w:val="233"/>
        </w:trPr>
        <w:tc>
          <w:tcPr>
            <w:tcW w:w="7180" w:type="dxa"/>
            <w:vAlign w:val="bottom"/>
          </w:tcPr>
          <w:p>
            <w:pPr>
              <w:ind w:left="40"/>
              <w:spacing w:after="0"/>
              <w:rPr>
                <w:sz w:val="20"/>
                <w:szCs w:val="20"/>
                <w:color w:val="auto"/>
              </w:rPr>
            </w:pPr>
            <w:r>
              <w:rPr>
                <w:rFonts w:ascii="Arial" w:cs="Arial" w:eastAsia="Arial" w:hAnsi="Arial"/>
                <w:sz w:val="19"/>
                <w:szCs w:val="19"/>
                <w:color w:val="auto"/>
              </w:rPr>
              <w:t>Total liabilities and stockholder's equity</w:t>
            </w:r>
          </w:p>
        </w:tc>
        <w:tc>
          <w:tcPr>
            <w:tcW w:w="20" w:type="dxa"/>
            <w:vAlign w:val="bottom"/>
          </w:tcPr>
          <w:p>
            <w:pPr>
              <w:spacing w:after="0"/>
              <w:rPr>
                <w:sz w:val="20"/>
                <w:szCs w:val="20"/>
                <w:color w:val="auto"/>
              </w:rPr>
            </w:pPr>
          </w:p>
        </w:tc>
        <w:tc>
          <w:tcPr>
            <w:tcW w:w="300" w:type="dxa"/>
            <w:vAlign w:val="bottom"/>
          </w:tcPr>
          <w:p>
            <w:pPr>
              <w:jc w:val="right"/>
              <w:ind w:right="83"/>
              <w:spacing w:after="0"/>
              <w:rPr>
                <w:sz w:val="20"/>
                <w:szCs w:val="20"/>
                <w:color w:val="auto"/>
              </w:rPr>
            </w:pPr>
            <w:r>
              <w:rPr>
                <w:rFonts w:ascii="Arial" w:cs="Arial" w:eastAsia="Arial" w:hAnsi="Arial"/>
                <w:sz w:val="19"/>
                <w:szCs w:val="19"/>
                <w:color w:val="auto"/>
                <w:w w:val="94"/>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76,448</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74,083</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-7118350</wp:posOffset>
            </wp:positionV>
            <wp:extent cx="177228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5">
                      <a:extLst>
                        <a:ext uri="{28A0092B-C50C-407E-A947-70E740481C1C}"/>
                      </a:extLst>
                    </a:blip>
                    <a:srcRect/>
                    <a:stretch>
                      <a:fillRect/>
                    </a:stretch>
                  </pic:blipFill>
                  <pic:spPr bwMode="auto">
                    <a:xfrm>
                      <a:off x="0" y="0"/>
                      <a:ext cx="1772285" cy="2540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-6203950</wp:posOffset>
            </wp:positionV>
            <wp:extent cx="177228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6">
                      <a:extLst>
                        <a:ext uri="{28A0092B-C50C-407E-A947-70E740481C1C}"/>
                      </a:extLst>
                    </a:blip>
                    <a:srcRect/>
                    <a:stretch>
                      <a:fillRect/>
                    </a:stretch>
                  </pic:blipFill>
                  <pic:spPr bwMode="auto">
                    <a:xfrm>
                      <a:off x="0" y="0"/>
                      <a:ext cx="1772285" cy="2540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-6018530</wp:posOffset>
            </wp:positionV>
            <wp:extent cx="177228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7">
                      <a:extLst>
                        <a:ext uri="{28A0092B-C50C-407E-A947-70E740481C1C}"/>
                      </a:extLst>
                    </a:blip>
                    <a:srcRect/>
                    <a:stretch>
                      <a:fillRect/>
                    </a:stretch>
                  </pic:blipFill>
                  <pic:spPr bwMode="auto">
                    <a:xfrm>
                      <a:off x="0" y="0"/>
                      <a:ext cx="1772285" cy="2540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-5122545</wp:posOffset>
            </wp:positionV>
            <wp:extent cx="177228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8">
                      <a:extLst>
                        <a:ext uri="{28A0092B-C50C-407E-A947-70E740481C1C}"/>
                      </a:extLst>
                    </a:blip>
                    <a:srcRect/>
                    <a:stretch>
                      <a:fillRect/>
                    </a:stretch>
                  </pic:blipFill>
                  <pic:spPr bwMode="auto">
                    <a:xfrm>
                      <a:off x="0" y="0"/>
                      <a:ext cx="1772285" cy="2540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-4937760</wp:posOffset>
            </wp:positionV>
            <wp:extent cx="177228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9">
                      <a:extLst>
                        <a:ext uri="{28A0092B-C50C-407E-A947-70E740481C1C}"/>
                      </a:extLst>
                    </a:blip>
                    <a:srcRect/>
                    <a:stretch>
                      <a:fillRect/>
                    </a:stretch>
                  </pic:blipFill>
                  <pic:spPr bwMode="auto">
                    <a:xfrm>
                      <a:off x="0" y="0"/>
                      <a:ext cx="1772285" cy="2540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-4765040</wp:posOffset>
            </wp:positionV>
            <wp:extent cx="1772285" cy="501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0">
                      <a:extLst>
                        <a:ext uri="{28A0092B-C50C-407E-A947-70E740481C1C}"/>
                      </a:extLst>
                    </a:blip>
                    <a:srcRect/>
                    <a:stretch>
                      <a:fillRect/>
                    </a:stretch>
                  </pic:blipFill>
                  <pic:spPr bwMode="auto">
                    <a:xfrm>
                      <a:off x="0" y="0"/>
                      <a:ext cx="1772285" cy="5016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-3274060</wp:posOffset>
            </wp:positionV>
            <wp:extent cx="177228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1">
                      <a:extLst>
                        <a:ext uri="{28A0092B-C50C-407E-A947-70E740481C1C}"/>
                      </a:extLst>
                    </a:blip>
                    <a:srcRect/>
                    <a:stretch>
                      <a:fillRect/>
                    </a:stretch>
                  </pic:blipFill>
                  <pic:spPr bwMode="auto">
                    <a:xfrm>
                      <a:off x="0" y="0"/>
                      <a:ext cx="1772285" cy="2540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-3089275</wp:posOffset>
            </wp:positionV>
            <wp:extent cx="177228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2">
                      <a:extLst>
                        <a:ext uri="{28A0092B-C50C-407E-A947-70E740481C1C}"/>
                      </a:extLst>
                    </a:blip>
                    <a:srcRect/>
                    <a:stretch>
                      <a:fillRect/>
                    </a:stretch>
                  </pic:blipFill>
                  <pic:spPr bwMode="auto">
                    <a:xfrm>
                      <a:off x="0" y="0"/>
                      <a:ext cx="1772285" cy="2540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-1980565</wp:posOffset>
            </wp:positionV>
            <wp:extent cx="177228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3">
                      <a:extLst>
                        <a:ext uri="{28A0092B-C50C-407E-A947-70E740481C1C}"/>
                      </a:extLst>
                    </a:blip>
                    <a:srcRect/>
                    <a:stretch>
                      <a:fillRect/>
                    </a:stretch>
                  </pic:blipFill>
                  <pic:spPr bwMode="auto">
                    <a:xfrm>
                      <a:off x="0" y="0"/>
                      <a:ext cx="1772285" cy="2540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-1795780</wp:posOffset>
            </wp:positionV>
            <wp:extent cx="177228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4">
                      <a:extLst>
                        <a:ext uri="{28A0092B-C50C-407E-A947-70E740481C1C}"/>
                      </a:extLst>
                    </a:blip>
                    <a:srcRect/>
                    <a:stretch>
                      <a:fillRect/>
                    </a:stretch>
                  </pic:blipFill>
                  <pic:spPr bwMode="auto">
                    <a:xfrm>
                      <a:off x="0" y="0"/>
                      <a:ext cx="1772285" cy="2540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-400050</wp:posOffset>
            </wp:positionV>
            <wp:extent cx="177228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5">
                      <a:extLst>
                        <a:ext uri="{28A0092B-C50C-407E-A947-70E740481C1C}"/>
                      </a:extLst>
                    </a:blip>
                    <a:srcRect/>
                    <a:stretch>
                      <a:fillRect/>
                    </a:stretch>
                  </pic:blipFill>
                  <pic:spPr bwMode="auto">
                    <a:xfrm>
                      <a:off x="0" y="0"/>
                      <a:ext cx="1772285" cy="2540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-215265</wp:posOffset>
            </wp:positionV>
            <wp:extent cx="177228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6">
                      <a:extLst>
                        <a:ext uri="{28A0092B-C50C-407E-A947-70E740481C1C}"/>
                      </a:extLst>
                    </a:blip>
                    <a:srcRect/>
                    <a:stretch>
                      <a:fillRect/>
                    </a:stretch>
                  </pic:blipFill>
                  <pic:spPr bwMode="auto">
                    <a:xfrm>
                      <a:off x="0" y="0"/>
                      <a:ext cx="1772285" cy="2540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Combined Notes to Consolidated Financial Statements are an integral part of these statements.</w:t>
      </w:r>
    </w:p>
    <w:p>
      <w:pPr>
        <w:sectPr>
          <w:pgSz w:w="11880" w:h="15480" w:orient="portrait"/>
          <w:cols w:equalWidth="0" w:num="1">
            <w:col w:w="9920"/>
          </w:cols>
          <w:pgMar w:left="980" w:top="579"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9920"/>
          </w:cols>
          <w:pgMar w:left="980" w:top="579" w:right="980" w:bottom="33" w:gutter="0" w:footer="0" w:header="0"/>
          <w:type w:val="continuous"/>
        </w:sectPr>
      </w:pPr>
    </w:p>
    <w:bookmarkStart w:id="65" w:name="page66"/>
    <w:bookmarkEnd w:id="65"/>
    <w:p>
      <w:pPr>
        <w:jc w:val="center"/>
        <w:ind w:right="-39"/>
        <w:spacing w:after="0"/>
        <w:rPr>
          <w:sz w:val="20"/>
          <w:szCs w:val="20"/>
          <w:color w:val="auto"/>
        </w:rPr>
      </w:pPr>
      <w:r>
        <w:rPr>
          <w:rFonts w:ascii="Arial" w:cs="Arial" w:eastAsia="Arial" w:hAnsi="Arial"/>
          <w:sz w:val="19"/>
          <w:szCs w:val="19"/>
          <w:b w:val="1"/>
          <w:bCs w:val="1"/>
          <w:color w:val="auto"/>
        </w:rPr>
        <w:t>UNITED AIRLINES,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STATEMENTS OF CONSOLIDATED CASH FLOWS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w w:val="89"/>
              </w:rPr>
              <w:t>2023</w:t>
            </w:r>
          </w:p>
        </w:tc>
        <w:tc>
          <w:tcPr>
            <w:tcW w:w="0" w:type="dxa"/>
            <w:vAlign w:val="bottom"/>
          </w:tcPr>
          <w:p>
            <w:pPr>
              <w:spacing w:after="0"/>
              <w:rPr>
                <w:sz w:val="1"/>
                <w:szCs w:val="1"/>
                <w:color w:val="auto"/>
              </w:rPr>
            </w:pPr>
          </w:p>
        </w:tc>
      </w:tr>
      <w:tr>
        <w:trPr>
          <w:trHeight w:val="228"/>
        </w:trPr>
        <w:tc>
          <w:tcPr>
            <w:tcW w:w="6400" w:type="dxa"/>
            <w:vAlign w:val="bottom"/>
          </w:tcPr>
          <w:p>
            <w:pPr>
              <w:ind w:left="60"/>
              <w:spacing w:after="0"/>
              <w:rPr>
                <w:sz w:val="20"/>
                <w:szCs w:val="20"/>
                <w:color w:val="auto"/>
              </w:rPr>
            </w:pPr>
            <w:r>
              <w:rPr>
                <w:rFonts w:ascii="Arial" w:cs="Arial" w:eastAsia="Arial" w:hAnsi="Arial"/>
                <w:sz w:val="17"/>
                <w:szCs w:val="17"/>
                <w:color w:val="auto"/>
              </w:rPr>
              <w:t>Operating Activities: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00" w:type="dxa"/>
            <w:vAlign w:val="bottom"/>
            <w:shd w:val="clear" w:color="auto" w:fill="E6E6E6"/>
          </w:tcPr>
          <w:p>
            <w:pPr>
              <w:ind w:left="220"/>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3,355</w:t>
            </w:r>
          </w:p>
        </w:tc>
        <w:tc>
          <w:tcPr>
            <w:tcW w:w="340" w:type="dxa"/>
            <w:vAlign w:val="bottom"/>
            <w:gridSpan w:val="2"/>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3,151</w:t>
            </w:r>
          </w:p>
        </w:tc>
        <w:tc>
          <w:tcPr>
            <w:tcW w:w="440" w:type="dxa"/>
            <w:vAlign w:val="bottom"/>
            <w:gridSpan w:val="2"/>
            <w:shd w:val="clear" w:color="auto" w:fill="E6E6E6"/>
          </w:tcPr>
          <w:p>
            <w:pPr>
              <w:jc w:val="right"/>
              <w:ind w:right="133"/>
              <w:spacing w:after="0"/>
              <w:rPr>
                <w:sz w:val="20"/>
                <w:szCs w:val="20"/>
                <w:color w:val="auto"/>
              </w:rPr>
            </w:pPr>
            <w:r>
              <w:rPr>
                <w:rFonts w:ascii="Arial" w:cs="Arial" w:eastAsia="Arial" w:hAnsi="Arial"/>
                <w:sz w:val="17"/>
                <w:szCs w:val="17"/>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2,620</w:t>
            </w:r>
          </w:p>
        </w:tc>
        <w:tc>
          <w:tcPr>
            <w:tcW w:w="0" w:type="dxa"/>
            <w:vAlign w:val="bottom"/>
          </w:tcPr>
          <w:p>
            <w:pPr>
              <w:spacing w:after="0"/>
              <w:rPr>
                <w:sz w:val="1"/>
                <w:szCs w:val="1"/>
                <w:color w:val="auto"/>
              </w:rPr>
            </w:pPr>
          </w:p>
        </w:tc>
      </w:tr>
      <w:tr>
        <w:trPr>
          <w:trHeight w:val="176"/>
        </w:trPr>
        <w:tc>
          <w:tcPr>
            <w:tcW w:w="6400" w:type="dxa"/>
            <w:vAlign w:val="bottom"/>
          </w:tcPr>
          <w:p>
            <w:pPr>
              <w:ind w:left="220"/>
              <w:spacing w:after="0" w:line="176" w:lineRule="exact"/>
              <w:rPr>
                <w:sz w:val="20"/>
                <w:szCs w:val="20"/>
                <w:color w:val="auto"/>
              </w:rPr>
            </w:pPr>
            <w:r>
              <w:rPr>
                <w:rFonts w:ascii="Arial" w:cs="Arial" w:eastAsia="Arial" w:hAnsi="Arial"/>
                <w:sz w:val="17"/>
                <w:szCs w:val="17"/>
                <w:color w:val="auto"/>
              </w:rPr>
              <w:t>Adjustments to reconcile net income to net cash provided by (used in) operating</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220"/>
              <w:spacing w:after="0"/>
              <w:rPr>
                <w:sz w:val="20"/>
                <w:szCs w:val="20"/>
                <w:color w:val="auto"/>
              </w:rPr>
            </w:pPr>
            <w:r>
              <w:rPr>
                <w:rFonts w:ascii="Arial" w:cs="Arial" w:eastAsia="Arial" w:hAnsi="Arial"/>
                <w:sz w:val="17"/>
                <w:szCs w:val="17"/>
                <w:color w:val="auto"/>
              </w:rPr>
              <w:t>activities -</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400" w:type="dxa"/>
            <w:vAlign w:val="bottom"/>
            <w:shd w:val="clear" w:color="auto" w:fill="E6E6E6"/>
          </w:tcPr>
          <w:p>
            <w:pPr>
              <w:ind w:left="580"/>
              <w:spacing w:after="0"/>
              <w:rPr>
                <w:sz w:val="20"/>
                <w:szCs w:val="20"/>
                <w:color w:val="auto"/>
              </w:rPr>
            </w:pPr>
            <w:r>
              <w:rPr>
                <w:rFonts w:ascii="Arial" w:cs="Arial" w:eastAsia="Arial" w:hAnsi="Arial"/>
                <w:sz w:val="17"/>
                <w:szCs w:val="17"/>
                <w:color w:val="auto"/>
              </w:rPr>
              <w:t>Deferred income tax</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925</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937</w:t>
            </w:r>
          </w:p>
        </w:tc>
        <w:tc>
          <w:tcPr>
            <w:tcW w:w="8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757</w:t>
            </w:r>
          </w:p>
        </w:tc>
        <w:tc>
          <w:tcPr>
            <w:tcW w:w="0" w:type="dxa"/>
            <w:vAlign w:val="bottom"/>
          </w:tcPr>
          <w:p>
            <w:pPr>
              <w:spacing w:after="0"/>
              <w:rPr>
                <w:sz w:val="1"/>
                <w:szCs w:val="1"/>
                <w:color w:val="auto"/>
              </w:rPr>
            </w:pPr>
          </w:p>
        </w:tc>
      </w:tr>
      <w:tr>
        <w:trPr>
          <w:trHeight w:val="218"/>
        </w:trPr>
        <w:tc>
          <w:tcPr>
            <w:tcW w:w="6400" w:type="dxa"/>
            <w:vAlign w:val="bottom"/>
          </w:tcPr>
          <w:p>
            <w:pPr>
              <w:ind w:left="580"/>
              <w:spacing w:after="0"/>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2,671</w:t>
            </w:r>
          </w:p>
        </w:tc>
        <w:tc>
          <w:tcPr>
            <w:tcW w:w="0" w:type="dxa"/>
            <w:vAlign w:val="bottom"/>
          </w:tcPr>
          <w:p>
            <w:pPr>
              <w:spacing w:after="0"/>
              <w:rPr>
                <w:sz w:val="1"/>
                <w:szCs w:val="1"/>
                <w:color w:val="auto"/>
              </w:rPr>
            </w:pPr>
          </w:p>
        </w:tc>
      </w:tr>
      <w:tr>
        <w:trPr>
          <w:trHeight w:val="218"/>
        </w:trPr>
        <w:tc>
          <w:tcPr>
            <w:tcW w:w="6400" w:type="dxa"/>
            <w:vAlign w:val="bottom"/>
            <w:shd w:val="clear" w:color="auto" w:fill="E6E6E6"/>
          </w:tcPr>
          <w:p>
            <w:pPr>
              <w:ind w:left="580"/>
              <w:spacing w:after="0"/>
              <w:rPr>
                <w:sz w:val="20"/>
                <w:szCs w:val="20"/>
                <w:color w:val="auto"/>
              </w:rPr>
            </w:pPr>
            <w:r>
              <w:rPr>
                <w:rFonts w:ascii="Arial" w:cs="Arial" w:eastAsia="Arial" w:hAnsi="Arial"/>
                <w:sz w:val="17"/>
                <w:szCs w:val="17"/>
                <w:color w:val="auto"/>
              </w:rPr>
              <w:t>Operating and non-operating special charges, non-cash portion</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158</w:t>
            </w:r>
          </w:p>
        </w:tc>
        <w:tc>
          <w:tcPr>
            <w:tcW w:w="8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8"/>
        </w:trPr>
        <w:tc>
          <w:tcPr>
            <w:tcW w:w="6400" w:type="dxa"/>
            <w:vAlign w:val="bottom"/>
          </w:tcPr>
          <w:p>
            <w:pPr>
              <w:ind w:left="580"/>
              <w:spacing w:after="0"/>
              <w:rPr>
                <w:sz w:val="20"/>
                <w:szCs w:val="20"/>
                <w:color w:val="auto"/>
              </w:rPr>
            </w:pPr>
            <w:r>
              <w:rPr>
                <w:rFonts w:ascii="Arial" w:cs="Arial" w:eastAsia="Arial" w:hAnsi="Arial"/>
                <w:sz w:val="17"/>
                <w:szCs w:val="17"/>
                <w:color w:val="auto"/>
              </w:rPr>
              <w:t>Unrealized (gains) losses on investments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6400" w:type="dxa"/>
            <w:vAlign w:val="bottom"/>
            <w:shd w:val="clear" w:color="auto" w:fill="E6E6E6"/>
          </w:tcPr>
          <w:p>
            <w:pPr>
              <w:ind w:left="580"/>
              <w:spacing w:after="0"/>
              <w:rPr>
                <w:sz w:val="20"/>
                <w:szCs w:val="20"/>
                <w:color w:val="auto"/>
              </w:rPr>
            </w:pPr>
            <w:r>
              <w:rPr>
                <w:rFonts w:ascii="Arial" w:cs="Arial" w:eastAsia="Arial" w:hAnsi="Arial"/>
                <w:sz w:val="17"/>
                <w:szCs w:val="17"/>
                <w:color w:val="auto"/>
              </w:rPr>
              <w:t>Amortization of debt discount and debt issuance costs</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77</w:t>
            </w:r>
          </w:p>
        </w:tc>
        <w:tc>
          <w:tcPr>
            <w:tcW w:w="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166</w:t>
            </w:r>
          </w:p>
        </w:tc>
        <w:tc>
          <w:tcPr>
            <w:tcW w:w="8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18"/>
        </w:trPr>
        <w:tc>
          <w:tcPr>
            <w:tcW w:w="6400" w:type="dxa"/>
            <w:vAlign w:val="bottom"/>
          </w:tcPr>
          <w:p>
            <w:pPr>
              <w:ind w:left="580"/>
              <w:spacing w:after="0"/>
              <w:rPr>
                <w:sz w:val="20"/>
                <w:szCs w:val="20"/>
                <w:color w:val="auto"/>
              </w:rPr>
            </w:pPr>
            <w:r>
              <w:rPr>
                <w:rFonts w:ascii="Arial" w:cs="Arial" w:eastAsia="Arial" w:hAnsi="Arial"/>
                <w:sz w:val="17"/>
                <w:szCs w:val="17"/>
                <w:color w:val="auto"/>
              </w:rPr>
              <w:t>Other operating activities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8"/>
        </w:trPr>
        <w:tc>
          <w:tcPr>
            <w:tcW w:w="6400" w:type="dxa"/>
            <w:vAlign w:val="bottom"/>
            <w:shd w:val="clear" w:color="auto" w:fill="E6E6E6"/>
          </w:tcPr>
          <w:p>
            <w:pPr>
              <w:ind w:left="580"/>
              <w:spacing w:after="0"/>
              <w:rPr>
                <w:sz w:val="20"/>
                <w:szCs w:val="20"/>
                <w:color w:val="auto"/>
              </w:rPr>
            </w:pPr>
            <w:r>
              <w:rPr>
                <w:rFonts w:ascii="Arial" w:cs="Arial" w:eastAsia="Arial" w:hAnsi="Arial"/>
                <w:sz w:val="17"/>
                <w:szCs w:val="17"/>
                <w:color w:val="auto"/>
              </w:rPr>
              <w:t>Changes in operating assets and liabilities -</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00" w:type="dxa"/>
            <w:vAlign w:val="bottom"/>
          </w:tcPr>
          <w:p>
            <w:pPr>
              <w:ind w:left="760"/>
              <w:spacing w:after="0"/>
              <w:rPr>
                <w:sz w:val="20"/>
                <w:szCs w:val="20"/>
                <w:color w:val="auto"/>
              </w:rPr>
            </w:pPr>
            <w:r>
              <w:rPr>
                <w:rFonts w:ascii="Arial" w:cs="Arial" w:eastAsia="Arial" w:hAnsi="Arial"/>
                <w:sz w:val="17"/>
                <w:szCs w:val="17"/>
                <w:color w:val="auto"/>
              </w:rPr>
              <w:t>(Increase) decrease in receivables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8"/>
        </w:trPr>
        <w:tc>
          <w:tcPr>
            <w:tcW w:w="6400" w:type="dxa"/>
            <w:vAlign w:val="bottom"/>
            <w:shd w:val="clear" w:color="auto" w:fill="E6E6E6"/>
          </w:tcPr>
          <w:p>
            <w:pPr>
              <w:ind w:left="760"/>
              <w:spacing w:after="0"/>
              <w:rPr>
                <w:sz w:val="20"/>
                <w:szCs w:val="20"/>
                <w:color w:val="auto"/>
              </w:rPr>
            </w:pPr>
            <w:r>
              <w:rPr>
                <w:rFonts w:ascii="Arial" w:cs="Arial" w:eastAsia="Arial" w:hAnsi="Arial"/>
                <w:sz w:val="17"/>
                <w:szCs w:val="17"/>
                <w:color w:val="auto"/>
              </w:rPr>
              <w:t>Increase in prepaids and other assets</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(264)</w:t>
            </w:r>
          </w:p>
        </w:tc>
        <w:tc>
          <w:tcPr>
            <w:tcW w:w="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(166)</w:t>
            </w:r>
          </w:p>
        </w:tc>
        <w:tc>
          <w:tcPr>
            <w:tcW w:w="8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18"/>
        </w:trPr>
        <w:tc>
          <w:tcPr>
            <w:tcW w:w="6400" w:type="dxa"/>
            <w:vAlign w:val="bottom"/>
          </w:tcPr>
          <w:p>
            <w:pPr>
              <w:ind w:left="760"/>
              <w:spacing w:after="0"/>
              <w:rPr>
                <w:sz w:val="20"/>
                <w:szCs w:val="20"/>
                <w:color w:val="auto"/>
              </w:rPr>
            </w:pPr>
            <w:r>
              <w:rPr>
                <w:rFonts w:ascii="Arial" w:cs="Arial" w:eastAsia="Arial" w:hAnsi="Arial"/>
                <w:sz w:val="17"/>
                <w:szCs w:val="17"/>
                <w:color w:val="auto"/>
              </w:rPr>
              <w:t>Increase (decrease) in advance ticket sales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(851)</w:t>
            </w:r>
          </w:p>
        </w:tc>
        <w:tc>
          <w:tcPr>
            <w:tcW w:w="0" w:type="dxa"/>
            <w:vAlign w:val="bottom"/>
          </w:tcPr>
          <w:p>
            <w:pPr>
              <w:spacing w:after="0"/>
              <w:rPr>
                <w:sz w:val="1"/>
                <w:szCs w:val="1"/>
                <w:color w:val="auto"/>
              </w:rPr>
            </w:pPr>
          </w:p>
        </w:tc>
      </w:tr>
      <w:tr>
        <w:trPr>
          <w:trHeight w:val="218"/>
        </w:trPr>
        <w:tc>
          <w:tcPr>
            <w:tcW w:w="6400" w:type="dxa"/>
            <w:vAlign w:val="bottom"/>
            <w:shd w:val="clear" w:color="auto" w:fill="E6E6E6"/>
          </w:tcPr>
          <w:p>
            <w:pPr>
              <w:ind w:left="760"/>
              <w:spacing w:after="0"/>
              <w:rPr>
                <w:sz w:val="20"/>
                <w:szCs w:val="20"/>
                <w:color w:val="auto"/>
              </w:rPr>
            </w:pPr>
            <w:r>
              <w:rPr>
                <w:rFonts w:ascii="Arial" w:cs="Arial" w:eastAsia="Arial" w:hAnsi="Arial"/>
                <w:sz w:val="17"/>
                <w:szCs w:val="17"/>
                <w:color w:val="auto"/>
              </w:rPr>
              <w:t>Increase in frequent flyer deferred revenue</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336</w:t>
            </w:r>
          </w:p>
        </w:tc>
        <w:tc>
          <w:tcPr>
            <w:tcW w:w="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298</w:t>
            </w:r>
          </w:p>
        </w:tc>
        <w:tc>
          <w:tcPr>
            <w:tcW w:w="8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18"/>
        </w:trPr>
        <w:tc>
          <w:tcPr>
            <w:tcW w:w="6400" w:type="dxa"/>
            <w:vAlign w:val="bottom"/>
          </w:tcPr>
          <w:p>
            <w:pPr>
              <w:ind w:left="760"/>
              <w:spacing w:after="0"/>
              <w:rPr>
                <w:sz w:val="20"/>
                <w:szCs w:val="20"/>
                <w:color w:val="auto"/>
              </w:rPr>
            </w:pPr>
            <w:r>
              <w:rPr>
                <w:rFonts w:ascii="Arial" w:cs="Arial" w:eastAsia="Arial" w:hAnsi="Arial"/>
                <w:sz w:val="17"/>
                <w:szCs w:val="17"/>
                <w:color w:val="auto"/>
              </w:rPr>
              <w:t>Increase in accounts payable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218"/>
        </w:trPr>
        <w:tc>
          <w:tcPr>
            <w:tcW w:w="6400" w:type="dxa"/>
            <w:vAlign w:val="bottom"/>
            <w:shd w:val="clear" w:color="auto" w:fill="E6E6E6"/>
          </w:tcPr>
          <w:p>
            <w:pPr>
              <w:ind w:left="760"/>
              <w:spacing w:after="0"/>
              <w:rPr>
                <w:sz w:val="20"/>
                <w:szCs w:val="20"/>
                <w:color w:val="auto"/>
              </w:rPr>
            </w:pPr>
            <w:r>
              <w:rPr>
                <w:rFonts w:ascii="Arial" w:cs="Arial" w:eastAsia="Arial" w:hAnsi="Arial"/>
                <w:sz w:val="17"/>
                <w:szCs w:val="17"/>
                <w:color w:val="auto"/>
              </w:rPr>
              <w:t>Decrease in intercompany payable</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(747)</w:t>
            </w:r>
          </w:p>
        </w:tc>
        <w:tc>
          <w:tcPr>
            <w:tcW w:w="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(186)</w:t>
            </w:r>
          </w:p>
        </w:tc>
        <w:tc>
          <w:tcPr>
            <w:tcW w:w="8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E6E6E6"/>
            </w:tcBorders>
          </w:tcPr>
          <w:p>
            <w:pPr>
              <w:ind w:left="760"/>
              <w:spacing w:after="0"/>
              <w:rPr>
                <w:sz w:val="20"/>
                <w:szCs w:val="20"/>
                <w:color w:val="auto"/>
              </w:rPr>
            </w:pPr>
            <w:r>
              <w:rPr>
                <w:rFonts w:ascii="Arial" w:cs="Arial" w:eastAsia="Arial" w:hAnsi="Arial"/>
                <w:sz w:val="17"/>
                <w:szCs w:val="17"/>
                <w:color w:val="auto"/>
              </w:rPr>
              <w:t>Increase in other liabilities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8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w:t>
            </w:r>
          </w:p>
        </w:tc>
        <w:tc>
          <w:tcPr>
            <w:tcW w:w="80" w:type="dxa"/>
            <w:vAlign w:val="bottom"/>
            <w:tcBorders>
              <w:bottom w:val="single" w:sz="8" w:color="E6E6E6"/>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w:t>
            </w:r>
          </w:p>
        </w:tc>
        <w:tc>
          <w:tcPr>
            <w:tcW w:w="0" w:type="dxa"/>
            <w:vAlign w:val="bottom"/>
          </w:tcPr>
          <w:p>
            <w:pPr>
              <w:spacing w:after="0"/>
              <w:rPr>
                <w:sz w:val="1"/>
                <w:szCs w:val="1"/>
                <w:color w:val="auto"/>
              </w:rPr>
            </w:pPr>
          </w:p>
        </w:tc>
      </w:tr>
      <w:tr>
        <w:trPr>
          <w:trHeight w:val="218"/>
        </w:trPr>
        <w:tc>
          <w:tcPr>
            <w:tcW w:w="64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Net cash provided by operating activities</w:t>
            </w:r>
          </w:p>
        </w:tc>
        <w:tc>
          <w:tcPr>
            <w:tcW w:w="260" w:type="dxa"/>
            <w:vAlign w:val="bottom"/>
            <w:tcBorders>
              <w:bottom w:val="single" w:sz="8" w:color="auto"/>
            </w:tcBorders>
            <w:shd w:val="clear" w:color="auto" w:fill="E6E6E6"/>
          </w:tcPr>
          <w:p>
            <w:pPr>
              <w:spacing w:after="0"/>
              <w:rPr>
                <w:sz w:val="18"/>
                <w:szCs w:val="18"/>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7,685</w:t>
            </w:r>
          </w:p>
        </w:tc>
        <w:tc>
          <w:tcPr>
            <w:tcW w:w="80" w:type="dxa"/>
            <w:vAlign w:val="bottom"/>
            <w:tcBorders>
              <w:bottom w:val="single" w:sz="8" w:color="E6E6E6"/>
            </w:tcBorders>
            <w:shd w:val="clear" w:color="auto" w:fill="E6E6E6"/>
          </w:tcPr>
          <w:p>
            <w:pPr>
              <w:spacing w:after="0"/>
              <w:rPr>
                <w:sz w:val="18"/>
                <w:szCs w:val="18"/>
                <w:color w:val="auto"/>
              </w:rPr>
            </w:pPr>
          </w:p>
        </w:tc>
        <w:tc>
          <w:tcPr>
            <w:tcW w:w="260" w:type="dxa"/>
            <w:vAlign w:val="bottom"/>
            <w:tcBorders>
              <w:bottom w:val="single" w:sz="8" w:color="auto"/>
            </w:tcBorders>
            <w:shd w:val="clear" w:color="auto" w:fill="E6E6E6"/>
          </w:tcPr>
          <w:p>
            <w:pPr>
              <w:spacing w:after="0"/>
              <w:rPr>
                <w:sz w:val="18"/>
                <w:szCs w:val="18"/>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9,262</w:t>
            </w:r>
          </w:p>
        </w:tc>
        <w:tc>
          <w:tcPr>
            <w:tcW w:w="80" w:type="dxa"/>
            <w:vAlign w:val="bottom"/>
            <w:tcBorders>
              <w:bottom w:val="single" w:sz="8" w:color="E6E6E6"/>
            </w:tcBorders>
            <w:shd w:val="clear" w:color="auto" w:fill="E6E6E6"/>
          </w:tcPr>
          <w:p>
            <w:pPr>
              <w:spacing w:after="0"/>
              <w:rPr>
                <w:sz w:val="18"/>
                <w:szCs w:val="18"/>
                <w:color w:val="auto"/>
              </w:rPr>
            </w:pPr>
          </w:p>
        </w:tc>
        <w:tc>
          <w:tcPr>
            <w:tcW w:w="360" w:type="dxa"/>
            <w:vAlign w:val="bottom"/>
            <w:tcBorders>
              <w:bottom w:val="single" w:sz="8" w:color="auto"/>
            </w:tcBorders>
            <w:shd w:val="clear" w:color="auto" w:fill="E6E6E6"/>
          </w:tcPr>
          <w:p>
            <w:pPr>
              <w:spacing w:after="0"/>
              <w:rPr>
                <w:sz w:val="18"/>
                <w:szCs w:val="18"/>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6,879</w:t>
            </w:r>
          </w:p>
        </w:tc>
        <w:tc>
          <w:tcPr>
            <w:tcW w:w="0" w:type="dxa"/>
            <w:vAlign w:val="bottom"/>
          </w:tcPr>
          <w:p>
            <w:pPr>
              <w:spacing w:after="0"/>
              <w:rPr>
                <w:sz w:val="1"/>
                <w:szCs w:val="1"/>
                <w:color w:val="auto"/>
              </w:rPr>
            </w:pPr>
          </w:p>
        </w:tc>
      </w:tr>
      <w:tr>
        <w:trPr>
          <w:trHeight w:val="188"/>
        </w:trPr>
        <w:tc>
          <w:tcPr>
            <w:tcW w:w="6400" w:type="dxa"/>
            <w:vAlign w:val="bottom"/>
          </w:tcPr>
          <w:p>
            <w:pPr>
              <w:ind w:left="60"/>
              <w:spacing w:after="0" w:line="188" w:lineRule="exact"/>
              <w:rPr>
                <w:sz w:val="20"/>
                <w:szCs w:val="20"/>
                <w:color w:val="auto"/>
              </w:rPr>
            </w:pPr>
            <w:r>
              <w:rPr>
                <w:rFonts w:ascii="Arial" w:cs="Arial" w:eastAsia="Arial" w:hAnsi="Arial"/>
                <w:sz w:val="17"/>
                <w:szCs w:val="17"/>
                <w:color w:val="auto"/>
              </w:rPr>
              <w:t>Investing Activities: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Capital expenditures, net of flight equipment purchase deposit returns</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(5,874)</w:t>
            </w:r>
          </w:p>
        </w:tc>
        <w:tc>
          <w:tcPr>
            <w:tcW w:w="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(5,615)</w:t>
            </w:r>
          </w:p>
        </w:tc>
        <w:tc>
          <w:tcPr>
            <w:tcW w:w="8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(7,171)</w:t>
            </w:r>
          </w:p>
        </w:tc>
        <w:tc>
          <w:tcPr>
            <w:tcW w:w="0" w:type="dxa"/>
            <w:vAlign w:val="bottom"/>
          </w:tcPr>
          <w:p>
            <w:pPr>
              <w:spacing w:after="0"/>
              <w:rPr>
                <w:sz w:val="1"/>
                <w:szCs w:val="1"/>
                <w:color w:val="auto"/>
              </w:rPr>
            </w:pPr>
          </w:p>
        </w:tc>
      </w:tr>
      <w:tr>
        <w:trPr>
          <w:trHeight w:val="218"/>
        </w:trPr>
        <w:tc>
          <w:tcPr>
            <w:tcW w:w="6400" w:type="dxa"/>
            <w:vAlign w:val="bottom"/>
          </w:tcPr>
          <w:p>
            <w:pPr>
              <w:ind w:left="280"/>
              <w:spacing w:after="0"/>
              <w:rPr>
                <w:sz w:val="20"/>
                <w:szCs w:val="20"/>
                <w:color w:val="auto"/>
              </w:rPr>
            </w:pPr>
            <w:r>
              <w:rPr>
                <w:rFonts w:ascii="Arial" w:cs="Arial" w:eastAsia="Arial" w:hAnsi="Arial"/>
                <w:sz w:val="17"/>
                <w:szCs w:val="17"/>
                <w:color w:val="auto"/>
              </w:rPr>
              <w:t>Purchases of short-term and other investments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(7,763)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(5,809)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(9,470)</w:t>
            </w:r>
          </w:p>
        </w:tc>
        <w:tc>
          <w:tcPr>
            <w:tcW w:w="0" w:type="dxa"/>
            <w:vAlign w:val="bottom"/>
          </w:tcPr>
          <w:p>
            <w:pPr>
              <w:spacing w:after="0"/>
              <w:rPr>
                <w:sz w:val="1"/>
                <w:szCs w:val="1"/>
                <w:color w:val="auto"/>
              </w:rPr>
            </w:pPr>
          </w:p>
        </w:tc>
      </w:tr>
      <w:tr>
        <w:trPr>
          <w:trHeight w:val="218"/>
        </w:trPr>
        <w:tc>
          <w:tcPr>
            <w:tcW w:w="64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Proceeds from sale of short-term and other investments</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7,284</w:t>
            </w:r>
          </w:p>
        </w:tc>
        <w:tc>
          <w:tcPr>
            <w:tcW w:w="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8,661</w:t>
            </w:r>
          </w:p>
        </w:tc>
        <w:tc>
          <w:tcPr>
            <w:tcW w:w="8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10,519</w:t>
            </w:r>
          </w:p>
        </w:tc>
        <w:tc>
          <w:tcPr>
            <w:tcW w:w="0" w:type="dxa"/>
            <w:vAlign w:val="bottom"/>
          </w:tcPr>
          <w:p>
            <w:pPr>
              <w:spacing w:after="0"/>
              <w:rPr>
                <w:sz w:val="1"/>
                <w:szCs w:val="1"/>
                <w:color w:val="auto"/>
              </w:rPr>
            </w:pPr>
          </w:p>
        </w:tc>
      </w:tr>
      <w:tr>
        <w:trPr>
          <w:trHeight w:val="218"/>
        </w:trPr>
        <w:tc>
          <w:tcPr>
            <w:tcW w:w="6400" w:type="dxa"/>
            <w:vAlign w:val="bottom"/>
          </w:tcPr>
          <w:p>
            <w:pPr>
              <w:ind w:left="280"/>
              <w:spacing w:after="0"/>
              <w:rPr>
                <w:sz w:val="20"/>
                <w:szCs w:val="20"/>
                <w:color w:val="auto"/>
              </w:rPr>
            </w:pPr>
            <w:r>
              <w:rPr>
                <w:rFonts w:ascii="Arial" w:cs="Arial" w:eastAsia="Arial" w:hAnsi="Arial"/>
                <w:sz w:val="17"/>
                <w:szCs w:val="17"/>
                <w:color w:val="auto"/>
              </w:rPr>
              <w:t>Proceeds from sale of property and equipment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7"/>
                <w:szCs w:val="17"/>
                <w:color w:val="auto"/>
              </w:rPr>
              <w:t>Other, net</w:t>
            </w:r>
          </w:p>
        </w:tc>
        <w:tc>
          <w:tcPr>
            <w:tcW w:w="260" w:type="dxa"/>
            <w:vAlign w:val="bottom"/>
            <w:tcBorders>
              <w:bottom w:val="single" w:sz="8" w:color="auto"/>
            </w:tcBorders>
            <w:shd w:val="clear" w:color="auto" w:fill="E6E6E6"/>
          </w:tcPr>
          <w:p>
            <w:pPr>
              <w:spacing w:after="0"/>
              <w:rPr>
                <w:sz w:val="19"/>
                <w:szCs w:val="19"/>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(96)</w:t>
            </w:r>
          </w:p>
        </w:tc>
        <w:tc>
          <w:tcPr>
            <w:tcW w:w="80" w:type="dxa"/>
            <w:vAlign w:val="bottom"/>
            <w:tcBorders>
              <w:bottom w:val="single" w:sz="8" w:color="E6E6E6"/>
            </w:tcBorders>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spacing w:after="0"/>
              <w:rPr>
                <w:sz w:val="19"/>
                <w:szCs w:val="19"/>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E6E6E6"/>
            </w:tcBorders>
            <w:shd w:val="clear" w:color="auto" w:fill="E6E6E6"/>
          </w:tcPr>
          <w:p>
            <w:pPr>
              <w:spacing w:after="0"/>
              <w:rPr>
                <w:sz w:val="19"/>
                <w:szCs w:val="19"/>
                <w:color w:val="auto"/>
              </w:rPr>
            </w:pPr>
          </w:p>
        </w:tc>
        <w:tc>
          <w:tcPr>
            <w:tcW w:w="360" w:type="dxa"/>
            <w:vAlign w:val="bottom"/>
            <w:tcBorders>
              <w:bottom w:val="single" w:sz="8" w:color="auto"/>
            </w:tcBorders>
            <w:shd w:val="clear" w:color="auto" w:fill="E6E6E6"/>
          </w:tcPr>
          <w:p>
            <w:pPr>
              <w:spacing w:after="0"/>
              <w:rPr>
                <w:sz w:val="19"/>
                <w:szCs w:val="19"/>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78"/>
        </w:trPr>
        <w:tc>
          <w:tcPr>
            <w:tcW w:w="6400" w:type="dxa"/>
            <w:vAlign w:val="bottom"/>
            <w:tcBorders>
              <w:bottom w:val="single" w:sz="8" w:color="E6E6E6"/>
            </w:tcBorders>
          </w:tcPr>
          <w:p>
            <w:pPr>
              <w:ind w:left="60"/>
              <w:spacing w:after="0" w:line="178" w:lineRule="exact"/>
              <w:rPr>
                <w:sz w:val="20"/>
                <w:szCs w:val="20"/>
                <w:color w:val="auto"/>
              </w:rPr>
            </w:pPr>
            <w:r>
              <w:rPr>
                <w:rFonts w:ascii="Arial" w:cs="Arial" w:eastAsia="Arial" w:hAnsi="Arial"/>
                <w:sz w:val="17"/>
                <w:szCs w:val="17"/>
                <w:color w:val="auto"/>
              </w:rPr>
              <w:t>Net cash used in investing activities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(6,350)</w:t>
            </w:r>
          </w:p>
        </w:tc>
        <w:tc>
          <w:tcPr>
            <w:tcW w:w="8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(2,651)</w:t>
            </w:r>
          </w:p>
        </w:tc>
        <w:tc>
          <w:tcPr>
            <w:tcW w:w="80" w:type="dxa"/>
            <w:vAlign w:val="bottom"/>
            <w:tcBorders>
              <w:bottom w:val="single" w:sz="8" w:color="E6E6E6"/>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(6,106)</w:t>
            </w:r>
          </w:p>
        </w:tc>
        <w:tc>
          <w:tcPr>
            <w:tcW w:w="0" w:type="dxa"/>
            <w:vAlign w:val="bottom"/>
          </w:tcPr>
          <w:p>
            <w:pPr>
              <w:spacing w:after="0"/>
              <w:rPr>
                <w:sz w:val="1"/>
                <w:szCs w:val="1"/>
                <w:color w:val="auto"/>
              </w:rPr>
            </w:pPr>
          </w:p>
        </w:tc>
      </w:tr>
      <w:tr>
        <w:trPr>
          <w:trHeight w:val="208"/>
        </w:trPr>
        <w:tc>
          <w:tcPr>
            <w:tcW w:w="6400" w:type="dxa"/>
            <w:vAlign w:val="bottom"/>
            <w:shd w:val="clear" w:color="auto" w:fill="E6E6E6"/>
          </w:tcPr>
          <w:p>
            <w:pPr>
              <w:ind w:left="60"/>
              <w:spacing w:after="0"/>
              <w:rPr>
                <w:sz w:val="20"/>
                <w:szCs w:val="20"/>
                <w:color w:val="auto"/>
              </w:rPr>
            </w:pPr>
            <w:r>
              <w:rPr>
                <w:rFonts w:ascii="Arial" w:cs="Arial" w:eastAsia="Arial" w:hAnsi="Arial"/>
                <w:sz w:val="17"/>
                <w:szCs w:val="17"/>
                <w:color w:val="auto"/>
              </w:rPr>
              <w:t>Financing Activities:</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0" w:type="dxa"/>
            <w:vAlign w:val="bottom"/>
          </w:tcPr>
          <w:p>
            <w:pPr>
              <w:ind w:left="280"/>
              <w:spacing w:after="0"/>
              <w:rPr>
                <w:sz w:val="20"/>
                <w:szCs w:val="20"/>
                <w:color w:val="auto"/>
              </w:rPr>
            </w:pPr>
            <w:r>
              <w:rPr>
                <w:rFonts w:ascii="Arial" w:cs="Arial" w:eastAsia="Arial" w:hAnsi="Arial"/>
                <w:sz w:val="17"/>
                <w:szCs w:val="17"/>
                <w:color w:val="auto"/>
                <w:w w:val="93"/>
              </w:rPr>
              <w:t>Proceeds from issuance of debt and other financial liabilities, net of discounts and fees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578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6,139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2,388</w:t>
            </w:r>
          </w:p>
        </w:tc>
        <w:tc>
          <w:tcPr>
            <w:tcW w:w="0" w:type="dxa"/>
            <w:vAlign w:val="bottom"/>
          </w:tcPr>
          <w:p>
            <w:pPr>
              <w:spacing w:after="0"/>
              <w:rPr>
                <w:sz w:val="1"/>
                <w:szCs w:val="1"/>
                <w:color w:val="auto"/>
              </w:rPr>
            </w:pPr>
          </w:p>
        </w:tc>
      </w:tr>
      <w:tr>
        <w:trPr>
          <w:trHeight w:val="257"/>
        </w:trPr>
        <w:tc>
          <w:tcPr>
            <w:tcW w:w="64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Payments of long-term debt, finance leases and other financial liabilities</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(4,771)</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(10,138)</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(4,248)</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E6E6E6"/>
            </w:tcBorders>
          </w:tcPr>
          <w:p>
            <w:pPr>
              <w:ind w:left="280"/>
              <w:spacing w:after="0"/>
              <w:rPr>
                <w:sz w:val="20"/>
                <w:szCs w:val="20"/>
                <w:color w:val="auto"/>
              </w:rPr>
            </w:pPr>
            <w:r>
              <w:rPr>
                <w:rFonts w:ascii="Arial" w:cs="Arial" w:eastAsia="Arial" w:hAnsi="Arial"/>
                <w:sz w:val="17"/>
                <w:szCs w:val="17"/>
                <w:color w:val="auto"/>
              </w:rPr>
              <w:t>Other, net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E6E6E6"/>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4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Net cash used in financing activities</w:t>
            </w:r>
          </w:p>
        </w:tc>
        <w:tc>
          <w:tcPr>
            <w:tcW w:w="260" w:type="dxa"/>
            <w:vAlign w:val="bottom"/>
            <w:tcBorders>
              <w:bottom w:val="single" w:sz="8" w:color="auto"/>
            </w:tcBorders>
            <w:shd w:val="clear" w:color="auto" w:fill="E6E6E6"/>
          </w:tcPr>
          <w:p>
            <w:pPr>
              <w:spacing w:after="0"/>
              <w:rPr>
                <w:sz w:val="18"/>
                <w:szCs w:val="18"/>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(4,200)</w:t>
            </w:r>
          </w:p>
        </w:tc>
        <w:tc>
          <w:tcPr>
            <w:tcW w:w="80" w:type="dxa"/>
            <w:vAlign w:val="bottom"/>
            <w:tcBorders>
              <w:bottom w:val="single" w:sz="8" w:color="E6E6E6"/>
            </w:tcBorders>
            <w:shd w:val="clear" w:color="auto" w:fill="E6E6E6"/>
          </w:tcPr>
          <w:p>
            <w:pPr>
              <w:spacing w:after="0"/>
              <w:rPr>
                <w:sz w:val="18"/>
                <w:szCs w:val="18"/>
                <w:color w:val="auto"/>
              </w:rPr>
            </w:pPr>
          </w:p>
        </w:tc>
        <w:tc>
          <w:tcPr>
            <w:tcW w:w="260" w:type="dxa"/>
            <w:vAlign w:val="bottom"/>
            <w:tcBorders>
              <w:bottom w:val="single" w:sz="8" w:color="auto"/>
            </w:tcBorders>
            <w:shd w:val="clear" w:color="auto" w:fill="E6E6E6"/>
          </w:tcPr>
          <w:p>
            <w:pPr>
              <w:spacing w:after="0"/>
              <w:rPr>
                <w:sz w:val="18"/>
                <w:szCs w:val="18"/>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(3,999)</w:t>
            </w:r>
          </w:p>
        </w:tc>
        <w:tc>
          <w:tcPr>
            <w:tcW w:w="80" w:type="dxa"/>
            <w:vAlign w:val="bottom"/>
            <w:tcBorders>
              <w:bottom w:val="single" w:sz="8" w:color="E6E6E6"/>
            </w:tcBorders>
            <w:shd w:val="clear" w:color="auto" w:fill="E6E6E6"/>
          </w:tcPr>
          <w:p>
            <w:pPr>
              <w:spacing w:after="0"/>
              <w:rPr>
                <w:sz w:val="18"/>
                <w:szCs w:val="18"/>
                <w:color w:val="auto"/>
              </w:rPr>
            </w:pPr>
          </w:p>
        </w:tc>
        <w:tc>
          <w:tcPr>
            <w:tcW w:w="360" w:type="dxa"/>
            <w:vAlign w:val="bottom"/>
            <w:tcBorders>
              <w:bottom w:val="single" w:sz="8" w:color="auto"/>
            </w:tcBorders>
            <w:shd w:val="clear" w:color="auto" w:fill="E6E6E6"/>
          </w:tcPr>
          <w:p>
            <w:pPr>
              <w:spacing w:after="0"/>
              <w:rPr>
                <w:sz w:val="18"/>
                <w:szCs w:val="18"/>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(1,860)</w:t>
            </w:r>
          </w:p>
        </w:tc>
        <w:tc>
          <w:tcPr>
            <w:tcW w:w="0" w:type="dxa"/>
            <w:vAlign w:val="bottom"/>
          </w:tcPr>
          <w:p>
            <w:pPr>
              <w:spacing w:after="0"/>
              <w:rPr>
                <w:sz w:val="1"/>
                <w:szCs w:val="1"/>
                <w:color w:val="auto"/>
              </w:rPr>
            </w:pPr>
          </w:p>
        </w:tc>
      </w:tr>
      <w:tr>
        <w:trPr>
          <w:trHeight w:val="188"/>
        </w:trPr>
        <w:tc>
          <w:tcPr>
            <w:tcW w:w="6400" w:type="dxa"/>
            <w:vAlign w:val="bottom"/>
          </w:tcPr>
          <w:p>
            <w:pPr>
              <w:ind w:left="60"/>
              <w:spacing w:after="0" w:line="188" w:lineRule="exact"/>
              <w:rPr>
                <w:sz w:val="20"/>
                <w:szCs w:val="20"/>
                <w:color w:val="auto"/>
              </w:rPr>
            </w:pPr>
            <w:r>
              <w:rPr>
                <w:rFonts w:ascii="Arial" w:cs="Arial" w:eastAsia="Arial" w:hAnsi="Arial"/>
                <w:sz w:val="17"/>
                <w:szCs w:val="17"/>
                <w:color w:val="auto"/>
              </w:rPr>
              <w:t>Net increase (decrease) in cash, cash equivalents and restricted cash</w:t>
            </w:r>
          </w:p>
        </w:tc>
        <w:tc>
          <w:tcPr>
            <w:tcW w:w="260" w:type="dxa"/>
            <w:vAlign w:val="bottom"/>
          </w:tcPr>
          <w:p>
            <w:pPr>
              <w:spacing w:after="0"/>
              <w:rPr>
                <w:sz w:val="16"/>
                <w:szCs w:val="16"/>
                <w:color w:val="auto"/>
              </w:rPr>
            </w:pPr>
          </w:p>
        </w:tc>
        <w:tc>
          <w:tcPr>
            <w:tcW w:w="860" w:type="dxa"/>
            <w:vAlign w:val="bottom"/>
          </w:tcPr>
          <w:p>
            <w:pPr>
              <w:jc w:val="right"/>
              <w:spacing w:after="0" w:line="188" w:lineRule="exact"/>
              <w:rPr>
                <w:sz w:val="20"/>
                <w:szCs w:val="20"/>
                <w:color w:val="auto"/>
              </w:rPr>
            </w:pPr>
            <w:r>
              <w:rPr>
                <w:rFonts w:ascii="Arial" w:cs="Arial" w:eastAsia="Arial" w:hAnsi="Arial"/>
                <w:sz w:val="17"/>
                <w:szCs w:val="17"/>
                <w:color w:val="auto"/>
              </w:rPr>
              <w:t>(2,865)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line="188" w:lineRule="exact"/>
              <w:rPr>
                <w:sz w:val="20"/>
                <w:szCs w:val="20"/>
                <w:color w:val="auto"/>
              </w:rPr>
            </w:pPr>
            <w:r>
              <w:rPr>
                <w:rFonts w:ascii="Arial" w:cs="Arial" w:eastAsia="Arial" w:hAnsi="Arial"/>
                <w:sz w:val="17"/>
                <w:szCs w:val="17"/>
                <w:color w:val="auto"/>
              </w:rPr>
              <w:t>2,612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line="188" w:lineRule="exact"/>
              <w:rPr>
                <w:sz w:val="20"/>
                <w:szCs w:val="20"/>
                <w:color w:val="auto"/>
              </w:rPr>
            </w:pPr>
            <w:r>
              <w:rPr>
                <w:rFonts w:ascii="Arial" w:cs="Arial" w:eastAsia="Arial" w:hAnsi="Arial"/>
                <w:sz w:val="17"/>
                <w:szCs w:val="17"/>
                <w:color w:val="auto"/>
              </w:rPr>
              <w:t>(1,087)</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7"/>
                <w:szCs w:val="17"/>
                <w:color w:val="auto"/>
              </w:rPr>
              <w:t>Cash, cash equivalents and restricted cash at beginning of year</w:t>
            </w:r>
          </w:p>
        </w:tc>
        <w:tc>
          <w:tcPr>
            <w:tcW w:w="260" w:type="dxa"/>
            <w:vAlign w:val="bottom"/>
            <w:tcBorders>
              <w:bottom w:val="single" w:sz="8" w:color="auto"/>
            </w:tcBorders>
            <w:shd w:val="clear" w:color="auto" w:fill="E6E6E6"/>
          </w:tcPr>
          <w:p>
            <w:pPr>
              <w:spacing w:after="0"/>
              <w:rPr>
                <w:sz w:val="19"/>
                <w:szCs w:val="19"/>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8,946</w:t>
            </w:r>
          </w:p>
        </w:tc>
        <w:tc>
          <w:tcPr>
            <w:tcW w:w="80" w:type="dxa"/>
            <w:vAlign w:val="bottom"/>
            <w:tcBorders>
              <w:bottom w:val="single" w:sz="8" w:color="E6E6E6"/>
            </w:tcBorders>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spacing w:after="0"/>
              <w:rPr>
                <w:sz w:val="19"/>
                <w:szCs w:val="19"/>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6,334</w:t>
            </w:r>
          </w:p>
        </w:tc>
        <w:tc>
          <w:tcPr>
            <w:tcW w:w="80" w:type="dxa"/>
            <w:vAlign w:val="bottom"/>
            <w:tcBorders>
              <w:bottom w:val="single" w:sz="8" w:color="E6E6E6"/>
            </w:tcBorders>
            <w:shd w:val="clear" w:color="auto" w:fill="E6E6E6"/>
          </w:tcPr>
          <w:p>
            <w:pPr>
              <w:spacing w:after="0"/>
              <w:rPr>
                <w:sz w:val="19"/>
                <w:szCs w:val="19"/>
                <w:color w:val="auto"/>
              </w:rPr>
            </w:pPr>
          </w:p>
        </w:tc>
        <w:tc>
          <w:tcPr>
            <w:tcW w:w="360" w:type="dxa"/>
            <w:vAlign w:val="bottom"/>
            <w:tcBorders>
              <w:bottom w:val="single" w:sz="8" w:color="auto"/>
            </w:tcBorders>
            <w:shd w:val="clear" w:color="auto" w:fill="E6E6E6"/>
          </w:tcPr>
          <w:p>
            <w:pPr>
              <w:spacing w:after="0"/>
              <w:rPr>
                <w:sz w:val="19"/>
                <w:szCs w:val="19"/>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7,421</w:t>
            </w:r>
          </w:p>
        </w:tc>
        <w:tc>
          <w:tcPr>
            <w:tcW w:w="0" w:type="dxa"/>
            <w:vAlign w:val="bottom"/>
          </w:tcPr>
          <w:p>
            <w:pPr>
              <w:spacing w:after="0"/>
              <w:rPr>
                <w:sz w:val="1"/>
                <w:szCs w:val="1"/>
                <w:color w:val="auto"/>
              </w:rPr>
            </w:pPr>
          </w:p>
        </w:tc>
      </w:tr>
      <w:tr>
        <w:trPr>
          <w:trHeight w:val="159"/>
        </w:trPr>
        <w:tc>
          <w:tcPr>
            <w:tcW w:w="6400" w:type="dxa"/>
            <w:vAlign w:val="bottom"/>
          </w:tcPr>
          <w:p>
            <w:pPr>
              <w:ind w:left="60"/>
              <w:spacing w:after="0" w:line="159" w:lineRule="exact"/>
              <w:rPr>
                <w:sz w:val="20"/>
                <w:szCs w:val="20"/>
                <w:color w:val="auto"/>
              </w:rPr>
            </w:pPr>
            <w:r>
              <w:rPr>
                <w:rFonts w:ascii="Arial" w:cs="Arial" w:eastAsia="Arial" w:hAnsi="Arial"/>
                <w:sz w:val="17"/>
                <w:szCs w:val="17"/>
                <w:color w:val="auto"/>
              </w:rPr>
              <w:t>Cash, cash equivalents and restricted cash at end of year</w:t>
            </w:r>
          </w:p>
        </w:tc>
        <w:tc>
          <w:tcPr>
            <w:tcW w:w="260" w:type="dxa"/>
            <w:vAlign w:val="bottom"/>
            <w:tcBorders>
              <w:bottom w:val="single" w:sz="8" w:color="auto"/>
            </w:tcBorders>
          </w:tcPr>
          <w:p>
            <w:pPr>
              <w:jc w:val="right"/>
              <w:ind w:right="33"/>
              <w:spacing w:after="0" w:line="15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6,081</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33"/>
              <w:spacing w:after="0" w:line="15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8,946</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133"/>
              <w:spacing w:after="0" w:line="159"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6,334</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60"/>
              <w:spacing w:after="0"/>
              <w:rPr>
                <w:sz w:val="20"/>
                <w:szCs w:val="20"/>
                <w:color w:val="auto"/>
              </w:rPr>
            </w:pPr>
            <w:r>
              <w:rPr>
                <w:rFonts w:ascii="Arial" w:cs="Arial" w:eastAsia="Arial" w:hAnsi="Arial"/>
                <w:sz w:val="17"/>
                <w:szCs w:val="17"/>
                <w:color w:val="auto"/>
              </w:rPr>
              <w:t>Investing and Financing Activities Not Affecting Cash:</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Right-of-use assets acquired or modified through operating leases</w:t>
            </w:r>
          </w:p>
        </w:tc>
        <w:tc>
          <w:tcPr>
            <w:tcW w:w="2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1,901</w:t>
            </w:r>
          </w:p>
        </w:tc>
        <w:tc>
          <w:tcPr>
            <w:tcW w:w="340" w:type="dxa"/>
            <w:vAlign w:val="bottom"/>
            <w:gridSpan w:val="2"/>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625</w:t>
            </w:r>
          </w:p>
        </w:tc>
        <w:tc>
          <w:tcPr>
            <w:tcW w:w="440" w:type="dxa"/>
            <w:vAlign w:val="bottom"/>
            <w:gridSpan w:val="2"/>
            <w:shd w:val="clear" w:color="auto" w:fill="E6E6E6"/>
          </w:tcPr>
          <w:p>
            <w:pPr>
              <w:jc w:val="right"/>
              <w:ind w:right="133"/>
              <w:spacing w:after="0"/>
              <w:rPr>
                <w:sz w:val="20"/>
                <w:szCs w:val="20"/>
                <w:color w:val="auto"/>
              </w:rPr>
            </w:pPr>
            <w:r>
              <w:rPr>
                <w:rFonts w:ascii="Arial" w:cs="Arial" w:eastAsia="Arial" w:hAnsi="Arial"/>
                <w:sz w:val="17"/>
                <w:szCs w:val="17"/>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761</w:t>
            </w:r>
          </w:p>
        </w:tc>
        <w:tc>
          <w:tcPr>
            <w:tcW w:w="0" w:type="dxa"/>
            <w:vAlign w:val="bottom"/>
          </w:tcPr>
          <w:p>
            <w:pPr>
              <w:spacing w:after="0"/>
              <w:rPr>
                <w:sz w:val="1"/>
                <w:szCs w:val="1"/>
                <w:color w:val="auto"/>
              </w:rPr>
            </w:pPr>
          </w:p>
        </w:tc>
      </w:tr>
      <w:tr>
        <w:trPr>
          <w:trHeight w:val="176"/>
        </w:trPr>
        <w:tc>
          <w:tcPr>
            <w:tcW w:w="6400" w:type="dxa"/>
            <w:vAlign w:val="bottom"/>
          </w:tcPr>
          <w:p>
            <w:pPr>
              <w:ind w:left="280"/>
              <w:spacing w:after="0" w:line="176" w:lineRule="exact"/>
              <w:rPr>
                <w:sz w:val="20"/>
                <w:szCs w:val="20"/>
                <w:color w:val="auto"/>
              </w:rPr>
            </w:pPr>
            <w:r>
              <w:rPr>
                <w:rFonts w:ascii="Arial" w:cs="Arial" w:eastAsia="Arial" w:hAnsi="Arial"/>
                <w:sz w:val="17"/>
                <w:szCs w:val="17"/>
                <w:color w:val="auto"/>
                <w:w w:val="93"/>
              </w:rPr>
              <w:t>Property and equipment acquired through the issuance or modification of debt, finance</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409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819</w:t>
            </w:r>
          </w:p>
        </w:tc>
        <w:tc>
          <w:tcPr>
            <w:tcW w:w="0" w:type="dxa"/>
            <w:vAlign w:val="bottom"/>
          </w:tcPr>
          <w:p>
            <w:pPr>
              <w:spacing w:after="0"/>
              <w:rPr>
                <w:sz w:val="1"/>
                <w:szCs w:val="1"/>
                <w:color w:val="auto"/>
              </w:rPr>
            </w:pPr>
          </w:p>
        </w:tc>
      </w:tr>
      <w:tr>
        <w:trPr>
          <w:trHeight w:val="139"/>
        </w:trPr>
        <w:tc>
          <w:tcPr>
            <w:tcW w:w="6400" w:type="dxa"/>
            <w:vAlign w:val="bottom"/>
            <w:vMerge w:val="restart"/>
          </w:tcPr>
          <w:p>
            <w:pPr>
              <w:ind w:left="280"/>
              <w:spacing w:after="0"/>
              <w:rPr>
                <w:sz w:val="20"/>
                <w:szCs w:val="20"/>
                <w:color w:val="auto"/>
              </w:rPr>
            </w:pPr>
            <w:r>
              <w:rPr>
                <w:rFonts w:ascii="Arial" w:cs="Arial" w:eastAsia="Arial" w:hAnsi="Arial"/>
                <w:sz w:val="17"/>
                <w:szCs w:val="17"/>
                <w:color w:val="auto"/>
              </w:rPr>
              <w:t>leases and other financial liabilities</w:t>
            </w: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64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64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Operating leases converted to finance leases</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417</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239</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28"/>
        </w:trPr>
        <w:tc>
          <w:tcPr>
            <w:tcW w:w="6400" w:type="dxa"/>
            <w:vAlign w:val="bottom"/>
          </w:tcPr>
          <w:p>
            <w:pPr>
              <w:ind w:left="280"/>
              <w:spacing w:after="0"/>
              <w:rPr>
                <w:sz w:val="20"/>
                <w:szCs w:val="20"/>
                <w:color w:val="auto"/>
              </w:rPr>
            </w:pPr>
            <w:r>
              <w:rPr>
                <w:rFonts w:ascii="Arial" w:cs="Arial" w:eastAsia="Arial" w:hAnsi="Arial"/>
                <w:sz w:val="17"/>
                <w:szCs w:val="17"/>
                <w:color w:val="auto"/>
              </w:rPr>
              <w:t>Investment interests received in exchange for loans, goods and services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453"/>
        </w:trPr>
        <w:tc>
          <w:tcPr>
            <w:tcW w:w="6400" w:type="dxa"/>
            <w:vAlign w:val="bottom"/>
          </w:tcPr>
          <w:p>
            <w:pPr>
              <w:ind w:left="60"/>
              <w:spacing w:after="0"/>
              <w:rPr>
                <w:sz w:val="20"/>
                <w:szCs w:val="20"/>
                <w:color w:val="auto"/>
              </w:rPr>
            </w:pPr>
            <w:r>
              <w:rPr>
                <w:rFonts w:ascii="Arial" w:cs="Arial" w:eastAsia="Arial" w:hAnsi="Arial"/>
                <w:sz w:val="17"/>
                <w:szCs w:val="17"/>
                <w:color w:val="auto"/>
              </w:rPr>
              <w:t>Cash Paid During the Period for:</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4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Interest</w:t>
            </w:r>
          </w:p>
        </w:tc>
        <w:tc>
          <w:tcPr>
            <w:tcW w:w="2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1,330</w:t>
            </w:r>
          </w:p>
        </w:tc>
        <w:tc>
          <w:tcPr>
            <w:tcW w:w="340" w:type="dxa"/>
            <w:vAlign w:val="bottom"/>
            <w:gridSpan w:val="2"/>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1,494</w:t>
            </w:r>
          </w:p>
        </w:tc>
        <w:tc>
          <w:tcPr>
            <w:tcW w:w="440" w:type="dxa"/>
            <w:vAlign w:val="bottom"/>
            <w:gridSpan w:val="2"/>
            <w:shd w:val="clear" w:color="auto" w:fill="E6E6E6"/>
          </w:tcPr>
          <w:p>
            <w:pPr>
              <w:jc w:val="right"/>
              <w:ind w:right="133"/>
              <w:spacing w:after="0"/>
              <w:rPr>
                <w:sz w:val="20"/>
                <w:szCs w:val="20"/>
                <w:color w:val="auto"/>
              </w:rPr>
            </w:pPr>
            <w:r>
              <w:rPr>
                <w:rFonts w:ascii="Arial" w:cs="Arial" w:eastAsia="Arial" w:hAnsi="Arial"/>
                <w:sz w:val="17"/>
                <w:szCs w:val="17"/>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1,848</w:t>
            </w:r>
          </w:p>
        </w:tc>
        <w:tc>
          <w:tcPr>
            <w:tcW w:w="0" w:type="dxa"/>
            <w:vAlign w:val="bottom"/>
          </w:tcPr>
          <w:p>
            <w:pPr>
              <w:spacing w:after="0"/>
              <w:rPr>
                <w:sz w:val="1"/>
                <w:szCs w:val="1"/>
                <w:color w:val="auto"/>
              </w:rPr>
            </w:pPr>
          </w:p>
        </w:tc>
      </w:tr>
      <w:tr>
        <w:trPr>
          <w:trHeight w:val="228"/>
        </w:trPr>
        <w:tc>
          <w:tcPr>
            <w:tcW w:w="6400" w:type="dxa"/>
            <w:vAlign w:val="bottom"/>
          </w:tcPr>
          <w:p>
            <w:pPr>
              <w:ind w:left="280"/>
              <w:spacing w:after="0"/>
              <w:rPr>
                <w:sz w:val="20"/>
                <w:szCs w:val="20"/>
                <w:color w:val="auto"/>
              </w:rPr>
            </w:pPr>
            <w:r>
              <w:rPr>
                <w:rFonts w:ascii="Arial" w:cs="Arial" w:eastAsia="Arial" w:hAnsi="Arial"/>
                <w:sz w:val="17"/>
                <w:szCs w:val="17"/>
                <w:color w:val="auto"/>
              </w:rPr>
              <w:t>Income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-3844290</wp:posOffset>
            </wp:positionV>
            <wp:extent cx="225234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7">
                      <a:extLst>
                        <a:ext uri="{28A0092B-C50C-407E-A947-70E740481C1C}"/>
                      </a:extLst>
                    </a:blip>
                    <a:srcRect/>
                    <a:stretch>
                      <a:fillRect/>
                    </a:stretch>
                  </pic:blipFill>
                  <pic:spPr bwMode="auto">
                    <a:xfrm>
                      <a:off x="0" y="0"/>
                      <a:ext cx="2252345" cy="2540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-3705225</wp:posOffset>
            </wp:positionV>
            <wp:extent cx="225234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8">
                      <a:extLst>
                        <a:ext uri="{28A0092B-C50C-407E-A947-70E740481C1C}"/>
                      </a:extLst>
                    </a:blip>
                    <a:srcRect/>
                    <a:stretch>
                      <a:fillRect/>
                    </a:stretch>
                  </pic:blipFill>
                  <pic:spPr bwMode="auto">
                    <a:xfrm>
                      <a:off x="0" y="0"/>
                      <a:ext cx="2252345" cy="2540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-2873375</wp:posOffset>
            </wp:positionV>
            <wp:extent cx="225234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9">
                      <a:extLst>
                        <a:ext uri="{28A0092B-C50C-407E-A947-70E740481C1C}"/>
                      </a:extLst>
                    </a:blip>
                    <a:srcRect/>
                    <a:stretch>
                      <a:fillRect/>
                    </a:stretch>
                  </pic:blipFill>
                  <pic:spPr bwMode="auto">
                    <a:xfrm>
                      <a:off x="0" y="0"/>
                      <a:ext cx="2252345" cy="2540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-2734945</wp:posOffset>
            </wp:positionV>
            <wp:extent cx="225234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0">
                      <a:extLst>
                        <a:ext uri="{28A0092B-C50C-407E-A947-70E740481C1C}"/>
                      </a:extLst>
                    </a:blip>
                    <a:srcRect/>
                    <a:stretch>
                      <a:fillRect/>
                    </a:stretch>
                  </pic:blipFill>
                  <pic:spPr bwMode="auto">
                    <a:xfrm>
                      <a:off x="0" y="0"/>
                      <a:ext cx="2252345" cy="2540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-2143760</wp:posOffset>
            </wp:positionV>
            <wp:extent cx="225234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1">
                      <a:extLst>
                        <a:ext uri="{28A0092B-C50C-407E-A947-70E740481C1C}"/>
                      </a:extLst>
                    </a:blip>
                    <a:srcRect/>
                    <a:stretch>
                      <a:fillRect/>
                    </a:stretch>
                  </pic:blipFill>
                  <pic:spPr bwMode="auto">
                    <a:xfrm>
                      <a:off x="0" y="0"/>
                      <a:ext cx="2252345" cy="2540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-2004695</wp:posOffset>
            </wp:positionV>
            <wp:extent cx="225234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2">
                      <a:extLst>
                        <a:ext uri="{28A0092B-C50C-407E-A947-70E740481C1C}"/>
                      </a:extLst>
                    </a:blip>
                    <a:srcRect/>
                    <a:stretch>
                      <a:fillRect/>
                    </a:stretch>
                  </pic:blipFill>
                  <pic:spPr bwMode="auto">
                    <a:xfrm>
                      <a:off x="0" y="0"/>
                      <a:ext cx="2252345" cy="2540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-1727835</wp:posOffset>
            </wp:positionV>
            <wp:extent cx="225234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3">
                      <a:extLst>
                        <a:ext uri="{28A0092B-C50C-407E-A947-70E740481C1C}"/>
                      </a:extLst>
                    </a:blip>
                    <a:srcRect/>
                    <a:stretch>
                      <a:fillRect/>
                    </a:stretch>
                  </pic:blipFill>
                  <pic:spPr bwMode="auto">
                    <a:xfrm>
                      <a:off x="0" y="0"/>
                      <a:ext cx="2252345" cy="2540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The accompanying Combined Notes to Consolidated Financial Statements are an integral part of these statements.</w:t>
      </w:r>
    </w:p>
    <w:p>
      <w:pPr>
        <w:sectPr>
          <w:pgSz w:w="11880" w:h="15480" w:orient="portrait"/>
          <w:cols w:equalWidth="0" w:num="1">
            <w:col w:w="9920"/>
          </w:cols>
          <w:pgMar w:left="960" w:top="579"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9920"/>
          </w:cols>
          <w:pgMar w:left="960" w:top="579" w:right="1000" w:bottom="33" w:gutter="0" w:footer="0" w:header="0"/>
          <w:type w:val="continuous"/>
        </w:sectPr>
      </w:pPr>
    </w:p>
    <w:bookmarkStart w:id="66" w:name="page67"/>
    <w:bookmarkEnd w:id="66"/>
    <w:p>
      <w:pPr>
        <w:jc w:val="center"/>
        <w:ind w:right="-319"/>
        <w:spacing w:after="0"/>
        <w:rPr>
          <w:sz w:val="20"/>
          <w:szCs w:val="20"/>
          <w:color w:val="auto"/>
        </w:rPr>
      </w:pPr>
      <w:r>
        <w:rPr>
          <w:rFonts w:ascii="Arial" w:cs="Arial" w:eastAsia="Arial" w:hAnsi="Arial"/>
          <w:sz w:val="19"/>
          <w:szCs w:val="19"/>
          <w:b w:val="1"/>
          <w:bCs w:val="1"/>
          <w:color w:val="auto"/>
        </w:rPr>
        <w:t>UNITED AIRLINES, INC.</w:t>
      </w:r>
    </w:p>
    <w:p>
      <w:pPr>
        <w:spacing w:after="0" w:line="14"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STATEMENTS OF CONSOLIDATED STOCKHOLDER'S EQUITY</w:t>
      </w:r>
    </w:p>
    <w:p>
      <w:pPr>
        <w:spacing w:after="0" w:line="14"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center"/>
              <w:ind w:right="53"/>
              <w:spacing w:after="0"/>
              <w:rPr>
                <w:sz w:val="20"/>
                <w:szCs w:val="20"/>
                <w:color w:val="auto"/>
              </w:rPr>
            </w:pPr>
            <w:r>
              <w:rPr>
                <w:rFonts w:ascii="Arial" w:cs="Arial" w:eastAsia="Arial" w:hAnsi="Arial"/>
                <w:sz w:val="17"/>
                <w:szCs w:val="17"/>
                <w:b w:val="1"/>
                <w:bCs w:val="1"/>
                <w:color w:val="auto"/>
                <w:w w:val="93"/>
              </w:rPr>
              <w:t>Accumulated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(Receivable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96"/>
              </w:rPr>
              <w:t>Additional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93"/>
              <w:spacing w:after="0" w:line="175" w:lineRule="exact"/>
              <w:rPr>
                <w:sz w:val="20"/>
                <w:szCs w:val="20"/>
                <w:color w:val="auto"/>
              </w:rPr>
            </w:pPr>
            <w:r>
              <w:rPr>
                <w:rFonts w:ascii="Arial" w:cs="Arial" w:eastAsia="Arial" w:hAnsi="Arial"/>
                <w:sz w:val="17"/>
                <w:szCs w:val="17"/>
                <w:b w:val="1"/>
                <w:bCs w:val="1"/>
                <w:color w:val="auto"/>
                <w:w w:val="96"/>
              </w:rPr>
              <w:t>from)</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restart"/>
          </w:tcPr>
          <w:p>
            <w:pPr>
              <w:jc w:val="right"/>
              <w:ind w:right="213"/>
              <w:spacing w:after="0"/>
              <w:rPr>
                <w:sz w:val="20"/>
                <w:szCs w:val="20"/>
                <w:color w:val="auto"/>
              </w:rPr>
            </w:pPr>
            <w:r>
              <w:rPr>
                <w:rFonts w:ascii="Arial" w:cs="Arial" w:eastAsia="Arial" w:hAnsi="Arial"/>
                <w:sz w:val="17"/>
                <w:szCs w:val="17"/>
                <w:b w:val="1"/>
                <w:bCs w:val="1"/>
                <w:color w:val="auto"/>
              </w:rPr>
              <w:t>Retained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53"/>
              <w:spacing w:after="0" w:line="175" w:lineRule="exact"/>
              <w:rPr>
                <w:sz w:val="20"/>
                <w:szCs w:val="20"/>
                <w:color w:val="auto"/>
              </w:rPr>
            </w:pPr>
            <w:r>
              <w:rPr>
                <w:rFonts w:ascii="Arial" w:cs="Arial" w:eastAsia="Arial" w:hAnsi="Arial"/>
                <w:sz w:val="17"/>
                <w:szCs w:val="17"/>
                <w:b w:val="1"/>
                <w:bCs w:val="1"/>
                <w:color w:val="auto"/>
                <w:w w:val="96"/>
              </w:rPr>
              <w:t>Other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jc w:val="center"/>
              <w:spacing w:after="0" w:line="175" w:lineRule="exact"/>
              <w:rPr>
                <w:sz w:val="20"/>
                <w:szCs w:val="20"/>
                <w:color w:val="auto"/>
              </w:rPr>
            </w:pPr>
            <w:r>
              <w:rPr>
                <w:rFonts w:ascii="Arial" w:cs="Arial" w:eastAsia="Arial" w:hAnsi="Arial"/>
                <w:sz w:val="17"/>
                <w:szCs w:val="17"/>
                <w:b w:val="1"/>
                <w:bCs w:val="1"/>
                <w:color w:val="auto"/>
                <w:w w:val="91"/>
              </w:rPr>
              <w:t>Payable to</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73"/>
              <w:spacing w:after="0" w:line="175" w:lineRule="exact"/>
              <w:rPr>
                <w:sz w:val="20"/>
                <w:szCs w:val="20"/>
                <w:color w:val="auto"/>
              </w:rPr>
            </w:pPr>
            <w:r>
              <w:rPr>
                <w:rFonts w:ascii="Arial" w:cs="Arial" w:eastAsia="Arial" w:hAnsi="Arial"/>
                <w:sz w:val="17"/>
                <w:szCs w:val="17"/>
                <w:b w:val="1"/>
                <w:bCs w:val="1"/>
                <w:color w:val="auto"/>
                <w:w w:val="98"/>
              </w:rPr>
              <w:t>Capital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2"/>
          </w:tcPr>
          <w:p>
            <w:pPr>
              <w:jc w:val="center"/>
              <w:spacing w:after="0" w:line="175" w:lineRule="exact"/>
              <w:rPr>
                <w:sz w:val="20"/>
                <w:szCs w:val="20"/>
                <w:color w:val="auto"/>
              </w:rPr>
            </w:pPr>
            <w:r>
              <w:rPr>
                <w:rFonts w:ascii="Arial" w:cs="Arial" w:eastAsia="Arial" w:hAnsi="Arial"/>
                <w:sz w:val="17"/>
                <w:szCs w:val="17"/>
                <w:b w:val="1"/>
                <w:bCs w:val="1"/>
                <w:color w:val="auto"/>
                <w:w w:val="90"/>
              </w:rPr>
              <w:t>Comprehensive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93"/>
              <w:spacing w:after="0" w:line="175" w:lineRule="exact"/>
              <w:rPr>
                <w:sz w:val="20"/>
                <w:szCs w:val="20"/>
                <w:color w:val="auto"/>
              </w:rPr>
            </w:pPr>
            <w:r>
              <w:rPr>
                <w:rFonts w:ascii="Arial" w:cs="Arial" w:eastAsia="Arial" w:hAnsi="Arial"/>
                <w:sz w:val="17"/>
                <w:szCs w:val="17"/>
                <w:b w:val="1"/>
                <w:bCs w:val="1"/>
                <w:color w:val="auto"/>
                <w:w w:val="94"/>
              </w:rPr>
              <w:t>Related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29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31"/>
        </w:trPr>
        <w:tc>
          <w:tcPr>
            <w:tcW w:w="368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2"/>
              </w:rPr>
              <w:t>Invested</w:t>
            </w: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Earnings</w:t>
            </w:r>
          </w:p>
        </w:tc>
        <w:tc>
          <w:tcPr>
            <w:tcW w:w="80" w:type="dxa"/>
            <w:vAlign w:val="bottom"/>
            <w:tcBorders>
              <w:bottom w:val="single" w:sz="8" w:color="E6E6E6"/>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0"/>
              </w:rPr>
              <w:t>Income (Loss)</w:t>
            </w:r>
          </w:p>
        </w:tc>
        <w:tc>
          <w:tcPr>
            <w:tcW w:w="80" w:type="dxa"/>
            <w:vAlign w:val="bottom"/>
            <w:tcBorders>
              <w:bottom w:val="single" w:sz="8" w:color="E6E6E6"/>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1"/>
              </w:rPr>
              <w:t>Parties, Net</w:t>
            </w: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80" w:type="dxa"/>
            <w:vAlign w:val="bottom"/>
            <w:shd w:val="clear" w:color="auto" w:fill="E6E6E6"/>
          </w:tcPr>
          <w:p>
            <w:pPr>
              <w:ind w:left="60"/>
              <w:spacing w:after="0"/>
              <w:rPr>
                <w:sz w:val="20"/>
                <w:szCs w:val="20"/>
                <w:color w:val="auto"/>
              </w:rPr>
            </w:pPr>
            <w:r>
              <w:rPr>
                <w:rFonts w:ascii="Arial" w:cs="Arial" w:eastAsia="Arial" w:hAnsi="Arial"/>
                <w:sz w:val="17"/>
                <w:szCs w:val="17"/>
                <w:color w:val="auto"/>
              </w:rPr>
              <w:t>Balance at December 31, 2022</w:t>
            </w:r>
          </w:p>
        </w:tc>
        <w:tc>
          <w:tcPr>
            <w:tcW w:w="1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403</w:t>
            </w:r>
          </w:p>
        </w:tc>
        <w:tc>
          <w:tcPr>
            <w:tcW w:w="280" w:type="dxa"/>
            <w:vAlign w:val="bottom"/>
            <w:gridSpan w:val="3"/>
            <w:shd w:val="clear" w:color="auto" w:fill="E6E6E6"/>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3,716</w:t>
            </w:r>
          </w:p>
        </w:tc>
        <w:tc>
          <w:tcPr>
            <w:tcW w:w="220" w:type="dxa"/>
            <w:vAlign w:val="bottom"/>
            <w:gridSpan w:val="3"/>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175</w:t>
            </w:r>
          </w:p>
        </w:tc>
        <w:tc>
          <w:tcPr>
            <w:tcW w:w="240" w:type="dxa"/>
            <w:vAlign w:val="bottom"/>
            <w:gridSpan w:val="3"/>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2,571</w:t>
            </w:r>
          </w:p>
        </w:tc>
        <w:tc>
          <w:tcPr>
            <w:tcW w:w="320" w:type="dxa"/>
            <w:vAlign w:val="bottom"/>
            <w:gridSpan w:val="3"/>
            <w:shd w:val="clear" w:color="auto" w:fill="E6E6E6"/>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6,865</w:t>
            </w:r>
          </w:p>
        </w:tc>
        <w:tc>
          <w:tcPr>
            <w:tcW w:w="0" w:type="dxa"/>
            <w:vAlign w:val="bottom"/>
          </w:tcPr>
          <w:p>
            <w:pPr>
              <w:spacing w:after="0"/>
              <w:rPr>
                <w:sz w:val="1"/>
                <w:szCs w:val="1"/>
                <w:color w:val="auto"/>
              </w:rPr>
            </w:pPr>
          </w:p>
        </w:tc>
      </w:tr>
      <w:tr>
        <w:trPr>
          <w:trHeight w:val="259"/>
        </w:trPr>
        <w:tc>
          <w:tcPr>
            <w:tcW w:w="3680" w:type="dxa"/>
            <w:vAlign w:val="bottom"/>
            <w:tcBorders>
              <w:top w:val="single" w:sz="8" w:color="E6E6E6"/>
            </w:tcBorders>
          </w:tcPr>
          <w:p>
            <w:pPr>
              <w:ind w:left="280"/>
              <w:spacing w:after="0"/>
              <w:rPr>
                <w:sz w:val="20"/>
                <w:szCs w:val="20"/>
                <w:color w:val="auto"/>
              </w:rPr>
            </w:pPr>
            <w:r>
              <w:rPr>
                <w:rFonts w:ascii="Arial" w:cs="Arial" w:eastAsia="Arial" w:hAnsi="Arial"/>
                <w:sz w:val="17"/>
                <w:szCs w:val="17"/>
                <w:color w:val="auto"/>
              </w:rPr>
              <w:t>Net income</w:t>
            </w:r>
          </w:p>
        </w:tc>
        <w:tc>
          <w:tcPr>
            <w:tcW w:w="1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E6E6E6"/>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2,620</w:t>
            </w:r>
          </w:p>
        </w:tc>
        <w:tc>
          <w:tcPr>
            <w:tcW w:w="80" w:type="dxa"/>
            <w:vAlign w:val="bottom"/>
            <w:tcBorders>
              <w:top w:val="single" w:sz="8" w:color="E6E6E6"/>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E6E6E6"/>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E6E6E6"/>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2,620</w:t>
            </w:r>
          </w:p>
        </w:tc>
        <w:tc>
          <w:tcPr>
            <w:tcW w:w="0" w:type="dxa"/>
            <w:vAlign w:val="bottom"/>
          </w:tcPr>
          <w:p>
            <w:pPr>
              <w:spacing w:after="0"/>
              <w:rPr>
                <w:sz w:val="1"/>
                <w:szCs w:val="1"/>
                <w:color w:val="auto"/>
              </w:rPr>
            </w:pPr>
          </w:p>
        </w:tc>
      </w:tr>
      <w:tr>
        <w:trPr>
          <w:trHeight w:val="284"/>
        </w:trPr>
        <w:tc>
          <w:tcPr>
            <w:tcW w:w="3680" w:type="dxa"/>
            <w:vAlign w:val="bottom"/>
            <w:shd w:val="clear" w:color="auto" w:fill="E6E6E6"/>
          </w:tcPr>
          <w:p>
            <w:pPr>
              <w:ind w:left="280"/>
              <w:spacing w:after="0"/>
              <w:rPr>
                <w:sz w:val="20"/>
                <w:szCs w:val="20"/>
                <w:color w:val="auto"/>
              </w:rPr>
            </w:pPr>
            <w:r>
              <w:rPr>
                <w:rFonts w:ascii="Arial" w:cs="Arial" w:eastAsia="Arial" w:hAnsi="Arial"/>
                <w:sz w:val="17"/>
                <w:szCs w:val="17"/>
                <w:color w:val="auto"/>
              </w:rPr>
              <w:t>Other comprehensive loss</w:t>
            </w:r>
          </w:p>
        </w:tc>
        <w:tc>
          <w:tcPr>
            <w:tcW w:w="16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(237)</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69"/>
        </w:trPr>
        <w:tc>
          <w:tcPr>
            <w:tcW w:w="3680" w:type="dxa"/>
            <w:vAlign w:val="bottom"/>
          </w:tcPr>
          <w:p>
            <w:pPr>
              <w:ind w:left="280"/>
              <w:spacing w:after="0"/>
              <w:rPr>
                <w:sz w:val="20"/>
                <w:szCs w:val="20"/>
                <w:color w:val="auto"/>
              </w:rPr>
            </w:pPr>
            <w:r>
              <w:rPr>
                <w:rFonts w:ascii="Arial" w:cs="Arial" w:eastAsia="Arial" w:hAnsi="Arial"/>
                <w:sz w:val="17"/>
                <w:szCs w:val="17"/>
                <w:color w:val="auto"/>
              </w:rPr>
              <w:t>Stock-settled share-based compensation</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74"/>
        </w:trPr>
        <w:tc>
          <w:tcPr>
            <w:tcW w:w="368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shd w:val="clear" w:color="auto" w:fill="E6E6E6"/>
          </w:tcPr>
          <w:p>
            <w:pPr>
              <w:spacing w:after="0"/>
              <w:rPr>
                <w:sz w:val="23"/>
                <w:szCs w:val="23"/>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2</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120" w:type="dxa"/>
            <w:vAlign w:val="bottom"/>
            <w:tcBorders>
              <w:bottom w:val="single" w:sz="8" w:color="auto"/>
            </w:tcBorders>
            <w:shd w:val="clear" w:color="auto" w:fill="E6E6E6"/>
          </w:tcPr>
          <w:p>
            <w:pPr>
              <w:spacing w:after="0"/>
              <w:rPr>
                <w:sz w:val="23"/>
                <w:szCs w:val="23"/>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140" w:type="dxa"/>
            <w:vAlign w:val="bottom"/>
            <w:tcBorders>
              <w:bottom w:val="single" w:sz="8" w:color="auto"/>
            </w:tcBorders>
            <w:shd w:val="clear" w:color="auto" w:fill="E6E6E6"/>
          </w:tcPr>
          <w:p>
            <w:pPr>
              <w:spacing w:after="0"/>
              <w:rPr>
                <w:sz w:val="23"/>
                <w:szCs w:val="23"/>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(33)</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57"/>
        </w:trPr>
        <w:tc>
          <w:tcPr>
            <w:tcW w:w="3680" w:type="dxa"/>
            <w:vAlign w:val="bottom"/>
            <w:tcBorders>
              <w:bottom w:val="single" w:sz="8" w:color="E6E6E6"/>
            </w:tcBorders>
          </w:tcPr>
          <w:p>
            <w:pPr>
              <w:ind w:left="60"/>
              <w:spacing w:after="0"/>
              <w:rPr>
                <w:sz w:val="20"/>
                <w:szCs w:val="20"/>
                <w:color w:val="auto"/>
              </w:rPr>
            </w:pPr>
            <w:r>
              <w:rPr>
                <w:rFonts w:ascii="Arial" w:cs="Arial" w:eastAsia="Arial" w:hAnsi="Arial"/>
                <w:sz w:val="17"/>
                <w:szCs w:val="17"/>
                <w:color w:val="auto"/>
              </w:rPr>
              <w:t>Balance at December 31, 2023</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6,336</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2,538</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9,294</w:t>
            </w:r>
          </w:p>
        </w:tc>
        <w:tc>
          <w:tcPr>
            <w:tcW w:w="0" w:type="dxa"/>
            <w:vAlign w:val="bottom"/>
          </w:tcPr>
          <w:p>
            <w:pPr>
              <w:spacing w:after="0"/>
              <w:rPr>
                <w:sz w:val="1"/>
                <w:szCs w:val="1"/>
                <w:color w:val="auto"/>
              </w:rPr>
            </w:pPr>
          </w:p>
        </w:tc>
      </w:tr>
      <w:tr>
        <w:trPr>
          <w:trHeight w:val="267"/>
        </w:trPr>
        <w:tc>
          <w:tcPr>
            <w:tcW w:w="3680" w:type="dxa"/>
            <w:vAlign w:val="bottom"/>
            <w:shd w:val="clear" w:color="auto" w:fill="E6E6E6"/>
          </w:tcPr>
          <w:p>
            <w:pPr>
              <w:ind w:left="28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E6E6E6"/>
          </w:tcPr>
          <w:p>
            <w:pPr>
              <w:spacing w:after="0"/>
              <w:rPr>
                <w:sz w:val="23"/>
                <w:szCs w:val="23"/>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3,151</w:t>
            </w: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20" w:type="dxa"/>
            <w:vAlign w:val="bottom"/>
            <w:shd w:val="clear" w:color="auto" w:fill="E6E6E6"/>
          </w:tcPr>
          <w:p>
            <w:pPr>
              <w:spacing w:after="0"/>
              <w:rPr>
                <w:sz w:val="23"/>
                <w:szCs w:val="23"/>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3,151</w:t>
            </w:r>
          </w:p>
        </w:tc>
        <w:tc>
          <w:tcPr>
            <w:tcW w:w="0" w:type="dxa"/>
            <w:vAlign w:val="bottom"/>
          </w:tcPr>
          <w:p>
            <w:pPr>
              <w:spacing w:after="0"/>
              <w:rPr>
                <w:sz w:val="1"/>
                <w:szCs w:val="1"/>
                <w:color w:val="auto"/>
              </w:rPr>
            </w:pPr>
          </w:p>
        </w:tc>
      </w:tr>
      <w:tr>
        <w:trPr>
          <w:trHeight w:val="269"/>
        </w:trPr>
        <w:tc>
          <w:tcPr>
            <w:tcW w:w="3680" w:type="dxa"/>
            <w:vAlign w:val="bottom"/>
          </w:tcPr>
          <w:p>
            <w:pPr>
              <w:ind w:left="280"/>
              <w:spacing w:after="0"/>
              <w:rPr>
                <w:sz w:val="20"/>
                <w:szCs w:val="20"/>
                <w:color w:val="auto"/>
              </w:rPr>
            </w:pPr>
            <w:r>
              <w:rPr>
                <w:rFonts w:ascii="Arial" w:cs="Arial" w:eastAsia="Arial" w:hAnsi="Arial"/>
                <w:sz w:val="17"/>
                <w:szCs w:val="17"/>
                <w:color w:val="auto"/>
              </w:rPr>
              <w:t>Other comprehensive income</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84"/>
        </w:trPr>
        <w:tc>
          <w:tcPr>
            <w:tcW w:w="3680" w:type="dxa"/>
            <w:vAlign w:val="bottom"/>
            <w:shd w:val="clear" w:color="auto" w:fill="E6E6E6"/>
          </w:tcPr>
          <w:p>
            <w:pPr>
              <w:ind w:left="280"/>
              <w:spacing w:after="0"/>
              <w:rPr>
                <w:sz w:val="20"/>
                <w:szCs w:val="20"/>
                <w:color w:val="auto"/>
              </w:rPr>
            </w:pPr>
            <w:r>
              <w:rPr>
                <w:rFonts w:ascii="Arial" w:cs="Arial" w:eastAsia="Arial" w:hAnsi="Arial"/>
                <w:sz w:val="17"/>
                <w:szCs w:val="17"/>
                <w:color w:val="auto"/>
              </w:rPr>
              <w:t>Stock-settled share-based compensation</w:t>
            </w:r>
          </w:p>
        </w:tc>
        <w:tc>
          <w:tcPr>
            <w:tcW w:w="16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135</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69"/>
        </w:trPr>
        <w:tc>
          <w:tcPr>
            <w:tcW w:w="3680" w:type="dxa"/>
            <w:vAlign w:val="bottom"/>
          </w:tcPr>
          <w:p>
            <w:pPr>
              <w:ind w:left="280"/>
              <w:spacing w:after="0"/>
              <w:rPr>
                <w:sz w:val="20"/>
                <w:szCs w:val="20"/>
                <w:color w:val="auto"/>
              </w:rPr>
            </w:pPr>
            <w:r>
              <w:rPr>
                <w:rFonts w:ascii="Arial" w:cs="Arial" w:eastAsia="Arial" w:hAnsi="Arial"/>
                <w:sz w:val="17"/>
                <w:szCs w:val="17"/>
                <w:color w:val="auto"/>
              </w:rPr>
              <w:t>Impact of UAL share repurchase</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74"/>
        </w:trPr>
        <w:tc>
          <w:tcPr>
            <w:tcW w:w="368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shd w:val="clear" w:color="auto" w:fill="E6E6E6"/>
          </w:tcPr>
          <w:p>
            <w:pPr>
              <w:spacing w:after="0"/>
              <w:rPr>
                <w:sz w:val="23"/>
                <w:szCs w:val="23"/>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20" w:type="dxa"/>
            <w:vAlign w:val="bottom"/>
            <w:tcBorders>
              <w:bottom w:val="single" w:sz="8" w:color="auto"/>
            </w:tcBorders>
            <w:shd w:val="clear" w:color="auto" w:fill="E6E6E6"/>
          </w:tcPr>
          <w:p>
            <w:pPr>
              <w:spacing w:after="0"/>
              <w:rPr>
                <w:sz w:val="23"/>
                <w:szCs w:val="23"/>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140" w:type="dxa"/>
            <w:vAlign w:val="bottom"/>
            <w:tcBorders>
              <w:bottom w:val="single" w:sz="8" w:color="auto"/>
            </w:tcBorders>
            <w:shd w:val="clear" w:color="auto" w:fill="E6E6E6"/>
          </w:tcPr>
          <w:p>
            <w:pPr>
              <w:spacing w:after="0"/>
              <w:rPr>
                <w:sz w:val="23"/>
                <w:szCs w:val="23"/>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(24)</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57"/>
        </w:trPr>
        <w:tc>
          <w:tcPr>
            <w:tcW w:w="3680" w:type="dxa"/>
            <w:vAlign w:val="bottom"/>
            <w:tcBorders>
              <w:bottom w:val="single" w:sz="8" w:color="E6E6E6"/>
            </w:tcBorders>
          </w:tcPr>
          <w:p>
            <w:pPr>
              <w:ind w:left="60"/>
              <w:spacing w:after="0"/>
              <w:rPr>
                <w:sz w:val="20"/>
                <w:szCs w:val="20"/>
                <w:color w:val="auto"/>
              </w:rPr>
            </w:pPr>
            <w:r>
              <w:rPr>
                <w:rFonts w:ascii="Arial" w:cs="Arial" w:eastAsia="Arial" w:hAnsi="Arial"/>
                <w:sz w:val="17"/>
                <w:szCs w:val="17"/>
                <w:color w:val="auto"/>
              </w:rPr>
              <w:t>Balance at December 31, 2024</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9,487</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2,352</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12,644</w:t>
            </w:r>
          </w:p>
        </w:tc>
        <w:tc>
          <w:tcPr>
            <w:tcW w:w="0" w:type="dxa"/>
            <w:vAlign w:val="bottom"/>
          </w:tcPr>
          <w:p>
            <w:pPr>
              <w:spacing w:after="0"/>
              <w:rPr>
                <w:sz w:val="1"/>
                <w:szCs w:val="1"/>
                <w:color w:val="auto"/>
              </w:rPr>
            </w:pPr>
          </w:p>
        </w:tc>
      </w:tr>
      <w:tr>
        <w:trPr>
          <w:trHeight w:val="267"/>
        </w:trPr>
        <w:tc>
          <w:tcPr>
            <w:tcW w:w="3680" w:type="dxa"/>
            <w:vAlign w:val="bottom"/>
            <w:shd w:val="clear" w:color="auto" w:fill="E6E6E6"/>
          </w:tcPr>
          <w:p>
            <w:pPr>
              <w:ind w:left="28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E6E6E6"/>
          </w:tcPr>
          <w:p>
            <w:pPr>
              <w:spacing w:after="0"/>
              <w:rPr>
                <w:sz w:val="23"/>
                <w:szCs w:val="23"/>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3,355</w:t>
            </w: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20" w:type="dxa"/>
            <w:vAlign w:val="bottom"/>
            <w:shd w:val="clear" w:color="auto" w:fill="E6E6E6"/>
          </w:tcPr>
          <w:p>
            <w:pPr>
              <w:spacing w:after="0"/>
              <w:rPr>
                <w:sz w:val="23"/>
                <w:szCs w:val="23"/>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3,355</w:t>
            </w:r>
          </w:p>
        </w:tc>
        <w:tc>
          <w:tcPr>
            <w:tcW w:w="0" w:type="dxa"/>
            <w:vAlign w:val="bottom"/>
          </w:tcPr>
          <w:p>
            <w:pPr>
              <w:spacing w:after="0"/>
              <w:rPr>
                <w:sz w:val="1"/>
                <w:szCs w:val="1"/>
                <w:color w:val="auto"/>
              </w:rPr>
            </w:pPr>
          </w:p>
        </w:tc>
      </w:tr>
      <w:tr>
        <w:trPr>
          <w:trHeight w:val="269"/>
        </w:trPr>
        <w:tc>
          <w:tcPr>
            <w:tcW w:w="3680" w:type="dxa"/>
            <w:vAlign w:val="bottom"/>
          </w:tcPr>
          <w:p>
            <w:pPr>
              <w:ind w:left="280"/>
              <w:spacing w:after="0"/>
              <w:rPr>
                <w:sz w:val="20"/>
                <w:szCs w:val="20"/>
                <w:color w:val="auto"/>
              </w:rPr>
            </w:pPr>
            <w:r>
              <w:rPr>
                <w:rFonts w:ascii="Arial" w:cs="Arial" w:eastAsia="Arial" w:hAnsi="Arial"/>
                <w:sz w:val="17"/>
                <w:szCs w:val="17"/>
                <w:color w:val="auto"/>
              </w:rPr>
              <w:t>Other comprehensive loss</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84"/>
        </w:trPr>
        <w:tc>
          <w:tcPr>
            <w:tcW w:w="3680" w:type="dxa"/>
            <w:vAlign w:val="bottom"/>
            <w:shd w:val="clear" w:color="auto" w:fill="E6E6E6"/>
          </w:tcPr>
          <w:p>
            <w:pPr>
              <w:ind w:left="280"/>
              <w:spacing w:after="0"/>
              <w:rPr>
                <w:sz w:val="20"/>
                <w:szCs w:val="20"/>
                <w:color w:val="auto"/>
              </w:rPr>
            </w:pPr>
            <w:r>
              <w:rPr>
                <w:rFonts w:ascii="Arial" w:cs="Arial" w:eastAsia="Arial" w:hAnsi="Arial"/>
                <w:sz w:val="17"/>
                <w:szCs w:val="17"/>
                <w:color w:val="auto"/>
              </w:rPr>
              <w:t>Stock-settled share-based compensation</w:t>
            </w:r>
          </w:p>
        </w:tc>
        <w:tc>
          <w:tcPr>
            <w:tcW w:w="16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142</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69"/>
        </w:trPr>
        <w:tc>
          <w:tcPr>
            <w:tcW w:w="3680" w:type="dxa"/>
            <w:vAlign w:val="bottom"/>
          </w:tcPr>
          <w:p>
            <w:pPr>
              <w:ind w:left="280"/>
              <w:spacing w:after="0"/>
              <w:rPr>
                <w:sz w:val="20"/>
                <w:szCs w:val="20"/>
                <w:color w:val="auto"/>
              </w:rPr>
            </w:pPr>
            <w:r>
              <w:rPr>
                <w:rFonts w:ascii="Arial" w:cs="Arial" w:eastAsia="Arial" w:hAnsi="Arial"/>
                <w:sz w:val="17"/>
                <w:szCs w:val="17"/>
                <w:color w:val="auto"/>
              </w:rPr>
              <w:t>Impact of UAL share repurchase</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(637)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45"/>
        </w:trPr>
        <w:tc>
          <w:tcPr>
            <w:tcW w:w="368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shd w:val="clear" w:color="auto" w:fill="E6E6E6"/>
          </w:tcPr>
          <w:p>
            <w:pPr>
              <w:spacing w:after="0"/>
              <w:rPr>
                <w:sz w:val="21"/>
                <w:szCs w:val="21"/>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00" w:type="dxa"/>
            <w:vAlign w:val="bottom"/>
            <w:tcBorders>
              <w:bottom w:val="single" w:sz="8" w:color="auto"/>
            </w:tcBorders>
            <w:shd w:val="clear" w:color="auto" w:fill="E6E6E6"/>
          </w:tcPr>
          <w:p>
            <w:pPr>
              <w:spacing w:after="0"/>
              <w:rPr>
                <w:sz w:val="21"/>
                <w:szCs w:val="21"/>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120" w:type="dxa"/>
            <w:vAlign w:val="bottom"/>
            <w:tcBorders>
              <w:bottom w:val="single" w:sz="8" w:color="auto"/>
            </w:tcBorders>
            <w:shd w:val="clear" w:color="auto" w:fill="E6E6E6"/>
          </w:tcPr>
          <w:p>
            <w:pPr>
              <w:spacing w:after="0"/>
              <w:rPr>
                <w:sz w:val="21"/>
                <w:szCs w:val="21"/>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140" w:type="dxa"/>
            <w:vAlign w:val="bottom"/>
            <w:tcBorders>
              <w:bottom w:val="single" w:sz="8" w:color="auto"/>
            </w:tcBorders>
            <w:shd w:val="clear" w:color="auto" w:fill="E6E6E6"/>
          </w:tcPr>
          <w:p>
            <w:pPr>
              <w:spacing w:after="0"/>
              <w:rPr>
                <w:sz w:val="21"/>
                <w:szCs w:val="21"/>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(110)</w:t>
            </w: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40" w:type="dxa"/>
            <w:vAlign w:val="bottom"/>
            <w:tcBorders>
              <w:bottom w:val="single" w:sz="8" w:color="auto"/>
            </w:tcBorders>
            <w:shd w:val="clear" w:color="auto" w:fill="E6E6E6"/>
          </w:tcPr>
          <w:p>
            <w:pPr>
              <w:spacing w:after="0"/>
              <w:rPr>
                <w:sz w:val="21"/>
                <w:szCs w:val="21"/>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38"/>
        </w:trPr>
        <w:tc>
          <w:tcPr>
            <w:tcW w:w="3680" w:type="dxa"/>
            <w:vAlign w:val="bottom"/>
          </w:tcPr>
          <w:p>
            <w:pPr>
              <w:ind w:left="60"/>
              <w:spacing w:after="0"/>
              <w:rPr>
                <w:sz w:val="20"/>
                <w:szCs w:val="20"/>
                <w:color w:val="auto"/>
              </w:rPr>
            </w:pPr>
            <w:r>
              <w:rPr>
                <w:rFonts w:ascii="Arial" w:cs="Arial" w:eastAsia="Arial" w:hAnsi="Arial"/>
                <w:sz w:val="17"/>
                <w:szCs w:val="17"/>
                <w:color w:val="auto"/>
              </w:rPr>
              <w:t>Balance at December 31, 2025</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760</w:t>
            </w:r>
          </w:p>
        </w:tc>
        <w:tc>
          <w:tcPr>
            <w:tcW w:w="2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12,842</w:t>
            </w: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48</w:t>
            </w:r>
          </w:p>
        </w:tc>
        <w:tc>
          <w:tcPr>
            <w:tcW w:w="2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1,604</w:t>
            </w:r>
          </w:p>
        </w:tc>
        <w:tc>
          <w:tcPr>
            <w:tcW w:w="3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15,254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-3172460</wp:posOffset>
            </wp:positionV>
            <wp:extent cx="380492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4">
                      <a:extLst>
                        <a:ext uri="{28A0092B-C50C-407E-A947-70E740481C1C}"/>
                      </a:extLst>
                    </a:blip>
                    <a:srcRect/>
                    <a:stretch>
                      <a:fillRect/>
                    </a:stretch>
                  </pic:blipFill>
                  <pic:spPr bwMode="auto">
                    <a:xfrm>
                      <a:off x="0" y="0"/>
                      <a:ext cx="3804920" cy="2540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-2997200</wp:posOffset>
            </wp:positionV>
            <wp:extent cx="380492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5">
                      <a:extLst>
                        <a:ext uri="{28A0092B-C50C-407E-A947-70E740481C1C}"/>
                      </a:extLst>
                    </a:blip>
                    <a:srcRect/>
                    <a:stretch>
                      <a:fillRect/>
                    </a:stretch>
                  </pic:blipFill>
                  <pic:spPr bwMode="auto">
                    <a:xfrm>
                      <a:off x="0" y="0"/>
                      <a:ext cx="3804920" cy="2540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-2294890</wp:posOffset>
            </wp:positionV>
            <wp:extent cx="380492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6">
                      <a:extLst>
                        <a:ext uri="{28A0092B-C50C-407E-A947-70E740481C1C}"/>
                      </a:extLst>
                    </a:blip>
                    <a:srcRect/>
                    <a:stretch>
                      <a:fillRect/>
                    </a:stretch>
                  </pic:blipFill>
                  <pic:spPr bwMode="auto">
                    <a:xfrm>
                      <a:off x="0" y="0"/>
                      <a:ext cx="3804920" cy="2540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-2118995</wp:posOffset>
            </wp:positionV>
            <wp:extent cx="380492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7">
                      <a:extLst>
                        <a:ext uri="{28A0092B-C50C-407E-A947-70E740481C1C}"/>
                      </a:extLst>
                    </a:blip>
                    <a:srcRect/>
                    <a:stretch>
                      <a:fillRect/>
                    </a:stretch>
                  </pic:blipFill>
                  <pic:spPr bwMode="auto">
                    <a:xfrm>
                      <a:off x="0" y="0"/>
                      <a:ext cx="3804920" cy="2540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-1241425</wp:posOffset>
            </wp:positionV>
            <wp:extent cx="380492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18">
                      <a:extLst>
                        <a:ext uri="{28A0092B-C50C-407E-A947-70E740481C1C}"/>
                      </a:extLst>
                    </a:blip>
                    <a:srcRect/>
                    <a:stretch>
                      <a:fillRect/>
                    </a:stretch>
                  </pic:blipFill>
                  <pic:spPr bwMode="auto">
                    <a:xfrm>
                      <a:off x="0" y="0"/>
                      <a:ext cx="3804920" cy="2540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-1065530</wp:posOffset>
            </wp:positionV>
            <wp:extent cx="380492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9">
                      <a:extLst>
                        <a:ext uri="{28A0092B-C50C-407E-A947-70E740481C1C}"/>
                      </a:extLst>
                    </a:blip>
                    <a:srcRect/>
                    <a:stretch>
                      <a:fillRect/>
                    </a:stretch>
                  </pic:blipFill>
                  <pic:spPr bwMode="auto">
                    <a:xfrm>
                      <a:off x="0" y="0"/>
                      <a:ext cx="3804920" cy="2540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-206375</wp:posOffset>
            </wp:positionV>
            <wp:extent cx="380492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0">
                      <a:extLst>
                        <a:ext uri="{28A0092B-C50C-407E-A947-70E740481C1C}"/>
                      </a:extLst>
                    </a:blip>
                    <a:srcRect/>
                    <a:stretch>
                      <a:fillRect/>
                    </a:stretch>
                  </pic:blipFill>
                  <pic:spPr bwMode="auto">
                    <a:xfrm>
                      <a:off x="0" y="0"/>
                      <a:ext cx="38049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accompanying Combined Notes to Consolidated Financial Statements are an integral part of these statements.</w:t>
      </w:r>
    </w:p>
    <w:p>
      <w:pPr>
        <w:sectPr>
          <w:pgSz w:w="11880" w:h="15480" w:orient="portrait"/>
          <w:cols w:equalWidth="0" w:num="1">
            <w:col w:w="9640"/>
          </w:cols>
          <w:pgMar w:left="960" w:top="579" w:right="12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9640"/>
          </w:cols>
          <w:pgMar w:left="960" w:top="579" w:right="1280" w:bottom="33" w:gutter="0" w:footer="0" w:header="0"/>
          <w:type w:val="continuous"/>
        </w:sectPr>
      </w:pPr>
    </w:p>
    <w:bookmarkStart w:id="67" w:name="page68"/>
    <w:bookmarkEnd w:id="67"/>
    <w:p>
      <w:pPr>
        <w:jc w:val="center"/>
        <w:ind w:right="-19"/>
        <w:spacing w:after="0"/>
        <w:rPr>
          <w:sz w:val="20"/>
          <w:szCs w:val="20"/>
          <w:color w:val="auto"/>
        </w:rPr>
      </w:pPr>
      <w:r>
        <w:rPr>
          <w:rFonts w:ascii="Arial" w:cs="Arial" w:eastAsia="Arial" w:hAnsi="Arial"/>
          <w:sz w:val="19"/>
          <w:szCs w:val="19"/>
          <w:b w:val="1"/>
          <w:bCs w:val="1"/>
          <w:color w:val="auto"/>
        </w:rPr>
        <w:t>UNITED AIRLINES HOLDINGS, INC.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UNITED AIRLINES, INC.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COMBINED NOTES TO CONSOLIDATED FINANCIAL STATEMENTS</w:t>
      </w:r>
    </w:p>
    <w:p>
      <w:pPr>
        <w:spacing w:after="0" w:line="189" w:lineRule="exact"/>
        <w:rPr>
          <w:sz w:val="20"/>
          <w:szCs w:val="20"/>
          <w:color w:val="auto"/>
        </w:rPr>
      </w:pPr>
    </w:p>
    <w:p>
      <w:pPr>
        <w:ind w:right="2440"/>
        <w:spacing w:after="0" w:line="451" w:lineRule="auto"/>
        <w:rPr>
          <w:sz w:val="20"/>
          <w:szCs w:val="20"/>
          <w:color w:val="auto"/>
        </w:rPr>
      </w:pPr>
      <w:r>
        <w:rPr>
          <w:rFonts w:ascii="Arial" w:cs="Arial" w:eastAsia="Arial" w:hAnsi="Arial"/>
          <w:sz w:val="19"/>
          <w:szCs w:val="19"/>
          <w:b w:val="1"/>
          <w:bCs w:val="1"/>
          <w:color w:val="auto"/>
        </w:rPr>
        <w:t>NOTE 1 - BASIS OF PRESENTATION AND SIGNIFICANT ACCOUNTING POLICIES Basis of Presentation</w:t>
      </w:r>
    </w:p>
    <w:p>
      <w:pPr>
        <w:spacing w:after="0" w:line="1" w:lineRule="exact"/>
        <w:rPr>
          <w:sz w:val="20"/>
          <w:szCs w:val="20"/>
          <w:color w:val="auto"/>
        </w:rPr>
      </w:pPr>
    </w:p>
    <w:p>
      <w:pPr>
        <w:ind w:right="160"/>
        <w:spacing w:after="0" w:line="262" w:lineRule="auto"/>
        <w:rPr>
          <w:sz w:val="20"/>
          <w:szCs w:val="20"/>
          <w:color w:val="auto"/>
        </w:rPr>
      </w:pPr>
      <w:r>
        <w:rPr>
          <w:rFonts w:ascii="Arial" w:cs="Arial" w:eastAsia="Arial" w:hAnsi="Arial"/>
          <w:sz w:val="19"/>
          <w:szCs w:val="19"/>
          <w:color w:val="auto"/>
        </w:rPr>
        <w:t>United Airlines Holdings, Inc. (together with its consolidated subsidiaries, "UAL" or the "Company") is a holding company incorporated in Delaware and its wholly-owned subsidiary is United Airlines, Inc. (together with its consolidated subsidiaries, "United"). As UAL consolidates United for financial statement purposes, disclosures that relate to activities of United also apply to UAL, unless otherwise noted. United comprises substantially all of UAL's operating revenues, operating expenses,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w:t>
      </w:r>
    </w:p>
    <w:p>
      <w:pPr>
        <w:spacing w:after="0" w:line="135" w:lineRule="exact"/>
        <w:rPr>
          <w:sz w:val="20"/>
          <w:szCs w:val="20"/>
          <w:color w:val="auto"/>
        </w:rPr>
      </w:pPr>
    </w:p>
    <w:p>
      <w:pPr>
        <w:ind w:right="160"/>
        <w:spacing w:after="0" w:line="309" w:lineRule="auto"/>
        <w:rPr>
          <w:sz w:val="20"/>
          <w:szCs w:val="20"/>
          <w:color w:val="auto"/>
        </w:rPr>
      </w:pPr>
      <w:r>
        <w:rPr>
          <w:rFonts w:ascii="Arial" w:cs="Arial" w:eastAsia="Arial" w:hAnsi="Arial"/>
          <w:sz w:val="17"/>
          <w:szCs w:val="17"/>
          <w:color w:val="auto"/>
        </w:rPr>
        <w:t>The Company's consolidated financial statements have been prepared in accordance with accounting principles generally accepted in the United States of America ("GAAP"). The Company consolidates variable interest entities when it determines that it is the primary beneficiary of those entities' operations. All material intercompany accounts and transactions have been eliminated in consolidation. Certain prior period amounts have been reclassified to conform to the current period presentation.</w:t>
      </w:r>
    </w:p>
    <w:p>
      <w:pPr>
        <w:spacing w:after="0" w:line="99" w:lineRule="exact"/>
        <w:rPr>
          <w:sz w:val="20"/>
          <w:szCs w:val="20"/>
          <w:color w:val="auto"/>
        </w:rPr>
      </w:pPr>
    </w:p>
    <w:p>
      <w:pPr>
        <w:spacing w:after="0" w:line="309" w:lineRule="auto"/>
        <w:rPr>
          <w:sz w:val="20"/>
          <w:szCs w:val="20"/>
          <w:color w:val="auto"/>
        </w:rPr>
      </w:pPr>
      <w:r>
        <w:rPr>
          <w:rFonts w:ascii="Arial" w:cs="Arial" w:eastAsia="Arial" w:hAnsi="Arial"/>
          <w:sz w:val="17"/>
          <w:szCs w:val="17"/>
          <w:color w:val="auto"/>
        </w:rPr>
        <w:t>In 2025, the Company changed its rounding presentation to the nearest whole number in millions of reported amounts, except per share data or as otherwise designated. As such, certain columns and rows within the financial statements and tables presented may not sum due to rounding. Per unit amounts have been calculated from the underlying whole-dollar amounts. This change is not material and does not impact the comparability of our condensed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Estimates</w:t>
      </w:r>
    </w:p>
    <w:p>
      <w:pPr>
        <w:spacing w:after="0" w:line="196"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The preparation of financial statements in conformity with GAAP requires management to make estimates and assumptions that affect the amounts reported in these financial statements and accompanying notes. Actual results could differ from those estimates.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Segments</w:t>
      </w:r>
    </w:p>
    <w:p>
      <w:pPr>
        <w:spacing w:after="0" w:line="196"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Operating segments are defined as components of an enterprise with separate financial information, which are evaluated regularly by the chief operating decision maker ("CODM") and are used to assess performance and allocate resources. The Company manages its operations as one segment. Managing the Company as one segment allows management the opportunity to maximize the value of its route network and maximize the Company's consolidated financial results. The Company deploys its aircraft across its route network through a single route scheduling system to maximize its value. The Company's chief executive officer is its CODM. When making resource allocation decisions for the network, the Company's CODM evaluates flight profitability data, which considers aircraft type and route economics. The CODM assesses performance of the Company and makes resource allocation decisions based on net income as reported in the Company's statement of consolidated operations. Within the statement of consolidated operations, Other expenses represent various purchased services related to the operations of the airline such as ground handling, passenger services, food and beverage offerings, navigation fees, personnel-related costs and information technology projects. The measure of segment assets is reported on the consolidated balance sheet as Total assets.</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Significant Accounting Policies</w:t>
      </w:r>
    </w:p>
    <w:p>
      <w:pPr>
        <w:spacing w:after="0" w:line="193"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b w:val="1"/>
          <w:bCs w:val="1"/>
          <w:i w:val="1"/>
          <w:iCs w:val="1"/>
          <w:color w:val="auto"/>
        </w:rPr>
        <w:t xml:space="preserve">Cash and Cash Equivalents and Restricted Cash. </w:t>
      </w:r>
      <w:r>
        <w:rPr>
          <w:rFonts w:ascii="Arial" w:cs="Arial" w:eastAsia="Arial" w:hAnsi="Arial"/>
          <w:sz w:val="19"/>
          <w:szCs w:val="19"/>
          <w:color w:val="auto"/>
        </w:rPr>
        <w:t>Highly liquid investments with a maturity of three months or less on their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acquisition date are classified as cash and cash equivalents. Restricted cash is classified as current or noncurrent in the consolidated balance sheets based on the expected timing of return of the assets to the Company or payment to an outside party. The restricted cash balances primarily include collateral for letters of credit and collateral associated with facility leases and certain insurance-related obligations.</w:t>
      </w:r>
    </w:p>
    <w:p>
      <w:pPr>
        <w:sectPr>
          <w:pgSz w:w="11880" w:h="15480" w:orient="portrait"/>
          <w:cols w:equalWidth="0" w:num="1">
            <w:col w:w="9940"/>
          </w:cols>
          <w:pgMar w:left="960" w:top="579"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9940"/>
          </w:cols>
          <w:pgMar w:left="960" w:top="579" w:right="980" w:bottom="33" w:gutter="0" w:footer="0" w:header="0"/>
          <w:type w:val="continuous"/>
        </w:sectPr>
      </w:pPr>
    </w:p>
    <w:bookmarkStart w:id="68" w:name="page69"/>
    <w:bookmarkEnd w:id="68"/>
    <w:p>
      <w:pPr>
        <w:ind w:right="100"/>
        <w:spacing w:after="0" w:line="357"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consolidated balance sheets that sum to the total of the same such amounts shown in the statements of consolidated cash flows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4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9"/>
                <w:szCs w:val="19"/>
                <w:b w:val="1"/>
                <w:bCs w:val="1"/>
                <w:color w:val="auto"/>
              </w:rPr>
              <w:t>At December 31,</w:t>
            </w:r>
          </w:p>
        </w:tc>
        <w:tc>
          <w:tcPr>
            <w:tcW w:w="820" w:type="dxa"/>
            <w:vAlign w:val="bottom"/>
            <w:tcBorders>
              <w:bottom w:val="single" w:sz="8" w:color="auto"/>
            </w:tcBorders>
          </w:tcPr>
          <w:p>
            <w:pPr>
              <w:spacing w:after="0"/>
              <w:rPr>
                <w:sz w:val="22"/>
                <w:szCs w:val="22"/>
                <w:color w:val="auto"/>
              </w:rPr>
            </w:pPr>
          </w:p>
        </w:tc>
      </w:tr>
      <w:tr>
        <w:trPr>
          <w:trHeight w:val="257"/>
        </w:trPr>
        <w:tc>
          <w:tcPr>
            <w:tcW w:w="646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9"/>
                <w:szCs w:val="19"/>
                <w:b w:val="1"/>
                <w:bCs w:val="1"/>
                <w:color w:val="auto"/>
              </w:rPr>
              <w:t>2025</w:t>
            </w: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9"/>
                <w:szCs w:val="19"/>
                <w:b w:val="1"/>
                <w:bCs w:val="1"/>
                <w:color w:val="auto"/>
              </w:rPr>
              <w:t>2024</w:t>
            </w: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9"/>
                <w:szCs w:val="19"/>
                <w:b w:val="1"/>
                <w:bCs w:val="1"/>
                <w:color w:val="auto"/>
              </w:rPr>
              <w:t>2023</w:t>
            </w:r>
          </w:p>
        </w:tc>
      </w:tr>
      <w:tr>
        <w:trPr>
          <w:trHeight w:val="266"/>
        </w:trPr>
        <w:tc>
          <w:tcPr>
            <w:tcW w:w="6460" w:type="dxa"/>
            <w:vAlign w:val="bottom"/>
            <w:shd w:val="clear" w:color="auto" w:fill="E6E6E6"/>
          </w:tcPr>
          <w:p>
            <w:pPr>
              <w:ind w:left="80"/>
              <w:spacing w:after="0"/>
              <w:rPr>
                <w:sz w:val="20"/>
                <w:szCs w:val="20"/>
                <w:color w:val="auto"/>
              </w:rPr>
            </w:pPr>
            <w:r>
              <w:rPr>
                <w:rFonts w:ascii="Arial" w:cs="Arial" w:eastAsia="Arial" w:hAnsi="Arial"/>
                <w:sz w:val="19"/>
                <w:szCs w:val="19"/>
                <w:color w:val="auto"/>
              </w:rPr>
              <w:t>Current assets:</w:t>
            </w:r>
          </w:p>
        </w:tc>
        <w:tc>
          <w:tcPr>
            <w:tcW w:w="240" w:type="dxa"/>
            <w:vAlign w:val="bottom"/>
            <w:shd w:val="clear" w:color="auto" w:fill="E6E6E6"/>
          </w:tcPr>
          <w:p>
            <w:pPr>
              <w:spacing w:after="0"/>
              <w:rPr>
                <w:sz w:val="23"/>
                <w:szCs w:val="23"/>
                <w:color w:val="auto"/>
              </w:rPr>
            </w:pPr>
          </w:p>
        </w:tc>
        <w:tc>
          <w:tcPr>
            <w:tcW w:w="8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8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820" w:type="dxa"/>
            <w:vAlign w:val="bottom"/>
            <w:shd w:val="clear" w:color="auto" w:fill="E6E6E6"/>
          </w:tcPr>
          <w:p>
            <w:pPr>
              <w:spacing w:after="0"/>
              <w:rPr>
                <w:sz w:val="23"/>
                <w:szCs w:val="23"/>
                <w:color w:val="auto"/>
              </w:rPr>
            </w:pPr>
          </w:p>
        </w:tc>
      </w:tr>
      <w:tr>
        <w:trPr>
          <w:trHeight w:val="270"/>
        </w:trPr>
        <w:tc>
          <w:tcPr>
            <w:tcW w:w="6460" w:type="dxa"/>
            <w:vAlign w:val="bottom"/>
          </w:tcPr>
          <w:p>
            <w:pPr>
              <w:ind w:left="80"/>
              <w:spacing w:after="0"/>
              <w:rPr>
                <w:sz w:val="20"/>
                <w:szCs w:val="20"/>
                <w:color w:val="auto"/>
              </w:rPr>
            </w:pPr>
            <w:r>
              <w:rPr>
                <w:rFonts w:ascii="Arial" w:cs="Arial" w:eastAsia="Arial" w:hAnsi="Arial"/>
                <w:sz w:val="19"/>
                <w:szCs w:val="19"/>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5,942</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8,769</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6,058</w:t>
            </w:r>
          </w:p>
        </w:tc>
      </w:tr>
      <w:tr>
        <w:trPr>
          <w:trHeight w:val="283"/>
        </w:trPr>
        <w:tc>
          <w:tcPr>
            <w:tcW w:w="6460" w:type="dxa"/>
            <w:vAlign w:val="bottom"/>
            <w:shd w:val="clear" w:color="auto" w:fill="E6E6E6"/>
          </w:tcPr>
          <w:p>
            <w:pPr>
              <w:ind w:left="80"/>
              <w:spacing w:after="0"/>
              <w:rPr>
                <w:sz w:val="20"/>
                <w:szCs w:val="20"/>
                <w:color w:val="auto"/>
              </w:rPr>
            </w:pPr>
            <w:r>
              <w:rPr>
                <w:rFonts w:ascii="Arial" w:cs="Arial" w:eastAsia="Arial" w:hAnsi="Arial"/>
                <w:sz w:val="19"/>
                <w:szCs w:val="19"/>
                <w:color w:val="auto"/>
              </w:rPr>
              <w:t>Restricted cash in Prepaid expenses and other</w:t>
            </w:r>
          </w:p>
        </w:tc>
        <w:tc>
          <w:tcPr>
            <w:tcW w:w="2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31</w:t>
            </w:r>
          </w:p>
        </w:tc>
      </w:tr>
      <w:tr>
        <w:trPr>
          <w:trHeight w:val="270"/>
        </w:trPr>
        <w:tc>
          <w:tcPr>
            <w:tcW w:w="6460" w:type="dxa"/>
            <w:vAlign w:val="bottom"/>
          </w:tcPr>
          <w:p>
            <w:pPr>
              <w:ind w:left="80"/>
              <w:spacing w:after="0"/>
              <w:rPr>
                <w:sz w:val="20"/>
                <w:szCs w:val="20"/>
                <w:color w:val="auto"/>
              </w:rPr>
            </w:pPr>
            <w:r>
              <w:rPr>
                <w:rFonts w:ascii="Arial" w:cs="Arial" w:eastAsia="Arial" w:hAnsi="Arial"/>
                <w:sz w:val="19"/>
                <w:szCs w:val="19"/>
                <w:color w:val="auto"/>
              </w:rPr>
              <w:t>Noncurrent assets: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92"/>
        </w:trPr>
        <w:tc>
          <w:tcPr>
            <w:tcW w:w="646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9"/>
                <w:szCs w:val="19"/>
                <w:color w:val="auto"/>
              </w:rPr>
              <w:t>Restricted cash in Investments in affiliates and other, net</w:t>
            </w:r>
          </w:p>
        </w:tc>
        <w:tc>
          <w:tcPr>
            <w:tcW w:w="2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139</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166</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245</w:t>
            </w:r>
          </w:p>
        </w:tc>
      </w:tr>
      <w:tr>
        <w:trPr>
          <w:trHeight w:val="219"/>
        </w:trPr>
        <w:tc>
          <w:tcPr>
            <w:tcW w:w="6460" w:type="dxa"/>
            <w:vAlign w:val="bottom"/>
          </w:tcPr>
          <w:p>
            <w:pPr>
              <w:ind w:left="80"/>
              <w:spacing w:after="0"/>
              <w:rPr>
                <w:sz w:val="20"/>
                <w:szCs w:val="20"/>
                <w:color w:val="auto"/>
              </w:rPr>
            </w:pPr>
            <w:r>
              <w:rPr>
                <w:rFonts w:ascii="Arial" w:cs="Arial" w:eastAsia="Arial" w:hAnsi="Arial"/>
                <w:sz w:val="19"/>
                <w:szCs w:val="19"/>
                <w:color w:val="auto"/>
              </w:rPr>
              <w:t>Total cash, cash equivalents and restricted cash</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6,081</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8,946</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6,334</w:t>
            </w:r>
          </w:p>
        </w:tc>
      </w:tr>
      <w:tr>
        <w:trPr>
          <w:trHeight w:val="20"/>
        </w:trPr>
        <w:tc>
          <w:tcPr>
            <w:tcW w:w="6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-1083945</wp:posOffset>
            </wp:positionV>
            <wp:extent cx="214185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1">
                      <a:extLst>
                        <a:ext uri="{28A0092B-C50C-407E-A947-70E740481C1C}"/>
                      </a:extLst>
                    </a:blip>
                    <a:srcRect/>
                    <a:stretch>
                      <a:fillRect/>
                    </a:stretch>
                  </pic:blipFill>
                  <pic:spPr bwMode="auto">
                    <a:xfrm>
                      <a:off x="0" y="0"/>
                      <a:ext cx="2141855" cy="25400"/>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-206375</wp:posOffset>
            </wp:positionV>
            <wp:extent cx="214185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2">
                      <a:extLst>
                        <a:ext uri="{28A0092B-C50C-407E-A947-70E740481C1C}"/>
                      </a:extLst>
                    </a:blip>
                    <a:srcRect/>
                    <a:stretch>
                      <a:fillRect/>
                    </a:stretch>
                  </pic:blipFill>
                  <pic:spPr bwMode="auto">
                    <a:xfrm>
                      <a:off x="0" y="0"/>
                      <a:ext cx="2141855" cy="25400"/>
                    </a:xfrm>
                    <a:prstGeom prst="rect">
                      <a:avLst/>
                    </a:prstGeom>
                    <a:noFill/>
                  </pic:spPr>
                </pic:pic>
              </a:graphicData>
            </a:graphic>
          </wp:anchor>
        </w:drawing>
      </w:r>
    </w:p>
    <w:p>
      <w:pPr>
        <w:spacing w:after="0" w:line="159"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i w:val="1"/>
          <w:iCs w:val="1"/>
          <w:color w:val="auto"/>
        </w:rPr>
        <w:t xml:space="preserve">Investments. </w:t>
      </w:r>
      <w:r>
        <w:rPr>
          <w:rFonts w:ascii="Arial" w:cs="Arial" w:eastAsia="Arial" w:hAnsi="Arial"/>
          <w:sz w:val="17"/>
          <w:szCs w:val="17"/>
          <w:color w:val="auto"/>
        </w:rPr>
        <w:t>Highly liquid investments with maturities of greater than three months, but not beyond one year, at the time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 are classified as short-term investments and are stated at fair value. Investments with maturities beyond one year when purchased are classified as short-term investments if they are expected to be available to support the Company's short-term liquidity needs. Short-term investments in debt securities are classified as available-for-sale and are stated at fair value. Realized gains and losses on sales of these investments are reflected in Interest income in the statements of consolidated operations. Unrealized gains and losses on available-for-sale debt securities are reflected as a component of accumulated other comprehensive income (loss). Equity investments are accounted for under the equity method if we are able to exercise significant influence over the investee. Equity investments for which we do not have significant influence are recorded at fair value or at cost, if fair value is not readily determinable, with adjustments for observable changes in price or impairments (referred to as the measurement alternative). Changes in fair value are recorded in Unrealized gains (losses) on investments, net in the statements of consolidated operations. See Note 9 of this report for additional information related to investments.</w:t>
      </w:r>
    </w:p>
    <w:p>
      <w:pPr>
        <w:spacing w:after="0" w:line="111" w:lineRule="exact"/>
        <w:rPr>
          <w:sz w:val="20"/>
          <w:szCs w:val="20"/>
          <w:color w:val="auto"/>
        </w:rPr>
      </w:pPr>
    </w:p>
    <w:p>
      <w:pPr>
        <w:ind w:right="180"/>
        <w:spacing w:after="0" w:line="266" w:lineRule="auto"/>
        <w:rPr>
          <w:sz w:val="20"/>
          <w:szCs w:val="20"/>
          <w:color w:val="auto"/>
        </w:rPr>
      </w:pPr>
      <w:r>
        <w:rPr>
          <w:rFonts w:ascii="Arial" w:cs="Arial" w:eastAsia="Arial" w:hAnsi="Arial"/>
          <w:sz w:val="19"/>
          <w:szCs w:val="19"/>
          <w:b w:val="1"/>
          <w:bCs w:val="1"/>
          <w:i w:val="1"/>
          <w:iCs w:val="1"/>
          <w:color w:val="auto"/>
        </w:rPr>
        <w:t xml:space="preserve">Receivables. </w:t>
      </w:r>
      <w:r>
        <w:rPr>
          <w:rFonts w:ascii="Arial" w:cs="Arial" w:eastAsia="Arial" w:hAnsi="Arial"/>
          <w:sz w:val="19"/>
          <w:szCs w:val="19"/>
          <w:color w:val="auto"/>
        </w:rPr>
        <w:t>Receivables primarily consist of amounts due from credit card companies, non-airline partners, and cargo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customers. We provide an allowance for credit losses expected to be incurred. We base our allowance on various factors including, but not limited to, aging, payment history, write-offs, macro-economic indicators and other credit monitoring indicators. Credit loss expense and write-offs related to receivables were not material for the years ended December 31, 2025, 2024 and 2023.</w:t>
      </w:r>
    </w:p>
    <w:p>
      <w:pPr>
        <w:spacing w:after="0" w:line="128"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b w:val="1"/>
          <w:bCs w:val="1"/>
          <w:i w:val="1"/>
          <w:iCs w:val="1"/>
          <w:color w:val="auto"/>
        </w:rPr>
        <w:t xml:space="preserve">Aircraft Fuel, Spare Parts and Supplies. </w:t>
      </w:r>
      <w:r>
        <w:rPr>
          <w:rFonts w:ascii="Arial" w:cs="Arial" w:eastAsia="Arial" w:hAnsi="Arial"/>
          <w:sz w:val="18"/>
          <w:szCs w:val="18"/>
          <w:color w:val="auto"/>
        </w:rPr>
        <w:t>The Company accounts for aircraft fuel, spare parts and supplies at average cost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an obsolescence allowance for aircraft spare parts with an assumed residual value of 10% of original cost. Allowance for obsolescence was $830 million and $739 million at December 31, 2025 and 2024, respectively. Obsolescence expense was $119 million, $175 million, and $102 million for the years ended December 31, 2025, 2024 and 2023, respectively, and is included in Depreciation and amortization expense in the statements of consolidated operations.</w:t>
      </w:r>
    </w:p>
    <w:p>
      <w:pPr>
        <w:spacing w:after="0" w:line="114"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The Company records additions to owned operating property and equipment at cost when acquired.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modifications that enhance the operating performance or extend the useful lives of airframes or engines are capitalized as property and equipment. We periodically receive credits in connection with the acquisition of aircraft and engines as well as contractual damages related to delays in delivery or operating performance issues. These credits are generally deferred and are recognized as a reduction to the cost of the related equipment.</w:t>
      </w:r>
    </w:p>
    <w:p>
      <w:pPr>
        <w:spacing w:after="0" w:line="117" w:lineRule="exact"/>
        <w:rPr>
          <w:sz w:val="20"/>
          <w:szCs w:val="20"/>
          <w:color w:val="auto"/>
        </w:rPr>
      </w:pPr>
    </w:p>
    <w:p>
      <w:pPr>
        <w:ind w:right="140"/>
        <w:spacing w:after="0" w:line="274" w:lineRule="auto"/>
        <w:rPr>
          <w:sz w:val="20"/>
          <w:szCs w:val="20"/>
          <w:color w:val="auto"/>
        </w:rPr>
      </w:pPr>
      <w:r>
        <w:rPr>
          <w:rFonts w:ascii="Arial" w:cs="Arial" w:eastAsia="Arial" w:hAnsi="Arial"/>
          <w:sz w:val="19"/>
          <w:szCs w:val="19"/>
          <w:color w:val="auto"/>
        </w:rPr>
        <w:t>Depreciation and amortization is recognized on a straight-line basis over the assets' estimated useful lives. Leasehold improvements are amortized over the shorter of the remaining term of the lease or the estimated useful life of the related asset. The estimated useful lives of property and equipment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520" w:type="dxa"/>
            <w:vAlign w:val="bottom"/>
          </w:tcPr>
          <w:p>
            <w:pPr>
              <w:spacing w:after="0"/>
              <w:rPr>
                <w:sz w:val="22"/>
                <w:szCs w:val="22"/>
                <w:color w:val="auto"/>
              </w:rPr>
            </w:pPr>
          </w:p>
        </w:tc>
        <w:tc>
          <w:tcPr>
            <w:tcW w:w="2800" w:type="dxa"/>
            <w:vAlign w:val="bottom"/>
            <w:gridSpan w:val="2"/>
          </w:tcPr>
          <w:p>
            <w:pPr>
              <w:ind w:left="80"/>
              <w:spacing w:after="0"/>
              <w:rPr>
                <w:sz w:val="20"/>
                <w:szCs w:val="20"/>
                <w:color w:val="auto"/>
              </w:rPr>
            </w:pPr>
            <w:r>
              <w:rPr>
                <w:rFonts w:ascii="Arial" w:cs="Arial" w:eastAsia="Arial" w:hAnsi="Arial"/>
                <w:sz w:val="19"/>
                <w:szCs w:val="19"/>
                <w:b w:val="1"/>
                <w:bCs w:val="1"/>
                <w:color w:val="auto"/>
                <w:w w:val="95"/>
              </w:rPr>
              <w:t>Estimated Useful Life (in years)</w:t>
            </w:r>
          </w:p>
        </w:tc>
      </w:tr>
      <w:tr>
        <w:trPr>
          <w:trHeight w:val="261"/>
        </w:trPr>
        <w:tc>
          <w:tcPr>
            <w:tcW w:w="652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Aircraft, spare engines and related rotable parts</w:t>
            </w:r>
          </w:p>
        </w:tc>
        <w:tc>
          <w:tcPr>
            <w:tcW w:w="27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25 to 30</w:t>
            </w: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r>
      <w:tr>
        <w:trPr>
          <w:trHeight w:val="261"/>
        </w:trPr>
        <w:tc>
          <w:tcPr>
            <w:tcW w:w="6520" w:type="dxa"/>
            <w:vAlign w:val="bottom"/>
          </w:tcPr>
          <w:p>
            <w:pPr>
              <w:ind w:left="60"/>
              <w:spacing w:after="0"/>
              <w:rPr>
                <w:sz w:val="20"/>
                <w:szCs w:val="20"/>
                <w:color w:val="auto"/>
              </w:rPr>
            </w:pPr>
            <w:r>
              <w:rPr>
                <w:rFonts w:ascii="Arial" w:cs="Arial" w:eastAsia="Arial" w:hAnsi="Arial"/>
                <w:sz w:val="19"/>
                <w:szCs w:val="19"/>
                <w:color w:val="auto"/>
              </w:rPr>
              <w:t>Aircraft seats</w:t>
            </w:r>
          </w:p>
        </w:tc>
        <w:tc>
          <w:tcPr>
            <w:tcW w:w="2800" w:type="dxa"/>
            <w:vAlign w:val="bottom"/>
            <w:gridSpan w:val="2"/>
          </w:tcPr>
          <w:p>
            <w:pPr>
              <w:jc w:val="right"/>
              <w:ind w:right="60"/>
              <w:spacing w:after="0"/>
              <w:rPr>
                <w:sz w:val="20"/>
                <w:szCs w:val="20"/>
                <w:color w:val="auto"/>
              </w:rPr>
            </w:pPr>
            <w:r>
              <w:rPr>
                <w:rFonts w:ascii="Arial" w:cs="Arial" w:eastAsia="Arial" w:hAnsi="Arial"/>
                <w:sz w:val="19"/>
                <w:szCs w:val="19"/>
                <w:color w:val="auto"/>
              </w:rPr>
              <w:t>10 to 15</w:t>
            </w:r>
          </w:p>
        </w:tc>
      </w:tr>
      <w:tr>
        <w:trPr>
          <w:trHeight w:val="30"/>
        </w:trPr>
        <w:tc>
          <w:tcPr>
            <w:tcW w:w="65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1"/>
        </w:trPr>
        <w:tc>
          <w:tcPr>
            <w:tcW w:w="6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Buildings</w:t>
            </w:r>
          </w:p>
        </w:tc>
        <w:tc>
          <w:tcPr>
            <w:tcW w:w="2800" w:type="dxa"/>
            <w:vAlign w:val="bottom"/>
            <w:tcBorders>
              <w:bottom w:val="single" w:sz="8" w:color="E6E6E6"/>
            </w:tcBorders>
            <w:gridSpan w:val="2"/>
            <w:shd w:val="clear" w:color="auto" w:fill="E6E6E6"/>
          </w:tcPr>
          <w:p>
            <w:pPr>
              <w:jc w:val="right"/>
              <w:ind w:right="60"/>
              <w:spacing w:after="0"/>
              <w:rPr>
                <w:sz w:val="20"/>
                <w:szCs w:val="20"/>
                <w:color w:val="auto"/>
              </w:rPr>
            </w:pPr>
            <w:r>
              <w:rPr>
                <w:rFonts w:ascii="Arial" w:cs="Arial" w:eastAsia="Arial" w:hAnsi="Arial"/>
                <w:sz w:val="19"/>
                <w:szCs w:val="19"/>
                <w:color w:val="auto"/>
              </w:rPr>
              <w:t>25 to 45</w:t>
            </w:r>
          </w:p>
        </w:tc>
      </w:tr>
      <w:tr>
        <w:trPr>
          <w:trHeight w:val="261"/>
        </w:trPr>
        <w:tc>
          <w:tcPr>
            <w:tcW w:w="6520" w:type="dxa"/>
            <w:vAlign w:val="bottom"/>
          </w:tcPr>
          <w:p>
            <w:pPr>
              <w:ind w:left="60"/>
              <w:spacing w:after="0"/>
              <w:rPr>
                <w:sz w:val="20"/>
                <w:szCs w:val="20"/>
                <w:color w:val="auto"/>
              </w:rPr>
            </w:pPr>
            <w:r>
              <w:rPr>
                <w:rFonts w:ascii="Arial" w:cs="Arial" w:eastAsia="Arial" w:hAnsi="Arial"/>
                <w:sz w:val="19"/>
                <w:szCs w:val="19"/>
                <w:color w:val="auto"/>
              </w:rPr>
              <w:t>Other property and equipment</w:t>
            </w:r>
          </w:p>
        </w:tc>
        <w:tc>
          <w:tcPr>
            <w:tcW w:w="2800" w:type="dxa"/>
            <w:vAlign w:val="bottom"/>
            <w:gridSpan w:val="2"/>
          </w:tcPr>
          <w:p>
            <w:pPr>
              <w:jc w:val="right"/>
              <w:ind w:right="60"/>
              <w:spacing w:after="0"/>
              <w:rPr>
                <w:sz w:val="20"/>
                <w:szCs w:val="20"/>
                <w:color w:val="auto"/>
              </w:rPr>
            </w:pPr>
            <w:r>
              <w:rPr>
                <w:rFonts w:ascii="Arial" w:cs="Arial" w:eastAsia="Arial" w:hAnsi="Arial"/>
                <w:sz w:val="19"/>
                <w:szCs w:val="19"/>
                <w:color w:val="auto"/>
              </w:rPr>
              <w:t>3 to 20</w:t>
            </w:r>
          </w:p>
        </w:tc>
      </w:tr>
      <w:tr>
        <w:trPr>
          <w:trHeight w:val="30"/>
        </w:trPr>
        <w:tc>
          <w:tcPr>
            <w:tcW w:w="65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1"/>
        </w:trPr>
        <w:tc>
          <w:tcPr>
            <w:tcW w:w="6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Computer software</w:t>
            </w:r>
          </w:p>
        </w:tc>
        <w:tc>
          <w:tcPr>
            <w:tcW w:w="2800" w:type="dxa"/>
            <w:vAlign w:val="bottom"/>
            <w:tcBorders>
              <w:bottom w:val="single" w:sz="8" w:color="E6E6E6"/>
            </w:tcBorders>
            <w:gridSpan w:val="2"/>
            <w:shd w:val="clear" w:color="auto" w:fill="E6E6E6"/>
          </w:tcPr>
          <w:p>
            <w:pPr>
              <w:jc w:val="right"/>
              <w:ind w:right="60"/>
              <w:spacing w:after="0"/>
              <w:rPr>
                <w:sz w:val="20"/>
                <w:szCs w:val="20"/>
                <w:color w:val="auto"/>
              </w:rPr>
            </w:pPr>
            <w:r>
              <w:rPr>
                <w:rFonts w:ascii="Arial" w:cs="Arial" w:eastAsia="Arial" w:hAnsi="Arial"/>
                <w:sz w:val="19"/>
                <w:szCs w:val="19"/>
                <w:color w:val="auto"/>
              </w:rPr>
              <w:t>5 to 15</w:t>
            </w:r>
          </w:p>
        </w:tc>
      </w:tr>
      <w:tr>
        <w:trPr>
          <w:trHeight w:val="261"/>
        </w:trPr>
        <w:tc>
          <w:tcPr>
            <w:tcW w:w="6520" w:type="dxa"/>
            <w:vAlign w:val="bottom"/>
          </w:tcPr>
          <w:p>
            <w:pPr>
              <w:ind w:left="60"/>
              <w:spacing w:after="0"/>
              <w:rPr>
                <w:sz w:val="20"/>
                <w:szCs w:val="20"/>
                <w:color w:val="auto"/>
              </w:rPr>
            </w:pPr>
            <w:r>
              <w:rPr>
                <w:rFonts w:ascii="Arial" w:cs="Arial" w:eastAsia="Arial" w:hAnsi="Arial"/>
                <w:sz w:val="19"/>
                <w:szCs w:val="19"/>
                <w:color w:val="auto"/>
              </w:rPr>
              <w:t>Building improvements</w:t>
            </w:r>
          </w:p>
        </w:tc>
        <w:tc>
          <w:tcPr>
            <w:tcW w:w="2800" w:type="dxa"/>
            <w:vAlign w:val="bottom"/>
            <w:gridSpan w:val="2"/>
          </w:tcPr>
          <w:p>
            <w:pPr>
              <w:jc w:val="right"/>
              <w:ind w:right="60"/>
              <w:spacing w:after="0"/>
              <w:rPr>
                <w:sz w:val="20"/>
                <w:szCs w:val="20"/>
                <w:color w:val="auto"/>
              </w:rPr>
            </w:pPr>
            <w:r>
              <w:rPr>
                <w:rFonts w:ascii="Arial" w:cs="Arial" w:eastAsia="Arial" w:hAnsi="Arial"/>
                <w:sz w:val="19"/>
                <w:szCs w:val="19"/>
                <w:color w:val="auto"/>
              </w:rPr>
              <w:t>1 to 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-1101725</wp:posOffset>
            </wp:positionV>
            <wp:extent cx="179070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3">
                      <a:extLst>
                        <a:ext uri="{28A0092B-C50C-407E-A947-70E740481C1C}"/>
                      </a:extLst>
                    </a:blip>
                    <a:srcRect/>
                    <a:stretch>
                      <a:fillRect/>
                    </a:stretch>
                  </pic:blipFill>
                  <pic:spPr bwMode="auto">
                    <a:xfrm>
                      <a:off x="0" y="0"/>
                      <a:ext cx="1790700" cy="25400"/>
                    </a:xfrm>
                    <a:prstGeom prst="rect">
                      <a:avLst/>
                    </a:prstGeom>
                    <a:noFill/>
                  </pic:spPr>
                </pic:pic>
              </a:graphicData>
            </a:graphic>
          </wp:anchor>
        </w:drawing>
      </w:r>
    </w:p>
    <w:p>
      <w:pPr>
        <w:sectPr>
          <w:pgSz w:w="11880" w:h="15480" w:orient="portrait"/>
          <w:cols w:equalWidth="0" w:num="1">
            <w:col w:w="9940"/>
          </w:cols>
          <w:pgMar w:left="960" w:top="586"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9940"/>
          </w:cols>
          <w:pgMar w:left="960" w:top="586" w:right="980" w:bottom="33" w:gutter="0" w:footer="0" w:header="0"/>
          <w:type w:val="continuous"/>
        </w:sectPr>
      </w:pPr>
    </w:p>
    <w:bookmarkStart w:id="69" w:name="page70"/>
    <w:bookmarkEnd w:id="69"/>
    <w:p>
      <w:pPr>
        <w:spacing w:after="0"/>
        <w:rPr>
          <w:sz w:val="20"/>
          <w:szCs w:val="20"/>
          <w:color w:val="auto"/>
        </w:rPr>
      </w:pPr>
      <w:r>
        <w:rPr>
          <w:rFonts w:ascii="Arial" w:cs="Arial" w:eastAsia="Arial" w:hAnsi="Arial"/>
          <w:sz w:val="19"/>
          <w:szCs w:val="19"/>
          <w:color w:val="auto"/>
        </w:rPr>
        <w:t>Operating property and equipment, net at December 31 was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440" w:type="dxa"/>
            <w:vAlign w:val="bottom"/>
            <w:tcBorders>
              <w:bottom w:val="single" w:sz="8" w:color="E6E6E6"/>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2025</w:t>
            </w:r>
          </w:p>
        </w:tc>
        <w:tc>
          <w:tcPr>
            <w:tcW w:w="700" w:type="dxa"/>
            <w:vAlign w:val="bottom"/>
            <w:tcBorders>
              <w:bottom w:val="single" w:sz="8" w:color="auto"/>
            </w:tcBorders>
          </w:tcPr>
          <w:p>
            <w:pPr>
              <w:spacing w:after="0"/>
              <w:rPr>
                <w:sz w:val="22"/>
                <w:szCs w:val="22"/>
                <w:color w:val="auto"/>
              </w:rPr>
            </w:pPr>
          </w:p>
        </w:tc>
        <w:tc>
          <w:tcPr>
            <w:tcW w:w="14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43"/>
              <w:spacing w:after="0"/>
              <w:rPr>
                <w:sz w:val="20"/>
                <w:szCs w:val="20"/>
                <w:color w:val="auto"/>
              </w:rPr>
            </w:pPr>
            <w:r>
              <w:rPr>
                <w:rFonts w:ascii="Arial" w:cs="Arial" w:eastAsia="Arial" w:hAnsi="Arial"/>
                <w:sz w:val="19"/>
                <w:szCs w:val="19"/>
                <w:b w:val="1"/>
                <w:bCs w:val="1"/>
                <w:color w:val="auto"/>
              </w:rPr>
              <w:t>2024</w:t>
            </w:r>
          </w:p>
        </w:tc>
      </w:tr>
      <w:tr>
        <w:trPr>
          <w:trHeight w:val="296"/>
        </w:trPr>
        <w:tc>
          <w:tcPr>
            <w:tcW w:w="5440" w:type="dxa"/>
            <w:vAlign w:val="bottom"/>
            <w:shd w:val="clear" w:color="auto" w:fill="E6E6E6"/>
          </w:tcPr>
          <w:p>
            <w:pPr>
              <w:ind w:left="60"/>
              <w:spacing w:after="0"/>
              <w:rPr>
                <w:sz w:val="20"/>
                <w:szCs w:val="20"/>
                <w:color w:val="auto"/>
              </w:rPr>
            </w:pPr>
            <w:r>
              <w:rPr>
                <w:rFonts w:ascii="Arial" w:cs="Arial" w:eastAsia="Arial" w:hAnsi="Arial"/>
                <w:sz w:val="19"/>
                <w:szCs w:val="19"/>
                <w:color w:val="auto"/>
              </w:rPr>
              <w:t>Flight equipment</w:t>
            </w:r>
          </w:p>
        </w:tc>
        <w:tc>
          <w:tcPr>
            <w:tcW w:w="1140" w:type="dxa"/>
            <w:vAlign w:val="bottom"/>
            <w:shd w:val="clear" w:color="auto" w:fill="E6E6E6"/>
          </w:tcPr>
          <w:p>
            <w:pPr>
              <w:jc w:val="right"/>
              <w:ind w:right="903"/>
              <w:spacing w:after="0"/>
              <w:rPr>
                <w:sz w:val="20"/>
                <w:szCs w:val="20"/>
                <w:color w:val="auto"/>
              </w:rPr>
            </w:pPr>
            <w:r>
              <w:rPr>
                <w:rFonts w:ascii="Arial" w:cs="Arial" w:eastAsia="Arial" w:hAnsi="Arial"/>
                <w:sz w:val="19"/>
                <w:szCs w:val="19"/>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56,876</w:t>
            </w:r>
          </w:p>
        </w:tc>
        <w:tc>
          <w:tcPr>
            <w:tcW w:w="560" w:type="dxa"/>
            <w:vAlign w:val="bottom"/>
            <w:gridSpan w:val="2"/>
            <w:shd w:val="clear" w:color="auto" w:fill="E6E6E6"/>
          </w:tcPr>
          <w:p>
            <w:pPr>
              <w:jc w:val="right"/>
              <w:ind w:right="280"/>
              <w:spacing w:after="0"/>
              <w:rPr>
                <w:sz w:val="20"/>
                <w:szCs w:val="20"/>
                <w:color w:val="auto"/>
              </w:rPr>
            </w:pPr>
            <w:r>
              <w:rPr>
                <w:rFonts w:ascii="Arial" w:cs="Arial" w:eastAsia="Arial" w:hAnsi="Arial"/>
                <w:sz w:val="19"/>
                <w:szCs w:val="19"/>
                <w:color w:val="auto"/>
              </w:rPr>
              <w:t>$</w:t>
            </w:r>
          </w:p>
        </w:tc>
        <w:tc>
          <w:tcPr>
            <w:tcW w:w="14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52,696</w:t>
            </w:r>
          </w:p>
        </w:tc>
      </w:tr>
      <w:tr>
        <w:trPr>
          <w:trHeight w:val="299"/>
        </w:trPr>
        <w:tc>
          <w:tcPr>
            <w:tcW w:w="5440" w:type="dxa"/>
            <w:vAlign w:val="bottom"/>
          </w:tcPr>
          <w:p>
            <w:pPr>
              <w:ind w:left="60"/>
              <w:spacing w:after="0"/>
              <w:rPr>
                <w:sz w:val="20"/>
                <w:szCs w:val="20"/>
                <w:color w:val="auto"/>
              </w:rPr>
            </w:pPr>
            <w:r>
              <w:rPr>
                <w:rFonts w:ascii="Arial" w:cs="Arial" w:eastAsia="Arial" w:hAnsi="Arial"/>
                <w:sz w:val="19"/>
                <w:szCs w:val="19"/>
                <w:color w:val="auto"/>
              </w:rPr>
              <w:t>Other property and equipment</w:t>
            </w:r>
          </w:p>
        </w:tc>
        <w:tc>
          <w:tcPr>
            <w:tcW w:w="1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13,204</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11,908</w:t>
            </w:r>
          </w:p>
        </w:tc>
      </w:tr>
      <w:tr>
        <w:trPr>
          <w:trHeight w:val="321"/>
        </w:trPr>
        <w:tc>
          <w:tcPr>
            <w:tcW w:w="54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Purchase deposits for flight equipment</w:t>
            </w:r>
          </w:p>
        </w:tc>
        <w:tc>
          <w:tcPr>
            <w:tcW w:w="114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3,506</w:t>
            </w:r>
          </w:p>
        </w:tc>
        <w:tc>
          <w:tcPr>
            <w:tcW w:w="14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3,427</w:t>
            </w:r>
          </w:p>
        </w:tc>
      </w:tr>
      <w:tr>
        <w:trPr>
          <w:trHeight w:val="270"/>
        </w:trPr>
        <w:tc>
          <w:tcPr>
            <w:tcW w:w="5440" w:type="dxa"/>
            <w:vAlign w:val="bottom"/>
          </w:tcPr>
          <w:p>
            <w:pPr>
              <w:ind w:left="400"/>
              <w:spacing w:after="0"/>
              <w:rPr>
                <w:sz w:val="20"/>
                <w:szCs w:val="20"/>
                <w:color w:val="auto"/>
              </w:rPr>
            </w:pPr>
            <w:r>
              <w:rPr>
                <w:rFonts w:ascii="Arial" w:cs="Arial" w:eastAsia="Arial" w:hAnsi="Arial"/>
                <w:sz w:val="19"/>
                <w:szCs w:val="19"/>
                <w:color w:val="auto"/>
              </w:rPr>
              <w:t>Total operating property and equipment</w:t>
            </w:r>
          </w:p>
        </w:tc>
        <w:tc>
          <w:tcPr>
            <w:tcW w:w="1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73,586</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68,031</w:t>
            </w:r>
          </w:p>
        </w:tc>
      </w:tr>
      <w:tr>
        <w:trPr>
          <w:trHeight w:val="302"/>
        </w:trPr>
        <w:tc>
          <w:tcPr>
            <w:tcW w:w="54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Less—Accumulated depreciation and amortization</w:t>
            </w:r>
          </w:p>
        </w:tc>
        <w:tc>
          <w:tcPr>
            <w:tcW w:w="114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3"/>
              </w:rPr>
              <w:t>(27,466)</w:t>
            </w:r>
          </w:p>
        </w:tc>
        <w:tc>
          <w:tcPr>
            <w:tcW w:w="14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(25,123)</w:t>
            </w:r>
          </w:p>
        </w:tc>
      </w:tr>
      <w:tr>
        <w:trPr>
          <w:trHeight w:val="267"/>
        </w:trPr>
        <w:tc>
          <w:tcPr>
            <w:tcW w:w="5440" w:type="dxa"/>
            <w:vAlign w:val="bottom"/>
          </w:tcPr>
          <w:p>
            <w:pPr>
              <w:ind w:left="400"/>
              <w:spacing w:after="0"/>
              <w:rPr>
                <w:sz w:val="20"/>
                <w:szCs w:val="20"/>
                <w:color w:val="auto"/>
              </w:rPr>
            </w:pPr>
            <w:r>
              <w:rPr>
                <w:rFonts w:ascii="Arial" w:cs="Arial" w:eastAsia="Arial" w:hAnsi="Arial"/>
                <w:sz w:val="19"/>
                <w:szCs w:val="19"/>
                <w:color w:val="auto"/>
              </w:rPr>
              <w:t>Total operating property and equipment, net</w:t>
            </w:r>
          </w:p>
        </w:tc>
        <w:tc>
          <w:tcPr>
            <w:tcW w:w="1140" w:type="dxa"/>
            <w:vAlign w:val="bottom"/>
          </w:tcPr>
          <w:p>
            <w:pPr>
              <w:jc w:val="right"/>
              <w:ind w:right="903"/>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46,121</w:t>
            </w:r>
          </w:p>
        </w:tc>
        <w:tc>
          <w:tcPr>
            <w:tcW w:w="56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1420" w:type="dxa"/>
            <w:vAlign w:val="bottom"/>
          </w:tcPr>
          <w:p>
            <w:pPr>
              <w:jc w:val="right"/>
              <w:spacing w:after="0"/>
              <w:rPr>
                <w:sz w:val="20"/>
                <w:szCs w:val="20"/>
                <w:color w:val="auto"/>
              </w:rPr>
            </w:pPr>
            <w:r>
              <w:rPr>
                <w:rFonts w:ascii="Arial" w:cs="Arial" w:eastAsia="Arial" w:hAnsi="Arial"/>
                <w:sz w:val="19"/>
                <w:szCs w:val="19"/>
                <w:color w:val="auto"/>
              </w:rPr>
              <w:t>42,908</w:t>
            </w:r>
          </w:p>
        </w:tc>
      </w:tr>
      <w:tr>
        <w:trPr>
          <w:trHeight w:val="20"/>
        </w:trPr>
        <w:tc>
          <w:tcPr>
            <w:tcW w:w="5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-1195070</wp:posOffset>
            </wp:positionV>
            <wp:extent cx="245554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4">
                      <a:extLst>
                        <a:ext uri="{28A0092B-C50C-407E-A947-70E740481C1C}"/>
                      </a:extLst>
                    </a:blip>
                    <a:srcRect/>
                    <a:stretch>
                      <a:fillRect/>
                    </a:stretch>
                  </pic:blipFill>
                  <pic:spPr bwMode="auto">
                    <a:xfrm>
                      <a:off x="0" y="0"/>
                      <a:ext cx="2455545" cy="2540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-612775</wp:posOffset>
            </wp:positionV>
            <wp:extent cx="245554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5">
                      <a:extLst>
                        <a:ext uri="{28A0092B-C50C-407E-A947-70E740481C1C}"/>
                      </a:extLst>
                    </a:blip>
                    <a:srcRect/>
                    <a:stretch>
                      <a:fillRect/>
                    </a:stretch>
                  </pic:blipFill>
                  <pic:spPr bwMode="auto">
                    <a:xfrm>
                      <a:off x="0" y="0"/>
                      <a:ext cx="2455545" cy="2540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-224790</wp:posOffset>
            </wp:positionV>
            <wp:extent cx="245554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6">
                      <a:extLst>
                        <a:ext uri="{28A0092B-C50C-407E-A947-70E740481C1C}"/>
                      </a:extLst>
                    </a:blip>
                    <a:srcRect/>
                    <a:stretch>
                      <a:fillRect/>
                    </a:stretch>
                  </pic:blipFill>
                  <pic:spPr bwMode="auto">
                    <a:xfrm>
                      <a:off x="0" y="0"/>
                      <a:ext cx="2455545" cy="25400"/>
                    </a:xfrm>
                    <a:prstGeom prst="rect">
                      <a:avLst/>
                    </a:prstGeom>
                    <a:noFill/>
                  </pic:spPr>
                </pic:pic>
              </a:graphicData>
            </a:graphic>
          </wp:anchor>
        </w:drawing>
      </w:r>
    </w:p>
    <w:p>
      <w:pPr>
        <w:spacing w:after="0" w:line="84"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As of December 31, 2025 and 2024, the Company had a carrying value of computer software of $455 million and $456 million, respectively. For the years ended December 31, 2025, 2024 and 2023, the Company's amortization expense related to computer software was $160 million, $155 million and $168 million, respectively. Aircraft, spare engines and related rotable parts were assumed to have residual values of approximately 10% of original cost, and other categories of property and equipment were assumed to have no residual value.</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The Company enters into various leases as a lessee for assets including, but not limited to, airport facilities, airport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gates, hangar sites, administrative offices, aircraft, and various other facilities and equipment to support its operations. The Company determines if an arrangement contains a lease at inception. A lease exists when the arrangement conveys the right to control the use of an identified asset over the lease term. Upon lease commencement, the Company records a lease liability for the obligation to make lease payments and a right-of-use asset for the right to use the underlying asset for the lease term in the consolidated balance sheets. The lease liability is measured at the commencement date based on the present value of lease payments not yet paid over the lease term, which includes extension and renewal options that are reasonably certain of being exercised, discounted using an incremental borrowing rate that reflects the term of the lease and the particular economic environment at lease commencement. The right-of-use asset is based on the lease liability, adjusted for lease prepayments, lease incentives received, and the lessee's initial direct costs. The Company does not record a right-of-use asset or lease liability for leases with an initial term of 12 months or less. Lease and non-lease components are combined for all classes of underlying assets, except for capacity purchase agreements ("CPAs") which contain embedded leases for regional aircraft. For these CPAs, the Company allocates consideration to the lease and non-lease components based on their relative standalone values. Many of the Company's leases include variable lease payments, which are not included in the measurement of the right-of-use asset and lease liability. Finance lease right-of-use assets are presented together with Operating property and equipment on the consolidated balance sheets and the related amortization is included in Depreciation and amortization expense.</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b w:val="1"/>
          <w:bCs w:val="1"/>
          <w:i w:val="1"/>
          <w:iCs w:val="1"/>
          <w:color w:val="auto"/>
        </w:rPr>
        <w:t xml:space="preserve">Long-Lived Asset Impairments. </w:t>
      </w:r>
      <w:r>
        <w:rPr>
          <w:rFonts w:ascii="Arial" w:cs="Arial" w:eastAsia="Arial" w:hAnsi="Arial"/>
          <w:sz w:val="19"/>
          <w:szCs w:val="19"/>
          <w:color w:val="auto"/>
        </w:rPr>
        <w:t>The Company evaluates the carrying value of long-lived assets subject to amortization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whenever events or changes in circumstances indicate that an impairment may exist. For purposes of this testing, the Company has generally identified the aircraft fleet type as the lowest level of identifiable cash flows for its mainline fleet and the contract level for its regional fleet under CPAs. An impairment charge is recognized when the asset's carrying value exceeds its net undiscounted future cash flows. The amount of the charge is the difference between the asset's carrying value and fair market value.</w:t>
      </w:r>
    </w:p>
    <w:p>
      <w:pPr>
        <w:spacing w:after="0" w:line="130"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b w:val="1"/>
          <w:bCs w:val="1"/>
          <w:i w:val="1"/>
          <w:iCs w:val="1"/>
          <w:color w:val="auto"/>
        </w:rPr>
        <w:t xml:space="preserve">Intangible Assets. </w:t>
      </w:r>
      <w:r>
        <w:rPr>
          <w:rFonts w:ascii="Arial" w:cs="Arial" w:eastAsia="Arial" w:hAnsi="Arial"/>
          <w:sz w:val="17"/>
          <w:szCs w:val="17"/>
          <w:color w:val="auto"/>
        </w:rPr>
        <w:t>The Company has finite-lived and indefinite-lived intangible assets, including goodwill. Finite-lived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intangible assets are amortized over their estimated useful lives. Goodwill and indefinite-lived intangible assets are not amortized but are assessed for impairment on an annual basis as of October 1, or more frequently if events or circumstances indicate that the asset may be impaired. The Company typically determines fair value using either a market approach or a variation of the income approach valuation techniques. These measurements include the following key assumptions: (1) forecasted revenues, expenses, margin and cash flows, (2) terminal period growth rate, (3) an estimated weighted average cost of capital, (4) asset-specific risk factor and (5) a tax rate. These assumptions are consistent with those that hypothetical market participants would use. We recognize an impairment when the fair value of an intangible asset is less than its carrying value.</w:t>
      </w:r>
    </w:p>
    <w:p>
      <w:pPr>
        <w:spacing w:after="0" w:line="112"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For the Company's China route authority, the Company performed a quantitative assessment which involved determining the fair value of the asset and comparing that amount to the asset's carrying value. For all other intangible assets, the Company performed a qualitative assessment of whether it was more likely than not that an impairment had occurred. To determine the fair value of the China route authority, the Company used a discounted cash flow method. Key assumptions used in the valuation model included forecasted revenues, margin and an overall discount rate. These assumptions are inherently uncertain as they relate to future events and circumstances.</w:t>
      </w:r>
    </w:p>
    <w:p>
      <w:pPr>
        <w:sectPr>
          <w:pgSz w:w="11880" w:h="15480" w:orient="portrait"/>
          <w:cols w:equalWidth="0" w:num="1">
            <w:col w:w="9920"/>
          </w:cols>
          <w:pgMar w:left="960" w:top="586"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9920"/>
          </w:cols>
          <w:pgMar w:left="960" w:top="586" w:right="1000" w:bottom="33" w:gutter="0" w:footer="0" w:header="0"/>
          <w:type w:val="continuous"/>
        </w:sectPr>
      </w:pPr>
    </w:p>
    <w:bookmarkStart w:id="70" w:name="page71"/>
    <w:bookmarkEnd w:id="70"/>
    <w:p>
      <w:pPr>
        <w:ind w:right="700"/>
        <w:spacing w:after="0" w:line="294" w:lineRule="auto"/>
        <w:rPr>
          <w:sz w:val="20"/>
          <w:szCs w:val="20"/>
          <w:color w:val="auto"/>
        </w:rPr>
      </w:pPr>
      <w:r>
        <w:rPr>
          <w:rFonts w:ascii="Arial" w:cs="Arial" w:eastAsia="Arial" w:hAnsi="Arial"/>
          <w:sz w:val="19"/>
          <w:szCs w:val="19"/>
          <w:color w:val="auto"/>
        </w:rPr>
        <w:t>The following table presents information about the Company's goodwill and other intangible assets at December 31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9"/>
                <w:szCs w:val="19"/>
                <w:b w:val="1"/>
                <w:bCs w:val="1"/>
                <w:color w:val="auto"/>
              </w:rPr>
              <w:t>2025</w:t>
            </w:r>
          </w:p>
        </w:tc>
        <w:tc>
          <w:tcPr>
            <w:tcW w:w="8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9"/>
                <w:szCs w:val="19"/>
                <w:b w:val="1"/>
                <w:bCs w:val="1"/>
                <w:color w:val="auto"/>
              </w:rPr>
              <w:t>2024</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03"/>
              <w:spacing w:after="0" w:line="186" w:lineRule="exact"/>
              <w:rPr>
                <w:sz w:val="20"/>
                <w:szCs w:val="20"/>
                <w:color w:val="auto"/>
              </w:rPr>
            </w:pPr>
            <w:r>
              <w:rPr>
                <w:rFonts w:ascii="Arial" w:cs="Arial" w:eastAsia="Arial" w:hAnsi="Arial"/>
                <w:sz w:val="19"/>
                <w:szCs w:val="19"/>
                <w:b w:val="1"/>
                <w:bCs w:val="1"/>
                <w:color w:val="auto"/>
              </w:rPr>
              <w:t>Gross</w:t>
            </w:r>
          </w:p>
        </w:tc>
        <w:tc>
          <w:tcPr>
            <w:tcW w:w="80" w:type="dxa"/>
            <w:vAlign w:val="bottom"/>
          </w:tcPr>
          <w:p>
            <w:pPr>
              <w:spacing w:after="0"/>
              <w:rPr>
                <w:sz w:val="16"/>
                <w:szCs w:val="1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9"/>
                <w:szCs w:val="19"/>
                <w:b w:val="1"/>
                <w:bCs w:val="1"/>
                <w:color w:val="auto"/>
                <w:w w:val="97"/>
              </w:rPr>
              <w:t>Accumulated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03"/>
              <w:spacing w:after="0" w:line="186" w:lineRule="exact"/>
              <w:rPr>
                <w:sz w:val="20"/>
                <w:szCs w:val="20"/>
                <w:color w:val="auto"/>
              </w:rPr>
            </w:pPr>
            <w:r>
              <w:rPr>
                <w:rFonts w:ascii="Arial" w:cs="Arial" w:eastAsia="Arial" w:hAnsi="Arial"/>
                <w:sz w:val="19"/>
                <w:szCs w:val="19"/>
                <w:b w:val="1"/>
                <w:bCs w:val="1"/>
                <w:color w:val="auto"/>
              </w:rPr>
              <w:t>Gross</w:t>
            </w:r>
          </w:p>
        </w:tc>
        <w:tc>
          <w:tcPr>
            <w:tcW w:w="80" w:type="dxa"/>
            <w:vAlign w:val="bottom"/>
          </w:tcPr>
          <w:p>
            <w:pPr>
              <w:spacing w:after="0"/>
              <w:rPr>
                <w:sz w:val="16"/>
                <w:szCs w:val="1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9"/>
                <w:szCs w:val="19"/>
                <w:b w:val="1"/>
                <w:bCs w:val="1"/>
                <w:color w:val="auto"/>
                <w:w w:val="97"/>
              </w:rPr>
              <w:t>Accumulated</w:t>
            </w: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43"/>
              <w:spacing w:after="0" w:line="194" w:lineRule="exact"/>
              <w:rPr>
                <w:sz w:val="20"/>
                <w:szCs w:val="20"/>
                <w:color w:val="auto"/>
              </w:rPr>
            </w:pPr>
            <w:r>
              <w:rPr>
                <w:rFonts w:ascii="Arial" w:cs="Arial" w:eastAsia="Arial" w:hAnsi="Arial"/>
                <w:sz w:val="19"/>
                <w:szCs w:val="19"/>
                <w:b w:val="1"/>
                <w:bCs w:val="1"/>
                <w:color w:val="auto"/>
                <w:w w:val="99"/>
              </w:rPr>
              <w:t>Carrying</w:t>
            </w:r>
          </w:p>
        </w:tc>
        <w:tc>
          <w:tcPr>
            <w:tcW w:w="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43"/>
              <w:spacing w:after="0" w:line="194" w:lineRule="exact"/>
              <w:rPr>
                <w:sz w:val="20"/>
                <w:szCs w:val="20"/>
                <w:color w:val="auto"/>
              </w:rPr>
            </w:pPr>
            <w:r>
              <w:rPr>
                <w:rFonts w:ascii="Arial" w:cs="Arial" w:eastAsia="Arial" w:hAnsi="Arial"/>
                <w:sz w:val="19"/>
                <w:szCs w:val="19"/>
                <w:b w:val="1"/>
                <w:bCs w:val="1"/>
                <w:color w:val="auto"/>
                <w:w w:val="99"/>
              </w:rPr>
              <w:t>Carrying</w:t>
            </w:r>
          </w:p>
        </w:tc>
        <w:tc>
          <w:tcPr>
            <w:tcW w:w="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b w:val="1"/>
                <w:bCs w:val="1"/>
                <w:color w:val="auto"/>
              </w:rPr>
              <w:t>Amount</w:t>
            </w:r>
          </w:p>
        </w:tc>
        <w:tc>
          <w:tcPr>
            <w:tcW w:w="80" w:type="dxa"/>
            <w:vAlign w:val="bottom"/>
            <w:tcBorders>
              <w:bottom w:val="single" w:sz="8" w:color="E6E6E6"/>
            </w:tcBorders>
          </w:tcPr>
          <w:p>
            <w:pPr>
              <w:spacing w:after="0"/>
              <w:rPr>
                <w:sz w:val="22"/>
                <w:szCs w:val="22"/>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b w:val="1"/>
                <w:bCs w:val="1"/>
                <w:color w:val="auto"/>
                <w:w w:val="99"/>
              </w:rPr>
              <w:t>Amortization</w:t>
            </w:r>
          </w:p>
        </w:tc>
        <w:tc>
          <w:tcPr>
            <w:tcW w:w="6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b w:val="1"/>
                <w:bCs w:val="1"/>
                <w:color w:val="auto"/>
              </w:rPr>
              <w:t>Amount</w:t>
            </w:r>
          </w:p>
        </w:tc>
        <w:tc>
          <w:tcPr>
            <w:tcW w:w="80" w:type="dxa"/>
            <w:vAlign w:val="bottom"/>
            <w:tcBorders>
              <w:bottom w:val="single" w:sz="8" w:color="E6E6E6"/>
            </w:tcBorders>
          </w:tcPr>
          <w:p>
            <w:pPr>
              <w:spacing w:after="0"/>
              <w:rPr>
                <w:sz w:val="22"/>
                <w:szCs w:val="22"/>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b w:val="1"/>
                <w:bCs w:val="1"/>
                <w:color w:val="auto"/>
                <w:w w:val="99"/>
              </w:rPr>
              <w:t>Amortization</w:t>
            </w:r>
          </w:p>
        </w:tc>
        <w:tc>
          <w:tcPr>
            <w:tcW w:w="0" w:type="dxa"/>
            <w:vAlign w:val="bottom"/>
          </w:tcPr>
          <w:p>
            <w:pPr>
              <w:spacing w:after="0"/>
              <w:rPr>
                <w:sz w:val="1"/>
                <w:szCs w:val="1"/>
                <w:color w:val="auto"/>
              </w:rPr>
            </w:pPr>
          </w:p>
        </w:tc>
      </w:tr>
      <w:tr>
        <w:trPr>
          <w:trHeight w:val="275"/>
        </w:trPr>
        <w:tc>
          <w:tcPr>
            <w:tcW w:w="4360" w:type="dxa"/>
            <w:vAlign w:val="bottom"/>
            <w:shd w:val="clear" w:color="auto" w:fill="E6E6E6"/>
          </w:tcPr>
          <w:p>
            <w:pPr>
              <w:ind w:left="60"/>
              <w:spacing w:after="0"/>
              <w:rPr>
                <w:sz w:val="20"/>
                <w:szCs w:val="20"/>
                <w:color w:val="auto"/>
              </w:rPr>
            </w:pPr>
            <w:r>
              <w:rPr>
                <w:rFonts w:ascii="Arial" w:cs="Arial" w:eastAsia="Arial" w:hAnsi="Arial"/>
                <w:sz w:val="19"/>
                <w:szCs w:val="19"/>
                <w:color w:val="auto"/>
              </w:rPr>
              <w:t>Goodwill</w:t>
            </w:r>
          </w:p>
        </w:tc>
        <w:tc>
          <w:tcPr>
            <w:tcW w:w="2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4,527</w:t>
            </w:r>
          </w:p>
        </w:tc>
        <w:tc>
          <w:tcPr>
            <w:tcW w:w="80" w:type="dxa"/>
            <w:vAlign w:val="bottom"/>
            <w:shd w:val="clear" w:color="auto" w:fill="E6E6E6"/>
          </w:tcPr>
          <w:p>
            <w:pPr>
              <w:spacing w:after="0"/>
              <w:rPr>
                <w:sz w:val="23"/>
                <w:szCs w:val="23"/>
                <w:color w:val="auto"/>
              </w:rPr>
            </w:pPr>
          </w:p>
        </w:tc>
        <w:tc>
          <w:tcPr>
            <w:tcW w:w="440" w:type="dxa"/>
            <w:vAlign w:val="bottom"/>
            <w:shd w:val="clear" w:color="auto" w:fill="E6E6E6"/>
          </w:tcPr>
          <w:p>
            <w:pPr>
              <w:spacing w:after="0"/>
              <w:rPr>
                <w:sz w:val="23"/>
                <w:szCs w:val="23"/>
                <w:color w:val="auto"/>
              </w:rPr>
            </w:pPr>
          </w:p>
        </w:tc>
        <w:tc>
          <w:tcPr>
            <w:tcW w:w="800" w:type="dxa"/>
            <w:vAlign w:val="bottom"/>
            <w:shd w:val="clear" w:color="auto" w:fill="E6E6E6"/>
          </w:tcPr>
          <w:p>
            <w:pPr>
              <w:spacing w:after="0"/>
              <w:rPr>
                <w:sz w:val="23"/>
                <w:szCs w:val="23"/>
                <w:color w:val="auto"/>
              </w:rPr>
            </w:pP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9"/>
                <w:szCs w:val="19"/>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4,527</w:t>
            </w:r>
          </w:p>
        </w:tc>
        <w:tc>
          <w:tcPr>
            <w:tcW w:w="80" w:type="dxa"/>
            <w:vAlign w:val="bottom"/>
            <w:shd w:val="clear" w:color="auto" w:fill="E6E6E6"/>
          </w:tcPr>
          <w:p>
            <w:pPr>
              <w:spacing w:after="0"/>
              <w:rPr>
                <w:sz w:val="23"/>
                <w:szCs w:val="23"/>
                <w:color w:val="auto"/>
              </w:rPr>
            </w:pPr>
          </w:p>
        </w:tc>
        <w:tc>
          <w:tcPr>
            <w:tcW w:w="440" w:type="dxa"/>
            <w:vAlign w:val="bottom"/>
            <w:shd w:val="clear" w:color="auto" w:fill="E6E6E6"/>
          </w:tcPr>
          <w:p>
            <w:pPr>
              <w:spacing w:after="0"/>
              <w:rPr>
                <w:sz w:val="23"/>
                <w:szCs w:val="23"/>
                <w:color w:val="auto"/>
              </w:rPr>
            </w:pPr>
          </w:p>
        </w:tc>
        <w:tc>
          <w:tcPr>
            <w:tcW w:w="80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4360" w:type="dxa"/>
            <w:vAlign w:val="bottom"/>
            <w:tcBorders>
              <w:top w:val="single" w:sz="8" w:color="E6E6E6"/>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E6E6E6"/>
            </w:tcBorders>
          </w:tcPr>
          <w:p>
            <w:pPr>
              <w:spacing w:after="0"/>
              <w:rPr>
                <w:sz w:val="13"/>
                <w:szCs w:val="13"/>
                <w:color w:val="auto"/>
              </w:rPr>
            </w:pPr>
          </w:p>
        </w:tc>
        <w:tc>
          <w:tcPr>
            <w:tcW w:w="440" w:type="dxa"/>
            <w:vAlign w:val="bottom"/>
            <w:tcBorders>
              <w:top w:val="single" w:sz="8" w:color="E6E6E6"/>
            </w:tcBorders>
          </w:tcPr>
          <w:p>
            <w:pPr>
              <w:spacing w:after="0"/>
              <w:rPr>
                <w:sz w:val="13"/>
                <w:szCs w:val="13"/>
                <w:color w:val="auto"/>
              </w:rPr>
            </w:pPr>
          </w:p>
        </w:tc>
        <w:tc>
          <w:tcPr>
            <w:tcW w:w="800" w:type="dxa"/>
            <w:vAlign w:val="bottom"/>
            <w:tcBorders>
              <w:top w:val="single" w:sz="8" w:color="E6E6E6"/>
            </w:tcBorders>
          </w:tcPr>
          <w:p>
            <w:pPr>
              <w:spacing w:after="0"/>
              <w:rPr>
                <w:sz w:val="13"/>
                <w:szCs w:val="13"/>
                <w:color w:val="auto"/>
              </w:rPr>
            </w:pPr>
          </w:p>
        </w:tc>
        <w:tc>
          <w:tcPr>
            <w:tcW w:w="60" w:type="dxa"/>
            <w:vAlign w:val="bottom"/>
            <w:tcBorders>
              <w:top w:val="single" w:sz="8" w:color="E6E6E6"/>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E6E6E6"/>
            </w:tcBorders>
          </w:tcPr>
          <w:p>
            <w:pPr>
              <w:spacing w:after="0"/>
              <w:rPr>
                <w:sz w:val="13"/>
                <w:szCs w:val="13"/>
                <w:color w:val="auto"/>
              </w:rPr>
            </w:pPr>
          </w:p>
        </w:tc>
        <w:tc>
          <w:tcPr>
            <w:tcW w:w="440" w:type="dxa"/>
            <w:vAlign w:val="bottom"/>
            <w:tcBorders>
              <w:top w:val="single" w:sz="8" w:color="E6E6E6"/>
            </w:tcBorders>
          </w:tcPr>
          <w:p>
            <w:pPr>
              <w:spacing w:after="0"/>
              <w:rPr>
                <w:sz w:val="13"/>
                <w:szCs w:val="13"/>
                <w:color w:val="auto"/>
              </w:rPr>
            </w:pPr>
          </w:p>
        </w:tc>
        <w:tc>
          <w:tcPr>
            <w:tcW w:w="800" w:type="dxa"/>
            <w:vAlign w:val="bottom"/>
            <w:tcBorders>
              <w:top w:val="single" w:sz="8" w:color="E6E6E6"/>
            </w:tcBorders>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360" w:type="dxa"/>
            <w:vAlign w:val="bottom"/>
            <w:shd w:val="clear" w:color="auto" w:fill="E6E6E6"/>
          </w:tcPr>
          <w:p>
            <w:pPr>
              <w:ind w:left="60"/>
              <w:spacing w:after="0"/>
              <w:rPr>
                <w:sz w:val="20"/>
                <w:szCs w:val="20"/>
                <w:color w:val="auto"/>
              </w:rPr>
            </w:pPr>
            <w:r>
              <w:rPr>
                <w:rFonts w:ascii="Arial" w:cs="Arial" w:eastAsia="Arial" w:hAnsi="Arial"/>
                <w:sz w:val="19"/>
                <w:szCs w:val="19"/>
                <w:color w:val="auto"/>
              </w:rPr>
              <w:t>Indefinite-lived intangible assets</w:t>
            </w:r>
          </w:p>
        </w:tc>
        <w:tc>
          <w:tcPr>
            <w:tcW w:w="20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540"/>
              <w:spacing w:after="0"/>
              <w:rPr>
                <w:sz w:val="20"/>
                <w:szCs w:val="20"/>
                <w:color w:val="auto"/>
              </w:rPr>
            </w:pPr>
            <w:r>
              <w:rPr>
                <w:rFonts w:ascii="Arial" w:cs="Arial" w:eastAsia="Arial" w:hAnsi="Arial"/>
                <w:sz w:val="19"/>
                <w:szCs w:val="19"/>
                <w:color w:val="auto"/>
              </w:rPr>
              <w:t>China route authority</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1,020</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1,020</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360" w:type="dxa"/>
            <w:vAlign w:val="bottom"/>
            <w:shd w:val="clear" w:color="auto" w:fill="E6E6E6"/>
          </w:tcPr>
          <w:p>
            <w:pPr>
              <w:ind w:left="540"/>
              <w:spacing w:after="0"/>
              <w:rPr>
                <w:sz w:val="20"/>
                <w:szCs w:val="20"/>
                <w:color w:val="auto"/>
              </w:rPr>
            </w:pPr>
            <w:r>
              <w:rPr>
                <w:rFonts w:ascii="Arial" w:cs="Arial" w:eastAsia="Arial" w:hAnsi="Arial"/>
                <w:sz w:val="19"/>
                <w:szCs w:val="19"/>
                <w:color w:val="auto"/>
              </w:rPr>
              <w:t>Airport slots</w:t>
            </w:r>
          </w:p>
        </w:tc>
        <w:tc>
          <w:tcPr>
            <w:tcW w:w="2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564</w:t>
            </w:r>
          </w:p>
        </w:tc>
        <w:tc>
          <w:tcPr>
            <w:tcW w:w="8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564</w:t>
            </w:r>
          </w:p>
        </w:tc>
        <w:tc>
          <w:tcPr>
            <w:tcW w:w="8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540"/>
              <w:spacing w:after="0"/>
              <w:rPr>
                <w:sz w:val="20"/>
                <w:szCs w:val="20"/>
                <w:color w:val="auto"/>
              </w:rPr>
            </w:pPr>
            <w:r>
              <w:rPr>
                <w:rFonts w:ascii="Arial" w:cs="Arial" w:eastAsia="Arial" w:hAnsi="Arial"/>
                <w:sz w:val="19"/>
                <w:szCs w:val="19"/>
                <w:color w:val="auto"/>
              </w:rPr>
              <w:t>Tradenames and logos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593</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593</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4360" w:type="dxa"/>
            <w:vAlign w:val="bottom"/>
            <w:tcBorders>
              <w:bottom w:val="single" w:sz="8" w:color="E6E6E6"/>
            </w:tcBorders>
            <w:shd w:val="clear" w:color="auto" w:fill="E6E6E6"/>
          </w:tcPr>
          <w:p>
            <w:pPr>
              <w:ind w:left="540"/>
              <w:spacing w:after="0"/>
              <w:rPr>
                <w:sz w:val="20"/>
                <w:szCs w:val="20"/>
                <w:color w:val="auto"/>
              </w:rPr>
            </w:pPr>
            <w:r>
              <w:rPr>
                <w:rFonts w:ascii="Arial" w:cs="Arial" w:eastAsia="Arial" w:hAnsi="Arial"/>
                <w:sz w:val="19"/>
                <w:szCs w:val="19"/>
                <w:color w:val="auto"/>
              </w:rPr>
              <w:t>Alliances</w:t>
            </w:r>
          </w:p>
        </w:tc>
        <w:tc>
          <w:tcPr>
            <w:tcW w:w="20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404</w:t>
            </w:r>
          </w:p>
        </w:tc>
        <w:tc>
          <w:tcPr>
            <w:tcW w:w="8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8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404</w:t>
            </w:r>
          </w:p>
        </w:tc>
        <w:tc>
          <w:tcPr>
            <w:tcW w:w="8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80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980"/>
              <w:spacing w:after="0"/>
              <w:rPr>
                <w:sz w:val="20"/>
                <w:szCs w:val="20"/>
                <w:color w:val="auto"/>
              </w:rPr>
            </w:pPr>
            <w:r>
              <w:rPr>
                <w:rFonts w:ascii="Arial" w:cs="Arial" w:eastAsia="Arial" w:hAnsi="Arial"/>
                <w:sz w:val="19"/>
                <w:szCs w:val="19"/>
                <w:color w:val="auto"/>
              </w:rPr>
              <w:t>Total</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2,581</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2,581</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360" w:type="dxa"/>
            <w:vAlign w:val="bottom"/>
            <w:tcBorders>
              <w:top w:val="single" w:sz="8" w:color="E6E6E6"/>
            </w:tcBorders>
            <w:shd w:val="clear" w:color="auto" w:fill="E6E6E6"/>
          </w:tcPr>
          <w:p>
            <w:pPr>
              <w:spacing w:after="0"/>
              <w:rPr>
                <w:sz w:val="22"/>
                <w:szCs w:val="22"/>
                <w:color w:val="auto"/>
              </w:rPr>
            </w:pPr>
          </w:p>
        </w:tc>
        <w:tc>
          <w:tcPr>
            <w:tcW w:w="200" w:type="dxa"/>
            <w:vAlign w:val="bottom"/>
            <w:tcBorders>
              <w:top w:val="single" w:sz="8" w:color="auto"/>
            </w:tcBorders>
            <w:shd w:val="clear" w:color="auto" w:fill="E6E6E6"/>
          </w:tcPr>
          <w:p>
            <w:pPr>
              <w:spacing w:after="0"/>
              <w:rPr>
                <w:sz w:val="22"/>
                <w:szCs w:val="22"/>
                <w:color w:val="auto"/>
              </w:rPr>
            </w:pPr>
          </w:p>
        </w:tc>
        <w:tc>
          <w:tcPr>
            <w:tcW w:w="1040" w:type="dxa"/>
            <w:vAlign w:val="bottom"/>
            <w:tcBorders>
              <w:top w:val="single" w:sz="8" w:color="auto"/>
            </w:tcBorders>
            <w:shd w:val="clear" w:color="auto" w:fill="E6E6E6"/>
          </w:tcPr>
          <w:p>
            <w:pPr>
              <w:spacing w:after="0"/>
              <w:rPr>
                <w:sz w:val="22"/>
                <w:szCs w:val="22"/>
                <w:color w:val="auto"/>
              </w:rPr>
            </w:pPr>
          </w:p>
        </w:tc>
        <w:tc>
          <w:tcPr>
            <w:tcW w:w="80" w:type="dxa"/>
            <w:vAlign w:val="bottom"/>
            <w:tcBorders>
              <w:top w:val="single" w:sz="8" w:color="E6E6E6"/>
            </w:tcBorders>
            <w:shd w:val="clear" w:color="auto" w:fill="E6E6E6"/>
          </w:tcPr>
          <w:p>
            <w:pPr>
              <w:spacing w:after="0"/>
              <w:rPr>
                <w:sz w:val="22"/>
                <w:szCs w:val="22"/>
                <w:color w:val="auto"/>
              </w:rPr>
            </w:pPr>
          </w:p>
        </w:tc>
        <w:tc>
          <w:tcPr>
            <w:tcW w:w="440" w:type="dxa"/>
            <w:vAlign w:val="bottom"/>
            <w:tcBorders>
              <w:top w:val="single" w:sz="8" w:color="E6E6E6"/>
            </w:tcBorders>
            <w:shd w:val="clear" w:color="auto" w:fill="E6E6E6"/>
          </w:tcPr>
          <w:p>
            <w:pPr>
              <w:spacing w:after="0"/>
              <w:rPr>
                <w:sz w:val="22"/>
                <w:szCs w:val="22"/>
                <w:color w:val="auto"/>
              </w:rPr>
            </w:pPr>
          </w:p>
        </w:tc>
        <w:tc>
          <w:tcPr>
            <w:tcW w:w="800" w:type="dxa"/>
            <w:vAlign w:val="bottom"/>
            <w:tcBorders>
              <w:top w:val="single" w:sz="8" w:color="E6E6E6"/>
            </w:tcBorders>
            <w:shd w:val="clear" w:color="auto" w:fill="E6E6E6"/>
          </w:tcPr>
          <w:p>
            <w:pPr>
              <w:spacing w:after="0"/>
              <w:rPr>
                <w:sz w:val="22"/>
                <w:szCs w:val="22"/>
                <w:color w:val="auto"/>
              </w:rPr>
            </w:pPr>
          </w:p>
        </w:tc>
        <w:tc>
          <w:tcPr>
            <w:tcW w:w="60" w:type="dxa"/>
            <w:vAlign w:val="bottom"/>
            <w:tcBorders>
              <w:top w:val="single" w:sz="8" w:color="E6E6E6"/>
            </w:tcBorders>
            <w:shd w:val="clear" w:color="auto" w:fill="E6E6E6"/>
          </w:tcPr>
          <w:p>
            <w:pPr>
              <w:spacing w:after="0"/>
              <w:rPr>
                <w:sz w:val="22"/>
                <w:szCs w:val="22"/>
                <w:color w:val="auto"/>
              </w:rPr>
            </w:pPr>
          </w:p>
        </w:tc>
        <w:tc>
          <w:tcPr>
            <w:tcW w:w="200" w:type="dxa"/>
            <w:vAlign w:val="bottom"/>
            <w:tcBorders>
              <w:top w:val="single" w:sz="8" w:color="auto"/>
            </w:tcBorders>
            <w:shd w:val="clear" w:color="auto" w:fill="E6E6E6"/>
          </w:tcPr>
          <w:p>
            <w:pPr>
              <w:spacing w:after="0"/>
              <w:rPr>
                <w:sz w:val="22"/>
                <w:szCs w:val="22"/>
                <w:color w:val="auto"/>
              </w:rPr>
            </w:pPr>
          </w:p>
        </w:tc>
        <w:tc>
          <w:tcPr>
            <w:tcW w:w="1040" w:type="dxa"/>
            <w:vAlign w:val="bottom"/>
            <w:tcBorders>
              <w:top w:val="single" w:sz="8" w:color="auto"/>
            </w:tcBorders>
            <w:shd w:val="clear" w:color="auto" w:fill="E6E6E6"/>
          </w:tcPr>
          <w:p>
            <w:pPr>
              <w:spacing w:after="0"/>
              <w:rPr>
                <w:sz w:val="22"/>
                <w:szCs w:val="22"/>
                <w:color w:val="auto"/>
              </w:rPr>
            </w:pPr>
          </w:p>
        </w:tc>
        <w:tc>
          <w:tcPr>
            <w:tcW w:w="80" w:type="dxa"/>
            <w:vAlign w:val="bottom"/>
            <w:tcBorders>
              <w:top w:val="single" w:sz="8" w:color="E6E6E6"/>
            </w:tcBorders>
            <w:shd w:val="clear" w:color="auto" w:fill="E6E6E6"/>
          </w:tcPr>
          <w:p>
            <w:pPr>
              <w:spacing w:after="0"/>
              <w:rPr>
                <w:sz w:val="22"/>
                <w:szCs w:val="22"/>
                <w:color w:val="auto"/>
              </w:rPr>
            </w:pPr>
          </w:p>
        </w:tc>
        <w:tc>
          <w:tcPr>
            <w:tcW w:w="440" w:type="dxa"/>
            <w:vAlign w:val="bottom"/>
            <w:tcBorders>
              <w:top w:val="single" w:sz="8" w:color="E6E6E6"/>
            </w:tcBorders>
            <w:shd w:val="clear" w:color="auto" w:fill="E6E6E6"/>
          </w:tcPr>
          <w:p>
            <w:pPr>
              <w:spacing w:after="0"/>
              <w:rPr>
                <w:sz w:val="22"/>
                <w:szCs w:val="22"/>
                <w:color w:val="auto"/>
              </w:rPr>
            </w:pPr>
          </w:p>
        </w:tc>
        <w:tc>
          <w:tcPr>
            <w:tcW w:w="800" w:type="dxa"/>
            <w:vAlign w:val="bottom"/>
            <w:tcBorders>
              <w:top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360" w:type="dxa"/>
            <w:vAlign w:val="bottom"/>
          </w:tcPr>
          <w:p>
            <w:pPr>
              <w:ind w:left="60"/>
              <w:spacing w:after="0"/>
              <w:rPr>
                <w:sz w:val="20"/>
                <w:szCs w:val="20"/>
                <w:color w:val="auto"/>
              </w:rPr>
            </w:pPr>
            <w:r>
              <w:rPr>
                <w:rFonts w:ascii="Arial" w:cs="Arial" w:eastAsia="Arial" w:hAnsi="Arial"/>
                <w:sz w:val="19"/>
                <w:szCs w:val="19"/>
                <w:color w:val="auto"/>
              </w:rPr>
              <w:t>Finite-lived intangible assets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360" w:type="dxa"/>
            <w:vAlign w:val="bottom"/>
            <w:tcBorders>
              <w:bottom w:val="single" w:sz="8" w:color="E6E6E6"/>
            </w:tcBorders>
            <w:shd w:val="clear" w:color="auto" w:fill="E6E6E6"/>
          </w:tcPr>
          <w:p>
            <w:pPr>
              <w:ind w:left="540"/>
              <w:spacing w:after="0"/>
              <w:rPr>
                <w:sz w:val="20"/>
                <w:szCs w:val="20"/>
                <w:color w:val="auto"/>
              </w:rPr>
            </w:pPr>
            <w:r>
              <w:rPr>
                <w:rFonts w:ascii="Arial" w:cs="Arial" w:eastAsia="Arial" w:hAnsi="Arial"/>
                <w:sz w:val="19"/>
                <w:szCs w:val="19"/>
                <w:color w:val="auto"/>
              </w:rPr>
              <w:t>Frequent flyer database</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1,177</w:t>
            </w:r>
          </w:p>
        </w:tc>
        <w:tc>
          <w:tcPr>
            <w:tcW w:w="520" w:type="dxa"/>
            <w:vAlign w:val="bottom"/>
            <w:tcBorders>
              <w:bottom w:val="single" w:sz="8" w:color="E6E6E6"/>
            </w:tcBorders>
            <w:gridSpan w:val="2"/>
            <w:shd w:val="clear" w:color="auto" w:fill="E6E6E6"/>
          </w:tcPr>
          <w:p>
            <w:pPr>
              <w:ind w:left="120"/>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1,112</w:t>
            </w:r>
          </w:p>
        </w:tc>
        <w:tc>
          <w:tcPr>
            <w:tcW w:w="260" w:type="dxa"/>
            <w:vAlign w:val="bottom"/>
            <w:tcBorders>
              <w:bottom w:val="single" w:sz="8" w:color="E6E6E6"/>
            </w:tcBorders>
            <w:gridSpan w:val="2"/>
            <w:shd w:val="clear" w:color="auto" w:fill="E6E6E6"/>
          </w:tcPr>
          <w:p>
            <w:pPr>
              <w:jc w:val="right"/>
              <w:ind w:right="40"/>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1,177</w:t>
            </w:r>
          </w:p>
        </w:tc>
        <w:tc>
          <w:tcPr>
            <w:tcW w:w="520" w:type="dxa"/>
            <w:vAlign w:val="bottom"/>
            <w:tcBorders>
              <w:bottom w:val="single" w:sz="8" w:color="E6E6E6"/>
            </w:tcBorders>
            <w:gridSpan w:val="2"/>
            <w:shd w:val="clear" w:color="auto" w:fill="E6E6E6"/>
          </w:tcPr>
          <w:p>
            <w:pPr>
              <w:ind w:left="120"/>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1,092</w:t>
            </w:r>
          </w:p>
        </w:tc>
        <w:tc>
          <w:tcPr>
            <w:tcW w:w="0" w:type="dxa"/>
            <w:vAlign w:val="bottom"/>
          </w:tcPr>
          <w:p>
            <w:pPr>
              <w:spacing w:after="0"/>
              <w:rPr>
                <w:sz w:val="1"/>
                <w:szCs w:val="1"/>
                <w:color w:val="auto"/>
              </w:rPr>
            </w:pPr>
          </w:p>
        </w:tc>
      </w:tr>
      <w:tr>
        <w:trPr>
          <w:trHeight w:val="270"/>
        </w:trPr>
        <w:tc>
          <w:tcPr>
            <w:tcW w:w="4360" w:type="dxa"/>
            <w:vAlign w:val="bottom"/>
          </w:tcPr>
          <w:p>
            <w:pPr>
              <w:ind w:left="540"/>
              <w:spacing w:after="0"/>
              <w:rPr>
                <w:sz w:val="20"/>
                <w:szCs w:val="20"/>
                <w:color w:val="auto"/>
              </w:rPr>
            </w:pPr>
            <w:r>
              <w:rPr>
                <w:rFonts w:ascii="Arial" w:cs="Arial" w:eastAsia="Arial" w:hAnsi="Arial"/>
                <w:sz w:val="19"/>
                <w:szCs w:val="19"/>
                <w:color w:val="auto"/>
              </w:rPr>
              <w:t>Hubs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145</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144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145</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138</w:t>
            </w:r>
          </w:p>
        </w:tc>
        <w:tc>
          <w:tcPr>
            <w:tcW w:w="0" w:type="dxa"/>
            <w:vAlign w:val="bottom"/>
          </w:tcPr>
          <w:p>
            <w:pPr>
              <w:spacing w:after="0"/>
              <w:rPr>
                <w:sz w:val="1"/>
                <w:szCs w:val="1"/>
                <w:color w:val="auto"/>
              </w:rPr>
            </w:pPr>
          </w:p>
        </w:tc>
      </w:tr>
      <w:tr>
        <w:trPr>
          <w:trHeight w:val="292"/>
        </w:trPr>
        <w:tc>
          <w:tcPr>
            <w:tcW w:w="4360" w:type="dxa"/>
            <w:vAlign w:val="bottom"/>
            <w:tcBorders>
              <w:bottom w:val="single" w:sz="8" w:color="E6E6E6"/>
            </w:tcBorders>
            <w:shd w:val="clear" w:color="auto" w:fill="E6E6E6"/>
          </w:tcPr>
          <w:p>
            <w:pPr>
              <w:ind w:left="540"/>
              <w:spacing w:after="0"/>
              <w:rPr>
                <w:sz w:val="20"/>
                <w:szCs w:val="20"/>
                <w:color w:val="auto"/>
              </w:rPr>
            </w:pPr>
            <w:r>
              <w:rPr>
                <w:rFonts w:ascii="Arial" w:cs="Arial" w:eastAsia="Arial" w:hAnsi="Arial"/>
                <w:sz w:val="19"/>
                <w:szCs w:val="19"/>
                <w:color w:val="auto"/>
              </w:rPr>
              <w:t>Other</w:t>
            </w:r>
          </w:p>
        </w:tc>
        <w:tc>
          <w:tcPr>
            <w:tcW w:w="20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143</w:t>
            </w:r>
          </w:p>
        </w:tc>
        <w:tc>
          <w:tcPr>
            <w:tcW w:w="8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134</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143</w:t>
            </w:r>
          </w:p>
        </w:tc>
        <w:tc>
          <w:tcPr>
            <w:tcW w:w="8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133</w:t>
            </w:r>
          </w:p>
        </w:tc>
        <w:tc>
          <w:tcPr>
            <w:tcW w:w="0" w:type="dxa"/>
            <w:vAlign w:val="bottom"/>
          </w:tcPr>
          <w:p>
            <w:pPr>
              <w:spacing w:after="0"/>
              <w:rPr>
                <w:sz w:val="1"/>
                <w:szCs w:val="1"/>
                <w:color w:val="auto"/>
              </w:rPr>
            </w:pPr>
          </w:p>
        </w:tc>
      </w:tr>
      <w:tr>
        <w:trPr>
          <w:trHeight w:val="219"/>
        </w:trPr>
        <w:tc>
          <w:tcPr>
            <w:tcW w:w="4360" w:type="dxa"/>
            <w:vAlign w:val="bottom"/>
          </w:tcPr>
          <w:p>
            <w:pPr>
              <w:ind w:left="980"/>
              <w:spacing w:after="0"/>
              <w:rPr>
                <w:sz w:val="20"/>
                <w:szCs w:val="20"/>
                <w:color w:val="auto"/>
              </w:rPr>
            </w:pPr>
            <w:r>
              <w:rPr>
                <w:rFonts w:ascii="Arial" w:cs="Arial" w:eastAsia="Arial" w:hAnsi="Arial"/>
                <w:sz w:val="19"/>
                <w:szCs w:val="19"/>
                <w:color w:val="auto"/>
              </w:rPr>
              <w:t>Total</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1,465</w:t>
            </w:r>
          </w:p>
        </w:tc>
        <w:tc>
          <w:tcPr>
            <w:tcW w:w="5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1,391</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1,465</w:t>
            </w:r>
          </w:p>
        </w:tc>
        <w:tc>
          <w:tcPr>
            <w:tcW w:w="5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1,363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-2442210</wp:posOffset>
            </wp:positionV>
            <wp:extent cx="33058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27">
                      <a:extLst>
                        <a:ext uri="{28A0092B-C50C-407E-A947-70E740481C1C}"/>
                      </a:extLst>
                    </a:blip>
                    <a:srcRect/>
                    <a:stretch>
                      <a:fillRect/>
                    </a:stretch>
                  </pic:blipFill>
                  <pic:spPr bwMode="auto">
                    <a:xfrm>
                      <a:off x="0" y="0"/>
                      <a:ext cx="3305810" cy="25400"/>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-2279015</wp:posOffset>
            </wp:positionV>
            <wp:extent cx="810895" cy="501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28">
                      <a:extLst>
                        <a:ext uri="{28A0092B-C50C-407E-A947-70E740481C1C}"/>
                      </a:extLst>
                    </a:blip>
                    <a:srcRect/>
                    <a:stretch>
                      <a:fillRect/>
                    </a:stretch>
                  </pic:blipFill>
                  <pic:spPr bwMode="auto">
                    <a:xfrm>
                      <a:off x="0" y="0"/>
                      <a:ext cx="810895" cy="50165"/>
                    </a:xfrm>
                    <a:prstGeom prst="rect">
                      <a:avLst/>
                    </a:prstGeom>
                    <a:noFill/>
                  </pic:spPr>
                </pic:pic>
              </a:graphicData>
            </a:graphic>
          </wp:anchor>
        </w:drawing>
        <w:drawing>
          <wp:anchor simplePos="0" relativeHeight="251657728" behindDoc="1" locked="0" layoutInCell="0" allowOverlap="1">
            <wp:simplePos x="0" y="0"/>
            <wp:positionH relativeFrom="column">
              <wp:posOffset>4424680</wp:posOffset>
            </wp:positionH>
            <wp:positionV relativeFrom="paragraph">
              <wp:posOffset>-2279015</wp:posOffset>
            </wp:positionV>
            <wp:extent cx="810895" cy="501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29">
                      <a:extLst>
                        <a:ext uri="{28A0092B-C50C-407E-A947-70E740481C1C}"/>
                      </a:extLst>
                    </a:blip>
                    <a:srcRect/>
                    <a:stretch>
                      <a:fillRect/>
                    </a:stretch>
                  </pic:blipFill>
                  <pic:spPr bwMode="auto">
                    <a:xfrm>
                      <a:off x="0" y="0"/>
                      <a:ext cx="810895" cy="50165"/>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-1268730</wp:posOffset>
            </wp:positionV>
            <wp:extent cx="81089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30">
                      <a:extLst>
                        <a:ext uri="{28A0092B-C50C-407E-A947-70E740481C1C}"/>
                      </a:extLst>
                    </a:blip>
                    <a:srcRect/>
                    <a:stretch>
                      <a:fillRect/>
                    </a:stretch>
                  </pic:blipFill>
                  <pic:spPr bwMode="auto">
                    <a:xfrm>
                      <a:off x="0" y="0"/>
                      <a:ext cx="810895" cy="25400"/>
                    </a:xfrm>
                    <a:prstGeom prst="rect">
                      <a:avLst/>
                    </a:prstGeom>
                    <a:noFill/>
                  </pic:spPr>
                </pic:pic>
              </a:graphicData>
            </a:graphic>
          </wp:anchor>
        </w:drawing>
        <w:drawing>
          <wp:anchor simplePos="0" relativeHeight="251657728" behindDoc="1" locked="0" layoutInCell="0" allowOverlap="1">
            <wp:simplePos x="0" y="0"/>
            <wp:positionH relativeFrom="column">
              <wp:posOffset>4424680</wp:posOffset>
            </wp:positionH>
            <wp:positionV relativeFrom="paragraph">
              <wp:posOffset>-1268730</wp:posOffset>
            </wp:positionV>
            <wp:extent cx="81089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1">
                      <a:extLst>
                        <a:ext uri="{28A0092B-C50C-407E-A947-70E740481C1C}"/>
                      </a:extLst>
                    </a:blip>
                    <a:srcRect/>
                    <a:stretch>
                      <a:fillRect/>
                    </a:stretch>
                  </pic:blipFill>
                  <pic:spPr bwMode="auto">
                    <a:xfrm>
                      <a:off x="0" y="0"/>
                      <a:ext cx="810895" cy="25400"/>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-1105535</wp:posOffset>
            </wp:positionV>
            <wp:extent cx="810895" cy="501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32">
                      <a:extLst>
                        <a:ext uri="{28A0092B-C50C-407E-A947-70E740481C1C}"/>
                      </a:extLst>
                    </a:blip>
                    <a:srcRect/>
                    <a:stretch>
                      <a:fillRect/>
                    </a:stretch>
                  </pic:blipFill>
                  <pic:spPr bwMode="auto">
                    <a:xfrm>
                      <a:off x="0" y="0"/>
                      <a:ext cx="810895" cy="50165"/>
                    </a:xfrm>
                    <a:prstGeom prst="rect">
                      <a:avLst/>
                    </a:prstGeom>
                    <a:noFill/>
                  </pic:spPr>
                </pic:pic>
              </a:graphicData>
            </a:graphic>
          </wp:anchor>
        </w:drawing>
        <w:drawing>
          <wp:anchor simplePos="0" relativeHeight="251657728" behindDoc="1" locked="0" layoutInCell="0" allowOverlap="1">
            <wp:simplePos x="0" y="0"/>
            <wp:positionH relativeFrom="column">
              <wp:posOffset>4424680</wp:posOffset>
            </wp:positionH>
            <wp:positionV relativeFrom="paragraph">
              <wp:posOffset>-1105535</wp:posOffset>
            </wp:positionV>
            <wp:extent cx="810895" cy="501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3">
                      <a:extLst>
                        <a:ext uri="{28A0092B-C50C-407E-A947-70E740481C1C}"/>
                      </a:extLst>
                    </a:blip>
                    <a:srcRect/>
                    <a:stretch>
                      <a:fillRect/>
                    </a:stretch>
                  </pic:blipFill>
                  <pic:spPr bwMode="auto">
                    <a:xfrm>
                      <a:off x="0" y="0"/>
                      <a:ext cx="810895" cy="50165"/>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-206375</wp:posOffset>
            </wp:positionV>
            <wp:extent cx="33058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4">
                      <a:extLst>
                        <a:ext uri="{28A0092B-C50C-407E-A947-70E740481C1C}"/>
                      </a:extLst>
                    </a:blip>
                    <a:srcRect/>
                    <a:stretch>
                      <a:fillRect/>
                    </a:stretch>
                  </pic:blipFill>
                  <pic:spPr bwMode="auto">
                    <a:xfrm>
                      <a:off x="0" y="0"/>
                      <a:ext cx="3305810" cy="25400"/>
                    </a:xfrm>
                    <a:prstGeom prst="rect">
                      <a:avLst/>
                    </a:prstGeom>
                    <a:noFill/>
                  </pic:spPr>
                </pic:pic>
              </a:graphicData>
            </a:graphic>
          </wp:anchor>
        </w:drawing>
      </w:r>
    </w:p>
    <w:p>
      <w:pPr>
        <w:spacing w:after="0" w:line="65"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Amortization expense in 2025, 2024 and 2023 was $28 million, $32 million and $37 million, respectively. Projected amortization expense in 2026, 2027, 2028, 2029 and 2030 is $18 million, $11 million, $10 million, $8 million and $7 million, respectively.</w:t>
      </w:r>
    </w:p>
    <w:p>
      <w:pPr>
        <w:spacing w:after="0" w:line="122"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b w:val="1"/>
          <w:bCs w:val="1"/>
          <w:i w:val="1"/>
          <w:iCs w:val="1"/>
          <w:color w:val="auto"/>
        </w:rPr>
        <w:t xml:space="preserve">Labor Costs. </w:t>
      </w:r>
      <w:r>
        <w:rPr>
          <w:rFonts w:ascii="Arial" w:cs="Arial" w:eastAsia="Arial" w:hAnsi="Arial"/>
          <w:sz w:val="18"/>
          <w:szCs w:val="18"/>
          <w:color w:val="auto"/>
        </w:rPr>
        <w:t>The Company records expenses associated with new or amendable labor agreements when the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probable and estimable. These expenses could include costs associated with retro-active lump sum cash payments made in conjunction with the ratification of labor agreements. To the extent these upfront costs are in lieu of future pay increases, they would be capitalized and amortized over the term of the labor agreements. If not, these amounts would be expensed. See Notes 12 and 13 of this report for additional information related to labor agreements.</w:t>
      </w:r>
    </w:p>
    <w:p>
      <w:pPr>
        <w:spacing w:after="0" w:line="1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The Company measures the cost of employee services received in exchange for an award of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 based on the grant date fair value of the award. The resulting cost is recognized over the period during which an employee is required to provide service in exchange for the award, which is usually the vesting period. Obligations for cash-settled restricted stock units ("RSUs") are remeasured at fair value throughout the requisite service period at the close of the reporting period based upon UAL's stock price. In addition to the service requirement, certain RSUs have performance metrics that must be achieved prior to vesting. These awards are accrued based on the expected level of achievement at each reporting period. An adjustment is recorded each reporting period to adjust compensation expense based on the then current level of expected performance achievement for the performance-based awards. See Note 5 of this report for additional information on UAL's share-based compensation plans.</w:t>
      </w:r>
    </w:p>
    <w:p>
      <w:pPr>
        <w:spacing w:after="0" w:line="120"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i w:val="1"/>
          <w:iCs w:val="1"/>
          <w:color w:val="auto"/>
        </w:rPr>
        <w:t>Maintenance and Repairs</w:t>
      </w:r>
      <w:r>
        <w:rPr>
          <w:rFonts w:ascii="Arial" w:cs="Arial" w:eastAsia="Arial" w:hAnsi="Arial"/>
          <w:sz w:val="19"/>
          <w:szCs w:val="19"/>
          <w:color w:val="auto"/>
        </w:rPr>
        <w:t>. The cost of maintenance and repairs, including the cost of minor replacements, is charged to expense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incurred, except for costs incurred under the Company's power-by-the-hour ("PBTH") engine maintenance agreements. PBTH contracts transfer certain risk to third-party service providers and fix the amount we pay per flight hour or per cycle to the service provider in exchange for maintenance and repairs under a predefined maintenance program. Under PBTH agreements, the Company recognizes expense at a level rate per engine hour, unless the level of service effort and the related payments during the period are substantially consistent, in which case the Company recognizes expense based on the amounts paid.</w:t>
      </w:r>
    </w:p>
    <w:p>
      <w:pPr>
        <w:spacing w:after="0" w:line="135" w:lineRule="exact"/>
        <w:rPr>
          <w:sz w:val="20"/>
          <w:szCs w:val="20"/>
          <w:color w:val="auto"/>
        </w:rPr>
      </w:pPr>
    </w:p>
    <w:p>
      <w:pPr>
        <w:ind w:right="40"/>
        <w:spacing w:after="0" w:line="360" w:lineRule="auto"/>
        <w:rPr>
          <w:sz w:val="20"/>
          <w:szCs w:val="20"/>
          <w:color w:val="auto"/>
        </w:rPr>
      </w:pPr>
      <w:r>
        <w:rPr>
          <w:rFonts w:ascii="Arial" w:cs="Arial" w:eastAsia="Arial" w:hAnsi="Arial"/>
          <w:sz w:val="17"/>
          <w:szCs w:val="17"/>
          <w:b w:val="1"/>
          <w:bCs w:val="1"/>
          <w:i w:val="1"/>
          <w:iCs w:val="1"/>
          <w:color w:val="auto"/>
        </w:rPr>
        <w:t xml:space="preserve">Advertising. </w:t>
      </w:r>
      <w:r>
        <w:rPr>
          <w:rFonts w:ascii="Arial" w:cs="Arial" w:eastAsia="Arial" w:hAnsi="Arial"/>
          <w:sz w:val="17"/>
          <w:szCs w:val="17"/>
          <w:color w:val="auto"/>
        </w:rPr>
        <w:t>Advertising costs, which are included in Other operating expenses, are expensed as incurred. Advertising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were $250 million, $235 million and $221 million for the years ended December 31, 2025, 2024 and 2023, respectively.</w:t>
      </w:r>
    </w:p>
    <w:p>
      <w:pPr>
        <w:spacing w:after="0" w:line="54" w:lineRule="exact"/>
        <w:rPr>
          <w:sz w:val="20"/>
          <w:szCs w:val="20"/>
          <w:color w:val="auto"/>
        </w:rPr>
      </w:pPr>
    </w:p>
    <w:p>
      <w:pPr>
        <w:ind w:right="240"/>
        <w:spacing w:after="0" w:line="269" w:lineRule="auto"/>
        <w:rPr>
          <w:sz w:val="20"/>
          <w:szCs w:val="20"/>
          <w:color w:val="auto"/>
        </w:rPr>
      </w:pPr>
      <w:r>
        <w:rPr>
          <w:rFonts w:ascii="Arial" w:cs="Arial" w:eastAsia="Arial" w:hAnsi="Arial"/>
          <w:sz w:val="19"/>
          <w:szCs w:val="19"/>
          <w:b w:val="1"/>
          <w:bCs w:val="1"/>
          <w:i w:val="1"/>
          <w:iCs w:val="1"/>
          <w:color w:val="auto"/>
        </w:rPr>
        <w:t xml:space="preserve">Third-Party Business. </w:t>
      </w:r>
      <w:r>
        <w:rPr>
          <w:rFonts w:ascii="Arial" w:cs="Arial" w:eastAsia="Arial" w:hAnsi="Arial"/>
          <w:sz w:val="19"/>
          <w:szCs w:val="19"/>
          <w:color w:val="auto"/>
        </w:rPr>
        <w:t>The Company has third-party business activity that includes ground handling, maintenance services,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flight academy and frequent flyer award non-travel redemptions. Third-party business revenue is recorded in Other operating revenue. Expenses associated with these third-party business activities are recorded in Other operating expenses, except for non-travel mileage redemptions which are recorded to Other operating revenue.</w:t>
      </w:r>
    </w:p>
    <w:p>
      <w:pPr>
        <w:sectPr>
          <w:pgSz w:w="11880" w:h="15480" w:orient="portrait"/>
          <w:cols w:equalWidth="0" w:num="1">
            <w:col w:w="9940"/>
          </w:cols>
          <w:pgMar w:left="960" w:top="586"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9940"/>
          </w:cols>
          <w:pgMar w:left="960" w:top="586" w:right="980" w:bottom="33" w:gutter="0" w:footer="0" w:header="0"/>
          <w:type w:val="continuous"/>
        </w:sectPr>
      </w:pPr>
    </w:p>
    <w:bookmarkStart w:id="71" w:name="page72"/>
    <w:bookmarkEnd w:id="71"/>
    <w:p>
      <w:pPr>
        <w:ind w:right="20"/>
        <w:spacing w:after="0" w:line="276" w:lineRule="auto"/>
        <w:rPr>
          <w:sz w:val="20"/>
          <w:szCs w:val="20"/>
          <w:color w:val="auto"/>
        </w:rPr>
      </w:pPr>
      <w:r>
        <w:rPr>
          <w:rFonts w:ascii="Arial" w:cs="Arial" w:eastAsia="Arial" w:hAnsi="Arial"/>
          <w:sz w:val="18"/>
          <w:szCs w:val="18"/>
          <w:b w:val="1"/>
          <w:bCs w:val="1"/>
          <w:i w:val="1"/>
          <w:iCs w:val="1"/>
          <w:color w:val="auto"/>
        </w:rPr>
        <w:t xml:space="preserve">Uncertain Income Tax Positions. </w:t>
      </w:r>
      <w:r>
        <w:rPr>
          <w:rFonts w:ascii="Arial" w:cs="Arial" w:eastAsia="Arial" w:hAnsi="Arial"/>
          <w:sz w:val="18"/>
          <w:szCs w:val="18"/>
          <w:color w:val="auto"/>
        </w:rPr>
        <w:t>The Company has recorded reserves for income taxes and associated interest that may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in future years. Although management believes that its positions taken on income tax matters are reasonable, the Company nevertheless established tax and interest reserves in recognition that various taxing authorities may challenge certain of the positions taken by the Company, potentially resulting in additional liabilities for taxes and interest. The Company's uncertain tax position reserves are reviewed periodically and are adjusted as events occur that affect its estimates, such as the availability of new information, the lapsing of applicable statutes of limitation, the conclusion of tax audits, the measurement of additional estimated liability, the identification of new tax matters, the release of administrative tax guidance affecting its estimates of tax liabilities, or the rendering of relevant court decisions. The Company records penalties and interest relating to uncertain tax positions as part of income tax expense in its statements of consolidated operations. See Note 7 of this report for additional information on UAL's uncertain tax positions.</w:t>
      </w:r>
    </w:p>
    <w:p>
      <w:pPr>
        <w:spacing w:after="0" w:line="123"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b w:val="1"/>
          <w:bCs w:val="1"/>
          <w:i w:val="1"/>
          <w:iCs w:val="1"/>
          <w:color w:val="auto"/>
        </w:rPr>
        <w:t xml:space="preserve">Fair Value Measurements. </w:t>
      </w:r>
      <w:r>
        <w:rPr>
          <w:rFonts w:ascii="Arial" w:cs="Arial" w:eastAsia="Arial" w:hAnsi="Arial"/>
          <w:sz w:val="19"/>
          <w:szCs w:val="19"/>
          <w:color w:val="auto"/>
        </w:rPr>
        <w:t>The Company measures certain financial assets and liabilities at fair value on a recurring basis,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certain non-financial assets and liabilities on a nonrecurring basis. The Company uses valuation techniques to measure fair value that maximize the use of observable inputs and minimize the use of unobservable inputs. These inputs are prioritized as follows:</w:t>
      </w:r>
    </w:p>
    <w:p>
      <w:pPr>
        <w:spacing w:after="0" w:line="52" w:lineRule="exact"/>
        <w:rPr>
          <w:sz w:val="20"/>
          <w:szCs w:val="20"/>
          <w:color w:val="auto"/>
        </w:rPr>
      </w:pPr>
    </w:p>
    <w:p>
      <w:pPr>
        <w:ind w:left="700" w:right="400" w:hanging="173"/>
        <w:spacing w:after="0" w:line="255"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Level 1 - Unadjusted quoted prices in active markets for assets or liabilities identical to those to be reported at fair value</w:t>
      </w:r>
    </w:p>
    <w:p>
      <w:pPr>
        <w:spacing w:after="0" w:line="1" w:lineRule="exact"/>
        <w:rPr>
          <w:rFonts w:ascii="Arial" w:cs="Arial" w:eastAsia="Arial" w:hAnsi="Arial"/>
          <w:sz w:val="19"/>
          <w:szCs w:val="19"/>
          <w:color w:val="auto"/>
        </w:rPr>
      </w:pPr>
    </w:p>
    <w:p>
      <w:pPr>
        <w:ind w:left="700" w:right="100" w:hanging="173"/>
        <w:spacing w:after="0" w:line="255"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Level 2 - Other inputs that are observable directly or indirectly, such as quoted prices for similar assets or liabilities or market-corroborated inputs</w:t>
      </w:r>
    </w:p>
    <w:p>
      <w:pPr>
        <w:spacing w:after="0" w:line="1" w:lineRule="exact"/>
        <w:rPr>
          <w:rFonts w:ascii="Arial" w:cs="Arial" w:eastAsia="Arial" w:hAnsi="Arial"/>
          <w:sz w:val="19"/>
          <w:szCs w:val="19"/>
          <w:color w:val="auto"/>
        </w:rPr>
      </w:pPr>
    </w:p>
    <w:p>
      <w:pPr>
        <w:ind w:left="700" w:right="460" w:hanging="173"/>
        <w:spacing w:after="0" w:line="294"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Level 3 - Unobservable inputs for which there is little or no market data and which require us to develop our own assumptions about how market participants would price the assets or liabilities.</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Recently Issued Accounting Standards</w:t>
      </w:r>
    </w:p>
    <w:p>
      <w:pPr>
        <w:spacing w:after="0" w:line="193"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b w:val="1"/>
          <w:bCs w:val="1"/>
          <w:i w:val="1"/>
          <w:iCs w:val="1"/>
          <w:color w:val="auto"/>
        </w:rPr>
        <w:t xml:space="preserve">Income Taxes. </w:t>
      </w:r>
      <w:r>
        <w:rPr>
          <w:rFonts w:ascii="Arial" w:cs="Arial" w:eastAsia="Arial" w:hAnsi="Arial"/>
          <w:sz w:val="19"/>
          <w:szCs w:val="19"/>
          <w:color w:val="auto"/>
        </w:rPr>
        <w:t>In December 2023, the Financial Accounting Standards Board ("FASB") issued Accounting Standards Update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("ASU") No. 2023-09, "Income Taxes (Topic 740): Improvements to Income Tax Disclosures." This ASU enhances disclosures related to income taxes, including the rate reconciliation and information on income taxes paid. The Company adopted the standard beginning with our annual reporting for fiscal year 2025. The adoption resulted in incremental disclosures. See Note 7 of this report for these disclosures.</w:t>
      </w:r>
    </w:p>
    <w:p>
      <w:pPr>
        <w:spacing w:after="0" w:line="12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Internal-Use Software. </w:t>
      </w:r>
      <w:r>
        <w:rPr>
          <w:rFonts w:ascii="Arial" w:cs="Arial" w:eastAsia="Arial" w:hAnsi="Arial"/>
          <w:sz w:val="18"/>
          <w:szCs w:val="18"/>
          <w:color w:val="auto"/>
        </w:rPr>
        <w:t>In September 2025, the FASB issued ASU No. 2025-06, "Intangibles—Goodwill and Other—Internal-Use Software (Subtopic 350-40)." The guidance removes all references to project stages throughout ASC 350-40 and clarifies the threshold entities apply to begin capitalizing costs. This guidance requires internal-use software development cost capitalization to begin when both of the following occur: management has authorized and committed to funding the software project and, it is probable the project will be completed and the software will be used to perform its intended function. The guidance is effective for the Company for annual and interim reporting periods beginning January 1, 2028; early adoption is permitted. The Company early adopted this ASU on January 1, 2026, using the prospective transition approach, which applies this guidance to new software costs incurred starting on the adoption date. The adoption will not have a material impact on the Company's consolidated financial statements.</w:t>
      </w:r>
    </w:p>
    <w:p>
      <w:pPr>
        <w:spacing w:after="0" w:line="120"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b w:val="1"/>
          <w:bCs w:val="1"/>
          <w:i w:val="1"/>
          <w:iCs w:val="1"/>
          <w:color w:val="auto"/>
        </w:rPr>
        <w:t xml:space="preserve">Expense Disaggregation Disclosures. </w:t>
      </w:r>
      <w:r>
        <w:rPr>
          <w:rFonts w:ascii="Arial" w:cs="Arial" w:eastAsia="Arial" w:hAnsi="Arial"/>
          <w:sz w:val="18"/>
          <w:szCs w:val="18"/>
          <w:color w:val="auto"/>
        </w:rPr>
        <w:t>In November 2024, the FASB issued ASU No. 2024-03, "Income Statement—Reporting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Comprehensive Income—Expense Disaggregation Disclosures (Subtopic 220-40): Disaggregation of Income Statement Expenses." This ASU requires disclosing disaggregated information about certain income statement expense captions but does not change the presentation of expense information or expense captions reported on the face of the income statement. This ASU is effective for the Company for annual reporting periods beginning January 1, 2027 and interim reporting periods beginning January 1, 2028; early adoption is permitted. The Company is assessing the impact of this ASU and upon adoption may be required to include certain additional disclosures.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2 - REVENUE RECOGNITION</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Passenger Revenue. </w:t>
      </w:r>
      <w:r>
        <w:rPr>
          <w:rFonts w:ascii="Arial" w:cs="Arial" w:eastAsia="Arial" w:hAnsi="Arial"/>
          <w:sz w:val="19"/>
          <w:szCs w:val="19"/>
          <w:color w:val="auto"/>
        </w:rPr>
        <w:t>Passenger revenue is recognized when transportation is provided.</w:t>
      </w:r>
    </w:p>
    <w:p>
      <w:pPr>
        <w:spacing w:after="0" w:line="194"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Passenger tickets and related ancillary services sold by the Company for flights are purchased primarily via credit card transactions, with payments collected by the Company in advance of the performance of related services. The Company initially records ticket sales in its Advance ticket sales liability, deferring revenue recognition until the travel occurs. For travel that has more than one flight segment, the Company deems each segment as a separate performance obligation and recognizes revenue for each segment as travel occurs. Tickets sold by other airlines where the Company provides the transportation are recognized as passenger revenue at the estimated value to be billed to the other airline when travel is provided. Differences between amounts billed and the actual amounts may be rejected and rebilled or written off if the amount recorded was different from the</w:t>
      </w:r>
    </w:p>
    <w:p>
      <w:pPr>
        <w:sectPr>
          <w:pgSz w:w="11880" w:h="15480" w:orient="portrait"/>
          <w:cols w:equalWidth="0" w:num="1">
            <w:col w:w="9960"/>
          </w:cols>
          <w:pgMar w:left="960" w:top="583"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9960"/>
          </w:cols>
          <w:pgMar w:left="960" w:top="583" w:right="960" w:bottom="33" w:gutter="0" w:footer="0" w:header="0"/>
          <w:type w:val="continuous"/>
        </w:sectPr>
      </w:pPr>
    </w:p>
    <w:bookmarkStart w:id="72" w:name="page73"/>
    <w:bookmarkEnd w:id="72"/>
    <w:p>
      <w:pPr>
        <w:ind w:right="100"/>
        <w:spacing w:after="0" w:line="294" w:lineRule="auto"/>
        <w:rPr>
          <w:sz w:val="20"/>
          <w:szCs w:val="20"/>
          <w:color w:val="auto"/>
        </w:rPr>
      </w:pPr>
      <w:r>
        <w:rPr>
          <w:rFonts w:ascii="Arial" w:cs="Arial" w:eastAsia="Arial" w:hAnsi="Arial"/>
          <w:sz w:val="19"/>
          <w:szCs w:val="19"/>
          <w:color w:val="auto"/>
        </w:rPr>
        <w:t>original estimate. When necessary, the Company records a reserve against its billings and payables with other airlines based on historical experience.</w:t>
      </w:r>
    </w:p>
    <w:p>
      <w:pPr>
        <w:spacing w:after="0" w:line="105" w:lineRule="exact"/>
        <w:rPr>
          <w:sz w:val="20"/>
          <w:szCs w:val="20"/>
          <w:color w:val="auto"/>
        </w:rPr>
      </w:pPr>
    </w:p>
    <w:p>
      <w:pPr>
        <w:ind w:right="120"/>
        <w:spacing w:after="0" w:line="265" w:lineRule="auto"/>
        <w:rPr>
          <w:sz w:val="20"/>
          <w:szCs w:val="20"/>
          <w:color w:val="auto"/>
        </w:rPr>
      </w:pPr>
      <w:r>
        <w:rPr>
          <w:rFonts w:ascii="Arial" w:cs="Arial" w:eastAsia="Arial" w:hAnsi="Arial"/>
          <w:sz w:val="19"/>
          <w:szCs w:val="19"/>
          <w:color w:val="auto"/>
        </w:rPr>
        <w:t>The Company sells certain tickets with connecting flights with one or more segments operated by its other airline partners. For segments operated by its other airline partners, the Company has determined that it is acting as an agent on behalf of the other airlines as they are responsible for their portion of the contract (i.e., transportation of the passenger). The Company, as the agent, recognizes revenue within Other operating revenue at the time of the travel for the net amount representing commission to be retained by the Company for any segments flown by other airlines.</w:t>
      </w:r>
    </w:p>
    <w:p>
      <w:pPr>
        <w:spacing w:after="0" w:line="133" w:lineRule="exact"/>
        <w:rPr>
          <w:sz w:val="20"/>
          <w:szCs w:val="20"/>
          <w:color w:val="auto"/>
        </w:rPr>
      </w:pPr>
    </w:p>
    <w:p>
      <w:pPr>
        <w:ind w:right="280"/>
        <w:spacing w:after="0" w:line="312" w:lineRule="auto"/>
        <w:rPr>
          <w:sz w:val="20"/>
          <w:szCs w:val="20"/>
          <w:color w:val="auto"/>
        </w:rPr>
      </w:pPr>
      <w:r>
        <w:rPr>
          <w:rFonts w:ascii="Arial" w:cs="Arial" w:eastAsia="Arial" w:hAnsi="Arial"/>
          <w:sz w:val="18"/>
          <w:szCs w:val="18"/>
          <w:color w:val="auto"/>
        </w:rPr>
        <w:t>Refundable tickets expire after one year from the date of issuance. Non-refundable tickets generally expire on the date of the intended travel, unless the date is extended by notification from the customer on or before the intended travel date.</w:t>
      </w:r>
    </w:p>
    <w:p>
      <w:pPr>
        <w:spacing w:after="0" w:line="8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United initially capitalizes the costs of selling airline travel tickets and then recognizes those costs as Distribution expense at the time of travel. Costs to sell a ticket include credit card fees, travel agency and other commissions paid, as well as global distribution systems booking fees.</w:t>
      </w:r>
    </w:p>
    <w:p>
      <w:pPr>
        <w:spacing w:after="0" w:line="120" w:lineRule="exact"/>
        <w:rPr>
          <w:sz w:val="20"/>
          <w:szCs w:val="20"/>
          <w:color w:val="auto"/>
        </w:rPr>
      </w:pPr>
    </w:p>
    <w:p>
      <w:pPr>
        <w:ind w:right="300"/>
        <w:spacing w:after="0" w:line="276" w:lineRule="auto"/>
        <w:rPr>
          <w:sz w:val="20"/>
          <w:szCs w:val="20"/>
          <w:color w:val="auto"/>
        </w:rPr>
      </w:pPr>
      <w:r>
        <w:rPr>
          <w:rFonts w:ascii="Arial" w:cs="Arial" w:eastAsia="Arial" w:hAnsi="Arial"/>
          <w:sz w:val="19"/>
          <w:szCs w:val="19"/>
          <w:b w:val="1"/>
          <w:bCs w:val="1"/>
          <w:i w:val="1"/>
          <w:iCs w:val="1"/>
          <w:color w:val="auto"/>
        </w:rPr>
        <w:t xml:space="preserve">Advance ticket sales. </w:t>
      </w:r>
      <w:r>
        <w:rPr>
          <w:rFonts w:ascii="Arial" w:cs="Arial" w:eastAsia="Arial" w:hAnsi="Arial"/>
          <w:sz w:val="19"/>
          <w:szCs w:val="19"/>
          <w:color w:val="auto"/>
        </w:rPr>
        <w:t>Advance ticket sales represent the Company's liability to provide air transportation in the future. 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tickets sold at any given point in time have travel dates through the next 12 months. The Company defers amounts related to future travel in its Advance ticket sales liability account.</w:t>
      </w:r>
    </w:p>
    <w:p>
      <w:pPr>
        <w:spacing w:after="0" w:line="119" w:lineRule="exact"/>
        <w:rPr>
          <w:sz w:val="20"/>
          <w:szCs w:val="20"/>
          <w:color w:val="auto"/>
        </w:rPr>
      </w:pPr>
    </w:p>
    <w:p>
      <w:pPr>
        <w:ind w:right="280"/>
        <w:spacing w:after="0" w:line="323" w:lineRule="auto"/>
        <w:rPr>
          <w:sz w:val="20"/>
          <w:szCs w:val="20"/>
          <w:color w:val="auto"/>
        </w:rPr>
      </w:pPr>
      <w:r>
        <w:rPr>
          <w:rFonts w:ascii="Arial" w:cs="Arial" w:eastAsia="Arial" w:hAnsi="Arial"/>
          <w:sz w:val="17"/>
          <w:szCs w:val="17"/>
          <w:b w:val="1"/>
          <w:bCs w:val="1"/>
          <w:i w:val="1"/>
          <w:iCs w:val="1"/>
          <w:color w:val="auto"/>
        </w:rPr>
        <w:t xml:space="preserve">Estimate of tickets not expected to be used ("ticket breakage"). </w:t>
      </w:r>
      <w:r>
        <w:rPr>
          <w:rFonts w:ascii="Arial" w:cs="Arial" w:eastAsia="Arial" w:hAnsi="Arial"/>
          <w:sz w:val="17"/>
          <w:szCs w:val="17"/>
          <w:color w:val="auto"/>
        </w:rPr>
        <w:t>The Company estimates the value of advance ticket sales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ultimately expire unused based on historical experience and qualitative factors such as recent program changes. The Company recognizes revenue related to these tickets based on the pattern in which concurrently sold tickets are used.</w:t>
      </w:r>
    </w:p>
    <w:p>
      <w:pPr>
        <w:spacing w:after="0" w:line="87" w:lineRule="exact"/>
        <w:rPr>
          <w:sz w:val="20"/>
          <w:szCs w:val="20"/>
          <w:color w:val="auto"/>
        </w:rPr>
      </w:pPr>
    </w:p>
    <w:p>
      <w:pPr>
        <w:jc w:val="both"/>
        <w:ind w:right="180"/>
        <w:spacing w:after="0" w:line="274" w:lineRule="auto"/>
        <w:rPr>
          <w:sz w:val="20"/>
          <w:szCs w:val="20"/>
          <w:color w:val="auto"/>
        </w:rPr>
      </w:pPr>
      <w:r>
        <w:rPr>
          <w:rFonts w:ascii="Arial" w:cs="Arial" w:eastAsia="Arial" w:hAnsi="Arial"/>
          <w:sz w:val="19"/>
          <w:szCs w:val="19"/>
          <w:color w:val="auto"/>
        </w:rPr>
        <w:t>In the years ended December 31, 2025, 2024 and 2023, the Company recognized approximately $5.8 billion, $5.3 billion and $5.7 billion, respectively, of passenger revenue for tickets that were included in Advance ticket sales at the beginning of those periods.</w:t>
      </w:r>
    </w:p>
    <w:p>
      <w:pPr>
        <w:spacing w:after="0" w:line="122" w:lineRule="exact"/>
        <w:rPr>
          <w:sz w:val="20"/>
          <w:szCs w:val="20"/>
          <w:color w:val="auto"/>
        </w:rPr>
      </w:pPr>
    </w:p>
    <w:p>
      <w:pPr>
        <w:jc w:val="both"/>
        <w:ind w:right="180"/>
        <w:spacing w:after="0" w:line="280" w:lineRule="auto"/>
        <w:rPr>
          <w:sz w:val="20"/>
          <w:szCs w:val="20"/>
          <w:color w:val="auto"/>
        </w:rPr>
      </w:pPr>
      <w:r>
        <w:rPr>
          <w:rFonts w:ascii="Arial" w:cs="Arial" w:eastAsia="Arial" w:hAnsi="Arial"/>
          <w:sz w:val="19"/>
          <w:szCs w:val="19"/>
          <w:b w:val="1"/>
          <w:bCs w:val="1"/>
          <w:i w:val="1"/>
          <w:iCs w:val="1"/>
          <w:color w:val="auto"/>
        </w:rPr>
        <w:t xml:space="preserve">Revenue by geography. </w:t>
      </w:r>
      <w:r>
        <w:rPr>
          <w:rFonts w:ascii="Arial" w:cs="Arial" w:eastAsia="Arial" w:hAnsi="Arial"/>
          <w:sz w:val="19"/>
          <w:szCs w:val="19"/>
          <w:color w:val="auto"/>
        </w:rPr>
        <w:t>The Company further disaggregates its operating revenue by principal geographic region for the years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ended December 31 as presented in the table below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28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b w:val="1"/>
                <w:bCs w:val="1"/>
                <w:color w:val="auto"/>
              </w:rPr>
              <w:t>2025</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3"/>
              <w:spacing w:after="0"/>
              <w:rPr>
                <w:sz w:val="20"/>
                <w:szCs w:val="20"/>
                <w:color w:val="auto"/>
              </w:rPr>
            </w:pPr>
            <w:r>
              <w:rPr>
                <w:rFonts w:ascii="Arial" w:cs="Arial" w:eastAsia="Arial" w:hAnsi="Arial"/>
                <w:sz w:val="19"/>
                <w:szCs w:val="19"/>
                <w:b w:val="1"/>
                <w:bCs w:val="1"/>
                <w:color w:val="auto"/>
              </w:rPr>
              <w:t>2024</w:t>
            </w:r>
          </w:p>
        </w:tc>
        <w:tc>
          <w:tcPr>
            <w:tcW w:w="6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3"/>
              <w:spacing w:after="0"/>
              <w:rPr>
                <w:sz w:val="20"/>
                <w:szCs w:val="20"/>
                <w:color w:val="auto"/>
              </w:rPr>
            </w:pPr>
            <w:r>
              <w:rPr>
                <w:rFonts w:ascii="Arial" w:cs="Arial" w:eastAsia="Arial" w:hAnsi="Arial"/>
                <w:sz w:val="19"/>
                <w:szCs w:val="19"/>
                <w:b w:val="1"/>
                <w:bCs w:val="1"/>
                <w:color w:val="auto"/>
              </w:rPr>
              <w:t>2023</w:t>
            </w:r>
          </w:p>
        </w:tc>
      </w:tr>
      <w:tr>
        <w:trPr>
          <w:trHeight w:val="267"/>
        </w:trPr>
        <w:tc>
          <w:tcPr>
            <w:tcW w:w="5280" w:type="dxa"/>
            <w:vAlign w:val="bottom"/>
            <w:shd w:val="clear" w:color="auto" w:fill="E6E6E6"/>
          </w:tcPr>
          <w:p>
            <w:pPr>
              <w:ind w:left="60"/>
              <w:spacing w:after="0"/>
              <w:rPr>
                <w:sz w:val="20"/>
                <w:szCs w:val="20"/>
                <w:color w:val="auto"/>
              </w:rPr>
            </w:pPr>
            <w:r>
              <w:rPr>
                <w:rFonts w:ascii="Arial" w:cs="Arial" w:eastAsia="Arial" w:hAnsi="Arial"/>
                <w:sz w:val="19"/>
                <w:szCs w:val="19"/>
                <w:color w:val="auto"/>
              </w:rPr>
              <w:t>Domestic (U.S. and Canada)</w:t>
            </w:r>
          </w:p>
        </w:tc>
        <w:tc>
          <w:tcPr>
            <w:tcW w:w="280" w:type="dxa"/>
            <w:vAlign w:val="bottom"/>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35,017</w:t>
            </w:r>
          </w:p>
        </w:tc>
        <w:tc>
          <w:tcPr>
            <w:tcW w:w="360" w:type="dxa"/>
            <w:vAlign w:val="bottom"/>
            <w:gridSpan w:val="3"/>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34,067</w:t>
            </w:r>
          </w:p>
        </w:tc>
        <w:tc>
          <w:tcPr>
            <w:tcW w:w="340" w:type="dxa"/>
            <w:vAlign w:val="bottom"/>
            <w:gridSpan w:val="2"/>
            <w:shd w:val="clear" w:color="auto" w:fill="E6E6E6"/>
          </w:tcPr>
          <w:p>
            <w:pPr>
              <w:jc w:val="right"/>
              <w:ind w:right="23"/>
              <w:spacing w:after="0"/>
              <w:rPr>
                <w:sz w:val="20"/>
                <w:szCs w:val="20"/>
                <w:color w:val="auto"/>
              </w:rPr>
            </w:pPr>
            <w:r>
              <w:rPr>
                <w:rFonts w:ascii="Arial" w:cs="Arial" w:eastAsia="Arial" w:hAnsi="Arial"/>
                <w:sz w:val="19"/>
                <w:szCs w:val="19"/>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32,400</w:t>
            </w:r>
          </w:p>
        </w:tc>
      </w:tr>
      <w:tr>
        <w:trPr>
          <w:trHeight w:val="270"/>
        </w:trPr>
        <w:tc>
          <w:tcPr>
            <w:tcW w:w="5280" w:type="dxa"/>
            <w:vAlign w:val="bottom"/>
          </w:tcPr>
          <w:p>
            <w:pPr>
              <w:ind w:left="60"/>
              <w:spacing w:after="0"/>
              <w:rPr>
                <w:sz w:val="20"/>
                <w:szCs w:val="20"/>
                <w:color w:val="auto"/>
              </w:rPr>
            </w:pPr>
            <w:r>
              <w:rPr>
                <w:rFonts w:ascii="Arial" w:cs="Arial" w:eastAsia="Arial" w:hAnsi="Arial"/>
                <w:sz w:val="19"/>
                <w:szCs w:val="19"/>
                <w:color w:val="auto"/>
              </w:rPr>
              <w:t>Atlantic</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11,647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11,097</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10,982</w:t>
            </w:r>
          </w:p>
        </w:tc>
      </w:tr>
      <w:tr>
        <w:trPr>
          <w:trHeight w:val="283"/>
        </w:trPr>
        <w:tc>
          <w:tcPr>
            <w:tcW w:w="5280" w:type="dxa"/>
            <w:vAlign w:val="bottom"/>
            <w:shd w:val="clear" w:color="auto" w:fill="E6E6E6"/>
          </w:tcPr>
          <w:p>
            <w:pPr>
              <w:ind w:left="60"/>
              <w:spacing w:after="0"/>
              <w:rPr>
                <w:sz w:val="20"/>
                <w:szCs w:val="20"/>
                <w:color w:val="auto"/>
              </w:rPr>
            </w:pPr>
            <w:r>
              <w:rPr>
                <w:rFonts w:ascii="Arial" w:cs="Arial" w:eastAsia="Arial" w:hAnsi="Arial"/>
                <w:sz w:val="19"/>
                <w:szCs w:val="19"/>
                <w:color w:val="auto"/>
              </w:rPr>
              <w:t>Pacific</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6,878</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6,462</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5,267</w:t>
            </w:r>
          </w:p>
        </w:tc>
      </w:tr>
      <w:tr>
        <w:trPr>
          <w:trHeight w:val="266"/>
        </w:trPr>
        <w:tc>
          <w:tcPr>
            <w:tcW w:w="528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Latin America</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5,528</w:t>
            </w:r>
          </w:p>
        </w:tc>
        <w:tc>
          <w:tcPr>
            <w:tcW w:w="6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5,437</w:t>
            </w:r>
          </w:p>
        </w:tc>
        <w:tc>
          <w:tcPr>
            <w:tcW w:w="6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5,068</w:t>
            </w:r>
          </w:p>
        </w:tc>
      </w:tr>
      <w:tr>
        <w:trPr>
          <w:trHeight w:val="276"/>
        </w:trPr>
        <w:tc>
          <w:tcPr>
            <w:tcW w:w="5280" w:type="dxa"/>
            <w:vAlign w:val="bottom"/>
            <w:tcBorders>
              <w:bottom w:val="single" w:sz="8" w:color="E6E6E6"/>
            </w:tcBorders>
            <w:shd w:val="clear" w:color="auto" w:fill="E6E6E6"/>
          </w:tcPr>
          <w:p>
            <w:pPr>
              <w:ind w:left="540"/>
              <w:spacing w:after="0"/>
              <w:rPr>
                <w:sz w:val="20"/>
                <w:szCs w:val="20"/>
                <w:color w:val="auto"/>
              </w:rPr>
            </w:pPr>
            <w:r>
              <w:rPr>
                <w:rFonts w:ascii="Arial" w:cs="Arial" w:eastAsia="Arial" w:hAnsi="Arial"/>
                <w:sz w:val="19"/>
                <w:szCs w:val="19"/>
                <w:color w:val="auto"/>
              </w:rPr>
              <w:t>Total</w:t>
            </w:r>
          </w:p>
        </w:tc>
        <w:tc>
          <w:tcPr>
            <w:tcW w:w="280" w:type="dxa"/>
            <w:vAlign w:val="bottom"/>
            <w:tcBorders>
              <w:bottom w:val="single" w:sz="8" w:color="auto"/>
            </w:tcBorders>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59,070</w:t>
            </w:r>
          </w:p>
        </w:tc>
        <w:tc>
          <w:tcPr>
            <w:tcW w:w="80" w:type="dxa"/>
            <w:vAlign w:val="bottom"/>
            <w:tcBorders>
              <w:bottom w:val="single" w:sz="8" w:color="E6E6E6"/>
            </w:tcBorders>
            <w:gridSpan w:val="2"/>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57,063</w:t>
            </w:r>
          </w:p>
        </w:tc>
        <w:tc>
          <w:tcPr>
            <w:tcW w:w="6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jc w:val="right"/>
              <w:ind w:right="2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53,717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-908685</wp:posOffset>
            </wp:positionV>
            <wp:extent cx="161480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5">
                      <a:extLst>
                        <a:ext uri="{28A0092B-C50C-407E-A947-70E740481C1C}"/>
                      </a:extLst>
                    </a:blip>
                    <a:srcRect/>
                    <a:stretch>
                      <a:fillRect/>
                    </a:stretch>
                  </pic:blipFill>
                  <pic:spPr bwMode="auto">
                    <a:xfrm>
                      <a:off x="0" y="0"/>
                      <a:ext cx="1614805" cy="2540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-206375</wp:posOffset>
            </wp:positionV>
            <wp:extent cx="246507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36">
                      <a:extLst>
                        <a:ext uri="{28A0092B-C50C-407E-A947-70E740481C1C}"/>
                      </a:extLst>
                    </a:blip>
                    <a:srcRect/>
                    <a:stretch>
                      <a:fillRect/>
                    </a:stretch>
                  </pic:blipFill>
                  <pic:spPr bwMode="auto">
                    <a:xfrm>
                      <a:off x="0" y="0"/>
                      <a:ext cx="2465070" cy="2540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-42545</wp:posOffset>
            </wp:positionV>
            <wp:extent cx="2465070" cy="501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7">
                      <a:extLst>
                        <a:ext uri="{28A0092B-C50C-407E-A947-70E740481C1C}"/>
                      </a:extLst>
                    </a:blip>
                    <a:srcRect/>
                    <a:stretch>
                      <a:fillRect/>
                    </a:stretch>
                  </pic:blipFill>
                  <pic:spPr bwMode="auto">
                    <a:xfrm>
                      <a:off x="0" y="0"/>
                      <a:ext cx="2465070" cy="50165"/>
                    </a:xfrm>
                    <a:prstGeom prst="rect">
                      <a:avLst/>
                    </a:prstGeom>
                    <a:noFill/>
                  </pic:spPr>
                </pic:pic>
              </a:graphicData>
            </a:graphic>
          </wp:anchor>
        </w:drawing>
      </w:r>
    </w:p>
    <w:p>
      <w:pPr>
        <w:spacing w:after="0" w:line="65" w:lineRule="exact"/>
        <w:rPr>
          <w:sz w:val="20"/>
          <w:szCs w:val="20"/>
          <w:color w:val="auto"/>
        </w:rPr>
      </w:pPr>
    </w:p>
    <w:p>
      <w:pPr>
        <w:ind w:right="160"/>
        <w:spacing w:after="0" w:line="268" w:lineRule="auto"/>
        <w:rPr>
          <w:sz w:val="20"/>
          <w:szCs w:val="20"/>
          <w:color w:val="auto"/>
        </w:rPr>
      </w:pPr>
      <w:r>
        <w:rPr>
          <w:rFonts w:ascii="Arial" w:cs="Arial" w:eastAsia="Arial" w:hAnsi="Arial"/>
          <w:sz w:val="19"/>
          <w:szCs w:val="19"/>
          <w:color w:val="auto"/>
        </w:rPr>
        <w:t>The Company attributes revenue among the geographic regions based upon the origin and destination of each flight segment. The Company's operations involve an insignificant level of revenue-producing assets in geographic regions as the overwhelming majority of the Company's revenue-producing assets (primarily U.S. registered aircraft) can be deployed in any of its geographic regions.</w:t>
      </w:r>
    </w:p>
    <w:p>
      <w:pPr>
        <w:spacing w:after="0" w:line="127"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b w:val="1"/>
          <w:bCs w:val="1"/>
          <w:i w:val="1"/>
          <w:iCs w:val="1"/>
          <w:color w:val="auto"/>
        </w:rPr>
        <w:t xml:space="preserve">Ancillary services. </w:t>
      </w:r>
      <w:r>
        <w:rPr>
          <w:rFonts w:ascii="Arial" w:cs="Arial" w:eastAsia="Arial" w:hAnsi="Arial"/>
          <w:sz w:val="19"/>
          <w:szCs w:val="19"/>
          <w:color w:val="auto"/>
        </w:rPr>
        <w:t>The Company charges fees, separately from ticket sales, for certain ancillary services that are directly related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passenger travel, such as baggage fees, premium seat fees, inflight amenity fees, and other ticket-related fees. These ancillary fees are part of the travel performance obligation and, as such, are recognized as Passenger revenue when the travel occurs. The Company recorded $4.8 billion, $4.5 billion and $4.1 billion of ancillary fees within Passenger revenue in the years ended December 31, 2025, 2024 and 2023, respectively.</w:t>
      </w:r>
    </w:p>
    <w:p>
      <w:pPr>
        <w:spacing w:after="0" w:line="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Ticket taxes. </w:t>
      </w:r>
      <w:r>
        <w:rPr>
          <w:rFonts w:ascii="Arial" w:cs="Arial" w:eastAsia="Arial" w:hAnsi="Arial"/>
          <w:sz w:val="18"/>
          <w:szCs w:val="18"/>
          <w:color w:val="auto"/>
        </w:rPr>
        <w:t>Certain governmental taxes are imposed on the Company's ticket sales through a fee included in ticket prices.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collects these fees and remits them to the appropriate government agency. These fees are excluded from the contract transaction price and are therefore not included in passenger revenue. We record a liability when amounts are collected and reduce the liability when payments are made to the appropriate taxing authority.</w:t>
      </w:r>
    </w:p>
    <w:p>
      <w:pPr>
        <w:spacing w:after="0" w:line="110"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b w:val="1"/>
          <w:bCs w:val="1"/>
          <w:i w:val="1"/>
          <w:iCs w:val="1"/>
          <w:color w:val="auto"/>
        </w:rPr>
        <w:t xml:space="preserve">Frequent Flyer Program. </w:t>
      </w:r>
      <w:r>
        <w:rPr>
          <w:rFonts w:ascii="Arial" w:cs="Arial" w:eastAsia="Arial" w:hAnsi="Arial"/>
          <w:sz w:val="18"/>
          <w:szCs w:val="18"/>
          <w:color w:val="auto"/>
        </w:rPr>
        <w:t>United's MileagePlus loyalty program builds customer loyalty by offering awards, benefits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to program participants. Members in this program earn miles for travel on United, United Express, Star Alliance members and certain other airlines that participate in the program. Members can also earn miles by purchasing goods and services from our network of non-airline partners. We have contracts to sell miles to these partners with the terms extending from approximately one to five years. These partners include domestic and international credit card issuers, retail merchants, hotels, car rental companies and our participating airline partners. Miles can be redeemed for free (other than taxes and government-imposed fees), discounted or upgraded air travel and non-travel awards.</w:t>
      </w:r>
    </w:p>
    <w:p>
      <w:pPr>
        <w:sectPr>
          <w:pgSz w:w="11880" w:h="15480" w:orient="portrait"/>
          <w:cols w:equalWidth="0" w:num="1">
            <w:col w:w="9960"/>
          </w:cols>
          <w:pgMar w:left="960" w:top="586" w:right="960" w:bottom="33"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9960"/>
          </w:cols>
          <w:pgMar w:left="960" w:top="586" w:right="960" w:bottom="33" w:gutter="0" w:footer="0" w:header="0"/>
          <w:type w:val="continuous"/>
        </w:sectPr>
      </w:pPr>
    </w:p>
    <w:bookmarkStart w:id="73" w:name="page74"/>
    <w:bookmarkEnd w:id="73"/>
    <w:p>
      <w:pPr>
        <w:ind w:right="80"/>
        <w:spacing w:after="0" w:line="279" w:lineRule="auto"/>
        <w:rPr>
          <w:sz w:val="20"/>
          <w:szCs w:val="20"/>
          <w:color w:val="auto"/>
        </w:rPr>
      </w:pPr>
      <w:r>
        <w:rPr>
          <w:rFonts w:ascii="Arial" w:cs="Arial" w:eastAsia="Arial" w:hAnsi="Arial"/>
          <w:sz w:val="18"/>
          <w:szCs w:val="18"/>
          <w:b w:val="1"/>
          <w:bCs w:val="1"/>
          <w:i w:val="1"/>
          <w:iCs w:val="1"/>
          <w:color w:val="auto"/>
        </w:rPr>
        <w:t xml:space="preserve">Miles earned in conjunction with travel. </w:t>
      </w:r>
      <w:r>
        <w:rPr>
          <w:rFonts w:ascii="Arial" w:cs="Arial" w:eastAsia="Arial" w:hAnsi="Arial"/>
          <w:sz w:val="18"/>
          <w:szCs w:val="18"/>
          <w:color w:val="auto"/>
        </w:rPr>
        <w:t>When MileagePlus members earn miles for flights, the Company recognizes a portion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ticket sales as revenue when the travel occurs and defers a portion of the ticket sale representing the value of the related miles as a separate performance obligation. The Company determines the estimated selling price of travel and miles as if each performance obligation is sold on a separate basis. The total consideration from each ticket sale is then allocated to each of the performance obligations, individually, on a pro-rata basis. At the time of travel, the Company records the portion allocated to the miles to Frequent flyer deferred revenue on the Company's consolidated balance sheet and subsequently recognizes it into revenue when miles are redeemed for air travel and non-travel awards.</w:t>
      </w:r>
    </w:p>
    <w:p>
      <w:pPr>
        <w:spacing w:after="0" w:line="12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Estimate of miles not expected to be redeemed ("mileage breakage")</w:t>
      </w:r>
      <w:r>
        <w:rPr>
          <w:rFonts w:ascii="Arial" w:cs="Arial" w:eastAsia="Arial" w:hAnsi="Arial"/>
          <w:sz w:val="17"/>
          <w:szCs w:val="17"/>
          <w:color w:val="auto"/>
        </w:rPr>
        <w:t>. The Company's mileage breakage model is based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assumption that the likelihood that an account will redeem its miles can be estimated based on a consideration of the account's historical behavior. The Company uses a statistical model to estimate the probability that an account will redeem its current miles balance and reviews its mileage breakage estimates annually. The Company's estimate of the expected mileage breakage requires management judgment. Changes to mileage breakage assumptions, or to program rules and program redemption opportunities, may result in material changes to the deferred revenue balance as well as recognized revenues from the program. We recognize mileage breakage proportionally as the remaining miles are redeemed.</w:t>
      </w:r>
    </w:p>
    <w:p>
      <w:pPr>
        <w:spacing w:after="0" w:line="106" w:lineRule="exact"/>
        <w:rPr>
          <w:sz w:val="20"/>
          <w:szCs w:val="20"/>
          <w:color w:val="auto"/>
        </w:rPr>
      </w:pPr>
    </w:p>
    <w:p>
      <w:pPr>
        <w:ind w:right="160"/>
        <w:spacing w:after="0" w:line="253" w:lineRule="auto"/>
        <w:rPr>
          <w:sz w:val="20"/>
          <w:szCs w:val="20"/>
          <w:color w:val="auto"/>
        </w:rPr>
      </w:pPr>
      <w:r>
        <w:rPr>
          <w:rFonts w:ascii="Arial" w:cs="Arial" w:eastAsia="Arial" w:hAnsi="Arial"/>
          <w:sz w:val="19"/>
          <w:szCs w:val="19"/>
          <w:b w:val="1"/>
          <w:bCs w:val="1"/>
          <w:i w:val="1"/>
          <w:iCs w:val="1"/>
          <w:color w:val="auto"/>
        </w:rPr>
        <w:t>Estimated selling price of miles</w:t>
      </w:r>
      <w:r>
        <w:rPr>
          <w:rFonts w:ascii="Arial" w:cs="Arial" w:eastAsia="Arial" w:hAnsi="Arial"/>
          <w:sz w:val="19"/>
          <w:szCs w:val="19"/>
          <w:color w:val="auto"/>
        </w:rPr>
        <w:t>. The Company's estimated selling price of miles is based on an equivalent ticket value, which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incorporates the expected redemption of miles, as the best estimate of the selling price for these miles. The equivalent ticket value is based on the prior 12 months' weighted average equivalent ticket value of similar fares as those used to settle award redemptions while taking into consideration such factors as redemption pattern, cabin class, loyalty status and geographic region. The estimated selling price of miles is adjusted by mileage breakage that considers a number of factors, including redemption patterns of various customer groups.</w:t>
      </w:r>
    </w:p>
    <w:p>
      <w:pPr>
        <w:spacing w:after="0" w:line="132"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b w:val="1"/>
          <w:bCs w:val="1"/>
          <w:i w:val="1"/>
          <w:iCs w:val="1"/>
          <w:color w:val="auto"/>
        </w:rPr>
        <w:t>Co-Brand agreement</w:t>
      </w:r>
      <w:r>
        <w:rPr>
          <w:rFonts w:ascii="Arial" w:cs="Arial" w:eastAsia="Arial" w:hAnsi="Arial"/>
          <w:sz w:val="19"/>
          <w:szCs w:val="19"/>
          <w:color w:val="auto"/>
        </w:rPr>
        <w:t>. United's most significant contract to sell MileagePlus miles is with its co-branded credit card partner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JPMorgan Chase Bank USA, N.A. ("Chase"). Chase awards miles to MileagePlus members based on their credit card activity. United identified the following significant separately identifiable performance obligations in this contract (the "Co-Brand Agreement"):</w:t>
      </w:r>
    </w:p>
    <w:p>
      <w:pPr>
        <w:spacing w:after="0" w:line="52" w:lineRule="exact"/>
        <w:rPr>
          <w:sz w:val="20"/>
          <w:szCs w:val="20"/>
          <w:color w:val="auto"/>
        </w:rPr>
      </w:pPr>
    </w:p>
    <w:p>
      <w:pPr>
        <w:ind w:left="960" w:right="40" w:hanging="259"/>
        <w:spacing w:after="0" w:line="265" w:lineRule="auto"/>
        <w:tabs>
          <w:tab w:leader="none" w:pos="9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MileagePlus miles awarded – United has a performance obligation to provide MileagePlus cardholders with miles to be used for air travel and non-travel award redemptions. The Company records Passenger revenue related to the travel awards when the transportation is provided and records Other operating revenue related to the non-travel awards when the goods or services are delivered. The Company records the cost associated with non-travel awards in Other operating revenue, as an agent.</w:t>
      </w:r>
    </w:p>
    <w:p>
      <w:pPr>
        <w:spacing w:after="0" w:line="55" w:lineRule="exact"/>
        <w:rPr>
          <w:rFonts w:ascii="Arial" w:cs="Arial" w:eastAsia="Arial" w:hAnsi="Arial"/>
          <w:sz w:val="19"/>
          <w:szCs w:val="19"/>
          <w:color w:val="auto"/>
        </w:rPr>
      </w:pPr>
    </w:p>
    <w:p>
      <w:pPr>
        <w:ind w:left="960" w:right="140" w:hanging="259"/>
        <w:spacing w:after="0" w:line="345" w:lineRule="auto"/>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Marketing – United has a performance obligation to provide Chase access to United's customer list and the use of United's brand. Marketing revenue is recorded to Other operating revenue as miles are delivered to Chase.</w:t>
      </w:r>
    </w:p>
    <w:p>
      <w:pPr>
        <w:ind w:left="960" w:right="320" w:hanging="259"/>
        <w:spacing w:after="0" w:line="268" w:lineRule="auto"/>
        <w:tabs>
          <w:tab w:leader="none" w:pos="9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Advertising – United has a performance obligation to provide advertising in support of the MileagePlus card in various customer contact points such as United's website, email promotions, direct mail campaigns, airport advertising and in-flight advertising. Advertising revenue is recorded to Other operating revenue as miles are delivered to Chase.</w:t>
      </w:r>
    </w:p>
    <w:p>
      <w:pPr>
        <w:spacing w:after="0" w:line="52" w:lineRule="exact"/>
        <w:rPr>
          <w:rFonts w:ascii="Arial" w:cs="Arial" w:eastAsia="Arial" w:hAnsi="Arial"/>
          <w:sz w:val="19"/>
          <w:szCs w:val="19"/>
          <w:color w:val="auto"/>
        </w:rPr>
      </w:pPr>
    </w:p>
    <w:p>
      <w:pPr>
        <w:jc w:val="both"/>
        <w:ind w:left="960" w:hanging="259"/>
        <w:spacing w:after="0" w:line="349" w:lineRule="auto"/>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travel-related benefits – United's performance obligations are comprised of various items such as waived bag fees, seat upgrades and lounge passes. Lounge passes are recorded to Other operating revenue as customers use the lounge passes. Bag fees and seat upgrades are recorded to Passenger revenue at the time of the associated travel.</w:t>
      </w:r>
    </w:p>
    <w:p>
      <w:pPr>
        <w:spacing w:after="0" w:line="71"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We account for payments received under the Co-Brand Agreement by allocating them to the separately identifiable performance obligations. The fair value of the separately identifiable performance obligations is determined using management's estimated selling price of each component. The objective of using the estimated selling price based methodology is to determine the price at which we would transact a sale if the product or service were sold on a stand-alone basis. Accordingly, we determine our best estimate of selling price by considering multiple inputs and methods including, but not limited to, discounted cash flows, brand value, volume discounts, published selling prices, number of miles awarded and number of miles redeemed. The Company estimated the selling prices and volumes over the term of the Co-Brand Agreement, at the inception of the contract, in order to determine the allocation of proceeds to each of the components to be delivered.</w:t>
      </w:r>
    </w:p>
    <w:p>
      <w:pPr>
        <w:sectPr>
          <w:pgSz w:w="11880" w:h="15480" w:orient="portrait"/>
          <w:cols w:equalWidth="0" w:num="1">
            <w:col w:w="9900"/>
          </w:cols>
          <w:pgMar w:left="960" w:top="583" w:right="102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9900"/>
          </w:cols>
          <w:pgMar w:left="960" w:top="583" w:right="1020" w:bottom="33" w:gutter="0" w:footer="0" w:header="0"/>
          <w:type w:val="continuous"/>
        </w:sectPr>
      </w:pPr>
    </w:p>
    <w:bookmarkStart w:id="74" w:name="page75"/>
    <w:bookmarkEnd w:id="74"/>
    <w:p>
      <w:pPr>
        <w:ind w:right="220"/>
        <w:spacing w:after="0" w:line="304" w:lineRule="auto"/>
        <w:rPr>
          <w:sz w:val="20"/>
          <w:szCs w:val="20"/>
          <w:color w:val="auto"/>
        </w:rPr>
      </w:pPr>
      <w:r>
        <w:rPr>
          <w:rFonts w:ascii="Arial" w:cs="Arial" w:eastAsia="Arial" w:hAnsi="Arial"/>
          <w:sz w:val="17"/>
          <w:szCs w:val="17"/>
          <w:b w:val="1"/>
          <w:bCs w:val="1"/>
          <w:i w:val="1"/>
          <w:iCs w:val="1"/>
          <w:color w:val="auto"/>
        </w:rPr>
        <w:t xml:space="preserve">Frequent flyer deferred revenue. </w:t>
      </w:r>
      <w:r>
        <w:rPr>
          <w:rFonts w:ascii="Arial" w:cs="Arial" w:eastAsia="Arial" w:hAnsi="Arial"/>
          <w:sz w:val="17"/>
          <w:szCs w:val="17"/>
          <w:color w:val="auto"/>
        </w:rPr>
        <w:t>Miles in MileagePlus members' accounts are combined into one homogeneous pool and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thus not separately identifiable, for award redemption purposes, between miles earned in the current period and those in their beginning balance. Of the miles expected to be redeemed, the Company expects the majority of these miles to be redeemed within two years. The current portion of the Frequent flyer deferred revenue is based on expected redemptions in the next 12 months. The table below presents a roll forward of Frequent flyer deferred revenue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400" w:type="dxa"/>
            <w:vAlign w:val="bottom"/>
            <w:tcBorders>
              <w:bottom w:val="single" w:sz="8" w:color="E6E6E6"/>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2025</w:t>
            </w:r>
          </w:p>
        </w:tc>
        <w:tc>
          <w:tcPr>
            <w:tcW w:w="600" w:type="dxa"/>
            <w:vAlign w:val="bottom"/>
            <w:tcBorders>
              <w:bottom w:val="single" w:sz="8" w:color="auto"/>
            </w:tcBorders>
          </w:tcPr>
          <w:p>
            <w:pPr>
              <w:spacing w:after="0"/>
              <w:rPr>
                <w:sz w:val="22"/>
                <w:szCs w:val="22"/>
                <w:color w:val="auto"/>
              </w:rPr>
            </w:pPr>
          </w:p>
        </w:tc>
        <w:tc>
          <w:tcPr>
            <w:tcW w:w="1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9"/>
                <w:szCs w:val="19"/>
                <w:b w:val="1"/>
                <w:bCs w:val="1"/>
                <w:color w:val="auto"/>
              </w:rPr>
              <w:t>2024</w:t>
            </w:r>
          </w:p>
        </w:tc>
      </w:tr>
      <w:tr>
        <w:trPr>
          <w:trHeight w:val="267"/>
        </w:trPr>
        <w:tc>
          <w:tcPr>
            <w:tcW w:w="6400" w:type="dxa"/>
            <w:vAlign w:val="bottom"/>
            <w:shd w:val="clear" w:color="auto" w:fill="E6E6E6"/>
          </w:tcPr>
          <w:p>
            <w:pPr>
              <w:ind w:left="60"/>
              <w:spacing w:after="0"/>
              <w:rPr>
                <w:sz w:val="20"/>
                <w:szCs w:val="20"/>
                <w:color w:val="auto"/>
              </w:rPr>
            </w:pPr>
            <w:r>
              <w:rPr>
                <w:rFonts w:ascii="Arial" w:cs="Arial" w:eastAsia="Arial" w:hAnsi="Arial"/>
                <w:sz w:val="19"/>
                <w:szCs w:val="19"/>
                <w:color w:val="auto"/>
              </w:rPr>
              <w:t>Balance at January 1</w:t>
            </w:r>
          </w:p>
        </w:tc>
        <w:tc>
          <w:tcPr>
            <w:tcW w:w="980" w:type="dxa"/>
            <w:vAlign w:val="bottom"/>
            <w:shd w:val="clear" w:color="auto" w:fill="E6E6E6"/>
          </w:tcPr>
          <w:p>
            <w:pPr>
              <w:jc w:val="right"/>
              <w:ind w:right="743"/>
              <w:spacing w:after="0"/>
              <w:rPr>
                <w:sz w:val="20"/>
                <w:szCs w:val="20"/>
                <w:color w:val="auto"/>
              </w:rPr>
            </w:pPr>
            <w:r>
              <w:rPr>
                <w:rFonts w:ascii="Arial" w:cs="Arial" w:eastAsia="Arial" w:hAnsi="Arial"/>
                <w:sz w:val="19"/>
                <w:szCs w:val="19"/>
                <w:color w:val="auto"/>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7,441</w:t>
            </w:r>
          </w:p>
        </w:tc>
        <w:tc>
          <w:tcPr>
            <w:tcW w:w="540" w:type="dxa"/>
            <w:vAlign w:val="bottom"/>
            <w:gridSpan w:val="2"/>
            <w:shd w:val="clear" w:color="auto" w:fill="E6E6E6"/>
          </w:tcPr>
          <w:p>
            <w:pPr>
              <w:jc w:val="right"/>
              <w:ind w:right="123"/>
              <w:spacing w:after="0"/>
              <w:rPr>
                <w:sz w:val="20"/>
                <w:szCs w:val="20"/>
                <w:color w:val="auto"/>
              </w:rPr>
            </w:pPr>
            <w:r>
              <w:rPr>
                <w:rFonts w:ascii="Arial" w:cs="Arial" w:eastAsia="Arial" w:hAnsi="Arial"/>
                <w:sz w:val="19"/>
                <w:szCs w:val="19"/>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7,143</w:t>
            </w:r>
          </w:p>
        </w:tc>
      </w:tr>
      <w:tr>
        <w:trPr>
          <w:trHeight w:val="270"/>
        </w:trPr>
        <w:tc>
          <w:tcPr>
            <w:tcW w:w="6400" w:type="dxa"/>
            <w:vAlign w:val="bottom"/>
          </w:tcPr>
          <w:p>
            <w:pPr>
              <w:ind w:left="60"/>
              <w:spacing w:after="0"/>
              <w:rPr>
                <w:sz w:val="20"/>
                <w:szCs w:val="20"/>
                <w:color w:val="auto"/>
              </w:rPr>
            </w:pPr>
            <w:r>
              <w:rPr>
                <w:rFonts w:ascii="Arial" w:cs="Arial" w:eastAsia="Arial" w:hAnsi="Arial"/>
                <w:sz w:val="19"/>
                <w:szCs w:val="19"/>
                <w:color w:val="auto"/>
              </w:rPr>
              <w:t>Miles earned</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3,883</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3,563</w:t>
            </w:r>
          </w:p>
        </w:tc>
      </w:tr>
      <w:tr>
        <w:trPr>
          <w:trHeight w:val="283"/>
        </w:trPr>
        <w:tc>
          <w:tcPr>
            <w:tcW w:w="6400" w:type="dxa"/>
            <w:vAlign w:val="bottom"/>
            <w:shd w:val="clear" w:color="auto" w:fill="E6E6E6"/>
          </w:tcPr>
          <w:p>
            <w:pPr>
              <w:ind w:left="60"/>
              <w:spacing w:after="0"/>
              <w:rPr>
                <w:sz w:val="20"/>
                <w:szCs w:val="20"/>
                <w:color w:val="auto"/>
              </w:rPr>
            </w:pPr>
            <w:r>
              <w:rPr>
                <w:rFonts w:ascii="Arial" w:cs="Arial" w:eastAsia="Arial" w:hAnsi="Arial"/>
                <w:sz w:val="19"/>
                <w:szCs w:val="19"/>
                <w:color w:val="auto"/>
              </w:rPr>
              <w:t>Travel miles redeemed</w:t>
            </w:r>
          </w:p>
        </w:tc>
        <w:tc>
          <w:tcPr>
            <w:tcW w:w="98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2"/>
              </w:rPr>
              <w:t>(3,414)</w:t>
            </w:r>
          </w:p>
        </w:tc>
        <w:tc>
          <w:tcPr>
            <w:tcW w:w="1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(3,150)</w:t>
            </w:r>
          </w:p>
        </w:tc>
      </w:tr>
      <w:tr>
        <w:trPr>
          <w:trHeight w:val="266"/>
        </w:trPr>
        <w:tc>
          <w:tcPr>
            <w:tcW w:w="640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Non-travel miles redeemed</w:t>
            </w:r>
          </w:p>
        </w:tc>
        <w:tc>
          <w:tcPr>
            <w:tcW w:w="9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(133)</w:t>
            </w:r>
          </w:p>
        </w:tc>
        <w:tc>
          <w:tcPr>
            <w:tcW w:w="18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(115)</w:t>
            </w:r>
          </w:p>
        </w:tc>
      </w:tr>
      <w:tr>
        <w:trPr>
          <w:trHeight w:val="276"/>
        </w:trPr>
        <w:tc>
          <w:tcPr>
            <w:tcW w:w="64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Balance at December 31</w:t>
            </w:r>
          </w:p>
        </w:tc>
        <w:tc>
          <w:tcPr>
            <w:tcW w:w="980" w:type="dxa"/>
            <w:vAlign w:val="bottom"/>
            <w:tcBorders>
              <w:bottom w:val="single" w:sz="8" w:color="auto"/>
            </w:tcBorders>
            <w:shd w:val="clear" w:color="auto" w:fill="E6E6E6"/>
          </w:tcPr>
          <w:p>
            <w:pPr>
              <w:jc w:val="right"/>
              <w:ind w:right="743"/>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7,777</w:t>
            </w:r>
          </w:p>
        </w:tc>
        <w:tc>
          <w:tcPr>
            <w:tcW w:w="18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jc w:val="right"/>
              <w:ind w:right="123"/>
              <w:spacing w:after="0"/>
              <w:rPr>
                <w:sz w:val="20"/>
                <w:szCs w:val="20"/>
                <w:color w:val="auto"/>
              </w:rPr>
            </w:pPr>
            <w:r>
              <w:rPr>
                <w:rFonts w:ascii="Arial" w:cs="Arial" w:eastAsia="Arial" w:hAnsi="Arial"/>
                <w:sz w:val="19"/>
                <w:szCs w:val="19"/>
                <w:color w:val="auto"/>
              </w:rPr>
              <w:t>$</w:t>
            </w: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-908685</wp:posOffset>
            </wp:positionV>
            <wp:extent cx="215074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38">
                      <a:extLst>
                        <a:ext uri="{28A0092B-C50C-407E-A947-70E740481C1C}"/>
                      </a:extLst>
                    </a:blip>
                    <a:srcRect/>
                    <a:stretch>
                      <a:fillRect/>
                    </a:stretch>
                  </pic:blipFill>
                  <pic:spPr bwMode="auto">
                    <a:xfrm>
                      <a:off x="0" y="0"/>
                      <a:ext cx="2150745" cy="25400"/>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-206375</wp:posOffset>
            </wp:positionV>
            <wp:extent cx="215074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9">
                      <a:extLst>
                        <a:ext uri="{28A0092B-C50C-407E-A947-70E740481C1C}"/>
                      </a:extLst>
                    </a:blip>
                    <a:srcRect/>
                    <a:stretch>
                      <a:fillRect/>
                    </a:stretch>
                  </pic:blipFill>
                  <pic:spPr bwMode="auto">
                    <a:xfrm>
                      <a:off x="0" y="0"/>
                      <a:ext cx="2150745" cy="25400"/>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-43180</wp:posOffset>
            </wp:positionV>
            <wp:extent cx="2150745" cy="501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0">
                      <a:extLst>
                        <a:ext uri="{28A0092B-C50C-407E-A947-70E740481C1C}"/>
                      </a:extLst>
                    </a:blip>
                    <a:srcRect/>
                    <a:stretch>
                      <a:fillRect/>
                    </a:stretch>
                  </pic:blipFill>
                  <pic:spPr bwMode="auto">
                    <a:xfrm>
                      <a:off x="0" y="0"/>
                      <a:ext cx="2150745" cy="50165"/>
                    </a:xfrm>
                    <a:prstGeom prst="rect">
                      <a:avLst/>
                    </a:prstGeom>
                    <a:noFill/>
                  </pic:spPr>
                </pic:pic>
              </a:graphicData>
            </a:graphic>
          </wp:anchor>
        </w:drawing>
      </w:r>
    </w:p>
    <w:p>
      <w:pPr>
        <w:spacing w:after="0" w:line="162"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The portion of the total amounts received from our various partner agreements that is related to the MileagePlus miles awarded is deferred and presented in the table above as an increase to Frequent flyer deferred revenue. In the years ended December 31, 2025, 2024 and 2023, the Company recognized, in Other operating revenue, $3.2 billion, $2.9 billion and $2.7 billion, respectively, related to the marketing, advertising, non-travel miles redeemed (net of related costs) and other travel-related benefits of the mileage revenue associated with our various partner agreements including, but not limited to, our Co-Brand Agreement.</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Cargo Revenue. </w:t>
      </w:r>
      <w:r>
        <w:rPr>
          <w:rFonts w:ascii="Arial" w:cs="Arial" w:eastAsia="Arial" w:hAnsi="Arial"/>
          <w:sz w:val="19"/>
          <w:szCs w:val="19"/>
          <w:color w:val="auto"/>
        </w:rPr>
        <w:t>Cargo revenue is recognized when the related shipment arrives at its destination.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3 - COMMON STOCKHOLDERS' EQUITY AND PREFERRED SECURITIES</w:t>
      </w:r>
    </w:p>
    <w:p>
      <w:pPr>
        <w:spacing w:after="0" w:line="193"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On October 15, 2024, the Company announced that its Board of Directors (the "Board") authorized a new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program, allowing for purchases of up to $1.5 billion in the aggregate of outstanding UAL common stock and certain Warrants (as defined below) issued in connection with the Coronavirus Aid, Relief, and Economic Security Act (the "CARES Act"), subject to a limit of $500 million in the aggregate through 2024. In 2025, the Company repurchased 8.1 million shares of UAL common stock at an average price of $78.75 for a total investment of approximately $640 million, including commissions and taxes, as part of the program. As of February 5, 2026, the dollar value of shares that may yet be purchased under the program is approximately $0.8 billion. Unless suspended or terminated earlier by the Board, this program has no set expiration date and will therefore terminate when the Company has completed all purchases authorized under the program. The specific timing and number of shares of UAL common stock or Warrants purchased will be determined by the Company's management at its discretion and will vary based on the capital needs of the business, the market price of UAL common stock, general market conditions, securities law limitations and other factors. The purchases may be effected through a combination of one or more open market and privately negotiated transactions (including under trading plans intended to comply with Rule 10b5-1 under the Securities Exchange Act of 1934, as amended (the "Exchange Act")) as well as transactions structured through investment banking institutions and other derivative transactions (including through one or more accelerated share repurchase programs).</w:t>
      </w:r>
    </w:p>
    <w:p>
      <w:pPr>
        <w:spacing w:after="0" w:line="126" w:lineRule="exact"/>
        <w:rPr>
          <w:sz w:val="20"/>
          <w:szCs w:val="20"/>
          <w:color w:val="auto"/>
        </w:rPr>
      </w:pPr>
    </w:p>
    <w:p>
      <w:pPr>
        <w:ind w:right="180"/>
        <w:spacing w:after="0" w:line="251" w:lineRule="auto"/>
        <w:rPr>
          <w:sz w:val="20"/>
          <w:szCs w:val="20"/>
          <w:color w:val="auto"/>
        </w:rPr>
      </w:pPr>
      <w:r>
        <w:rPr>
          <w:rFonts w:ascii="Arial" w:cs="Arial" w:eastAsia="Arial" w:hAnsi="Arial"/>
          <w:sz w:val="19"/>
          <w:szCs w:val="19"/>
          <w:color w:val="auto"/>
        </w:rPr>
        <w:t>In August 2024, the Company also repurchased, through open market repurchases, following the exercise of the Warrants described below, 2,043,906 shares of UAL common stock, which was recorded as an approximately $82 million increase to Stock held in treasury, at cost. These share repurchases were executed outside of a publicly announced plan or program using cash resources.</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As of December 31, 2025, approximately 3.7 million shares of UAL's common stock were reserved for future issuance related to the issuance of equity-based awards under the Company's incentive compensation plans.</w:t>
      </w:r>
    </w:p>
    <w:p>
      <w:pPr>
        <w:spacing w:after="0" w:line="102" w:lineRule="exact"/>
        <w:rPr>
          <w:sz w:val="20"/>
          <w:szCs w:val="20"/>
          <w:color w:val="auto"/>
        </w:rPr>
      </w:pPr>
    </w:p>
    <w:p>
      <w:pPr>
        <w:ind w:right="400"/>
        <w:spacing w:after="0" w:line="276" w:lineRule="auto"/>
        <w:rPr>
          <w:sz w:val="20"/>
          <w:szCs w:val="20"/>
          <w:color w:val="auto"/>
        </w:rPr>
      </w:pPr>
      <w:r>
        <w:rPr>
          <w:rFonts w:ascii="Arial" w:cs="Arial" w:eastAsia="Arial" w:hAnsi="Arial"/>
          <w:sz w:val="19"/>
          <w:szCs w:val="19"/>
          <w:b w:val="1"/>
          <w:bCs w:val="1"/>
          <w:i w:val="1"/>
          <w:iCs w:val="1"/>
          <w:color w:val="auto"/>
        </w:rPr>
        <w:t xml:space="preserve">Preferred stock. </w:t>
      </w:r>
      <w:r>
        <w:rPr>
          <w:rFonts w:ascii="Arial" w:cs="Arial" w:eastAsia="Arial" w:hAnsi="Arial"/>
          <w:sz w:val="19"/>
          <w:szCs w:val="19"/>
          <w:color w:val="auto"/>
        </w:rPr>
        <w:t>As of December 31, 2025, UAL had two shares of junior preferred stock (par value $0.01 per share)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outstanding. In addition, UAL is authorized to issue 250 million shares of preferred stock (without par value) under UAL's amended and restated certificate of incorporation.</w:t>
      </w:r>
    </w:p>
    <w:p>
      <w:pPr>
        <w:spacing w:after="0" w:line="119" w:lineRule="exact"/>
        <w:rPr>
          <w:sz w:val="20"/>
          <w:szCs w:val="20"/>
          <w:color w:val="auto"/>
        </w:rPr>
      </w:pPr>
    </w:p>
    <w:p>
      <w:pPr>
        <w:ind w:right="100"/>
        <w:spacing w:after="0" w:line="298"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In 2020 and 2021, the Company issued to the United States Department of the Treasury (the "U.S. Treasury")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("Warrants") to purchase 9,928,349 shares of UAL common stock in connection with the Payroll Support Program ("PSP") established under Division A, Title IV, Subtitle B of the CARES Act, the Payroll Support Program Extension established under Division N, Title IV, Subtitle A of the Consolidated Appropriations Act, 2021 ("PSP2"), the Payroll Support Program 3 established under Title VII, Subtitle C of the American Rescue Plan Act of 2021 ("PSP3"), and the Airline Loan Program established under Division A, Title IV, Subtitle A of the CARES Act. In August 2024, the holder of the Warrants exercised 6,414,635 of the Warrants, with an exercise price of $31.50, in a net share settlement for 2,043,906 shares of UAL</w:t>
      </w:r>
    </w:p>
    <w:p>
      <w:pPr>
        <w:sectPr>
          <w:pgSz w:w="11880" w:h="15480" w:orient="portrait"/>
          <w:cols w:equalWidth="0" w:num="1">
            <w:col w:w="9920"/>
          </w:cols>
          <w:pgMar w:left="960" w:top="583" w:right="1000" w:bottom="33"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9920"/>
          </w:cols>
          <w:pgMar w:left="960" w:top="583" w:right="1000" w:bottom="33" w:gutter="0" w:footer="0" w:header="0"/>
          <w:type w:val="continuous"/>
        </w:sectPr>
      </w:pPr>
    </w:p>
    <w:bookmarkStart w:id="75" w:name="page76"/>
    <w:bookmarkEnd w:id="75"/>
    <w:p>
      <w:pPr>
        <w:ind w:right="60"/>
        <w:spacing w:after="0" w:line="294" w:lineRule="auto"/>
        <w:rPr>
          <w:sz w:val="20"/>
          <w:szCs w:val="20"/>
          <w:color w:val="auto"/>
        </w:rPr>
      </w:pPr>
      <w:r>
        <w:rPr>
          <w:rFonts w:ascii="Arial" w:cs="Arial" w:eastAsia="Arial" w:hAnsi="Arial"/>
          <w:sz w:val="19"/>
          <w:szCs w:val="19"/>
          <w:color w:val="auto"/>
        </w:rPr>
        <w:t>common stock. In March 2025, the remaining 3,513,714 Warrants were exercised in a net share settlement for 1,801,430 shares of UAL 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4 - EARNINGS PER SHARE</w:t>
      </w:r>
    </w:p>
    <w:p>
      <w:pPr>
        <w:spacing w:after="0" w:line="196" w:lineRule="exact"/>
        <w:rPr>
          <w:sz w:val="20"/>
          <w:szCs w:val="20"/>
          <w:color w:val="auto"/>
        </w:rPr>
      </w:pPr>
    </w:p>
    <w:p>
      <w:pPr>
        <w:jc w:val="both"/>
        <w:ind w:right="160"/>
        <w:spacing w:after="0" w:line="274" w:lineRule="auto"/>
        <w:rPr>
          <w:sz w:val="20"/>
          <w:szCs w:val="20"/>
          <w:color w:val="auto"/>
        </w:rPr>
      </w:pPr>
      <w:r>
        <w:rPr>
          <w:rFonts w:ascii="Arial" w:cs="Arial" w:eastAsia="Arial" w:hAnsi="Arial"/>
          <w:sz w:val="19"/>
          <w:szCs w:val="19"/>
          <w:color w:val="auto"/>
        </w:rPr>
        <w:t>The following table shows the computation of UAL's basic and diluted earnings per share, the latter of which uses the treasury stock method to calculate the dilutive effect of UAL's potential common stock, for the years ended December 31 (in millions, except per share amounts):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 w:type="dxa"/>
            <w:vAlign w:val="bottom"/>
            <w:tcBorders>
              <w:bottom w:val="single" w:sz="8" w:color="E6E6E6"/>
            </w:tcBorders>
          </w:tcPr>
          <w:p>
            <w:pPr>
              <w:spacing w:after="0"/>
              <w:rPr>
                <w:sz w:val="22"/>
                <w:szCs w:val="22"/>
                <w:color w:val="auto"/>
              </w:rPr>
            </w:pPr>
          </w:p>
        </w:tc>
        <w:tc>
          <w:tcPr>
            <w:tcW w:w="2520" w:type="dxa"/>
            <w:vAlign w:val="bottom"/>
            <w:tcBorders>
              <w:bottom w:val="single" w:sz="8" w:color="E6E6E6"/>
            </w:tcBorders>
          </w:tcPr>
          <w:p>
            <w:pPr>
              <w:spacing w:after="0"/>
              <w:rPr>
                <w:sz w:val="22"/>
                <w:szCs w:val="22"/>
                <w:color w:val="auto"/>
              </w:rPr>
            </w:pPr>
          </w:p>
        </w:tc>
        <w:tc>
          <w:tcPr>
            <w:tcW w:w="380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9"/>
                <w:szCs w:val="19"/>
                <w:b w:val="1"/>
                <w:bCs w:val="1"/>
                <w:color w:val="auto"/>
              </w:rPr>
              <w:t>2025</w:t>
            </w:r>
          </w:p>
        </w:tc>
        <w:tc>
          <w:tcPr>
            <w:tcW w:w="8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3"/>
              <w:spacing w:after="0"/>
              <w:rPr>
                <w:sz w:val="20"/>
                <w:szCs w:val="20"/>
                <w:color w:val="auto"/>
              </w:rPr>
            </w:pPr>
            <w:r>
              <w:rPr>
                <w:rFonts w:ascii="Arial" w:cs="Arial" w:eastAsia="Arial" w:hAnsi="Arial"/>
                <w:sz w:val="19"/>
                <w:szCs w:val="19"/>
                <w:b w:val="1"/>
                <w:bCs w:val="1"/>
                <w:color w:val="auto"/>
              </w:rPr>
              <w:t>2024</w:t>
            </w:r>
          </w:p>
        </w:tc>
        <w:tc>
          <w:tcPr>
            <w:tcW w:w="20" w:type="dxa"/>
            <w:vAlign w:val="bottom"/>
            <w:tcBorders>
              <w:bottom w:val="single" w:sz="8" w:color="E6E6E6"/>
            </w:tcBorders>
          </w:tcPr>
          <w:p>
            <w:pPr>
              <w:spacing w:after="0"/>
              <w:rPr>
                <w:sz w:val="22"/>
                <w:szCs w:val="22"/>
                <w:color w:val="auto"/>
              </w:rPr>
            </w:pPr>
          </w:p>
        </w:tc>
        <w:tc>
          <w:tcPr>
            <w:tcW w:w="4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3"/>
              <w:spacing w:after="0"/>
              <w:rPr>
                <w:sz w:val="20"/>
                <w:szCs w:val="20"/>
                <w:color w:val="auto"/>
              </w:rPr>
            </w:pPr>
            <w:r>
              <w:rPr>
                <w:rFonts w:ascii="Arial" w:cs="Arial" w:eastAsia="Arial" w:hAnsi="Arial"/>
                <w:sz w:val="19"/>
                <w:szCs w:val="19"/>
                <w:b w:val="1"/>
                <w:bCs w:val="1"/>
                <w:color w:val="auto"/>
              </w:rPr>
              <w:t>2023</w:t>
            </w:r>
          </w:p>
        </w:tc>
        <w:tc>
          <w:tcPr>
            <w:tcW w:w="20" w:type="dxa"/>
            <w:vAlign w:val="bottom"/>
            <w:tcBorders>
              <w:bottom w:val="single" w:sz="8" w:color="E6E6E6"/>
            </w:tcBorders>
          </w:tcPr>
          <w:p>
            <w:pPr>
              <w:spacing w:after="0"/>
              <w:rPr>
                <w:sz w:val="22"/>
                <w:szCs w:val="22"/>
                <w:color w:val="auto"/>
              </w:rPr>
            </w:pPr>
          </w:p>
        </w:tc>
      </w:tr>
      <w:tr>
        <w:trPr>
          <w:trHeight w:val="290"/>
        </w:trPr>
        <w:tc>
          <w:tcPr>
            <w:tcW w:w="60" w:type="dxa"/>
            <w:vAlign w:val="bottom"/>
            <w:tcBorders>
              <w:bottom w:val="single" w:sz="8" w:color="E6E6E6"/>
            </w:tcBorders>
            <w:shd w:val="clear" w:color="auto" w:fill="E6E6E6"/>
          </w:tcPr>
          <w:p>
            <w:pPr>
              <w:spacing w:after="0"/>
              <w:rPr>
                <w:sz w:val="24"/>
                <w:szCs w:val="24"/>
                <w:color w:val="auto"/>
              </w:rPr>
            </w:pPr>
          </w:p>
        </w:tc>
        <w:tc>
          <w:tcPr>
            <w:tcW w:w="632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9"/>
                <w:szCs w:val="19"/>
                <w:color w:val="auto"/>
              </w:rPr>
              <w:t>Earnings available to common stockholders</w:t>
            </w:r>
          </w:p>
        </w:tc>
        <w:tc>
          <w:tcPr>
            <w:tcW w:w="260" w:type="dxa"/>
            <w:vAlign w:val="bottom"/>
            <w:tcBorders>
              <w:bottom w:val="single" w:sz="8" w:color="auto"/>
            </w:tcBorders>
            <w:shd w:val="clear" w:color="auto" w:fill="E6E6E6"/>
          </w:tcPr>
          <w:p>
            <w:pPr>
              <w:jc w:val="right"/>
              <w:ind w:right="23"/>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3,353</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23"/>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3,149</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2,618</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2"/>
        </w:trPr>
        <w:tc>
          <w:tcPr>
            <w:tcW w:w="6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1"/>
        </w:trPr>
        <w:tc>
          <w:tcPr>
            <w:tcW w:w="60" w:type="dxa"/>
            <w:vAlign w:val="bottom"/>
            <w:tcBorders>
              <w:bottom w:val="single" w:sz="8" w:color="E6E6E6"/>
            </w:tcBorders>
            <w:shd w:val="clear" w:color="auto" w:fill="E6E6E6"/>
          </w:tcPr>
          <w:p>
            <w:pPr>
              <w:spacing w:after="0"/>
              <w:rPr>
                <w:sz w:val="23"/>
                <w:szCs w:val="23"/>
                <w:color w:val="auto"/>
              </w:rPr>
            </w:pPr>
          </w:p>
        </w:tc>
        <w:tc>
          <w:tcPr>
            <w:tcW w:w="632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9"/>
                <w:szCs w:val="19"/>
                <w:color w:val="auto"/>
              </w:rPr>
              <w:t>Basic weighted-average shares outstanding</w:t>
            </w:r>
          </w:p>
        </w:tc>
        <w:tc>
          <w:tcPr>
            <w:tcW w:w="260" w:type="dxa"/>
            <w:vAlign w:val="bottom"/>
            <w:tcBorders>
              <w:bottom w:val="single" w:sz="8" w:color="E6E6E6"/>
            </w:tcBorders>
            <w:shd w:val="clear" w:color="auto" w:fill="E6E6E6"/>
          </w:tcPr>
          <w:p>
            <w:pPr>
              <w:spacing w:after="0"/>
              <w:rPr>
                <w:sz w:val="23"/>
                <w:szCs w:val="23"/>
                <w:color w:val="auto"/>
              </w:rPr>
            </w:pPr>
          </w:p>
        </w:tc>
        <w:tc>
          <w:tcPr>
            <w:tcW w:w="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324.9</w:t>
            </w:r>
          </w:p>
        </w:tc>
        <w:tc>
          <w:tcPr>
            <w:tcW w:w="8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E6E6E6"/>
            </w:tcBorders>
            <w:shd w:val="clear" w:color="auto" w:fill="E6E6E6"/>
          </w:tcPr>
          <w:p>
            <w:pPr>
              <w:spacing w:after="0"/>
              <w:rPr>
                <w:sz w:val="23"/>
                <w:szCs w:val="23"/>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328.6</w:t>
            </w:r>
          </w:p>
        </w:tc>
        <w:tc>
          <w:tcPr>
            <w:tcW w:w="20" w:type="dxa"/>
            <w:vAlign w:val="bottom"/>
            <w:tcBorders>
              <w:bottom w:val="single" w:sz="8" w:color="E6E6E6"/>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E6E6E6"/>
            </w:tcBorders>
            <w:shd w:val="clear" w:color="auto" w:fill="E6E6E6"/>
          </w:tcPr>
          <w:p>
            <w:pPr>
              <w:spacing w:after="0"/>
              <w:rPr>
                <w:sz w:val="23"/>
                <w:szCs w:val="23"/>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327.8</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61"/>
        </w:trPr>
        <w:tc>
          <w:tcPr>
            <w:tcW w:w="60" w:type="dxa"/>
            <w:vAlign w:val="bottom"/>
          </w:tcPr>
          <w:p>
            <w:pPr>
              <w:spacing w:after="0"/>
              <w:rPr>
                <w:sz w:val="22"/>
                <w:szCs w:val="22"/>
                <w:color w:val="auto"/>
              </w:rPr>
            </w:pPr>
          </w:p>
        </w:tc>
        <w:tc>
          <w:tcPr>
            <w:tcW w:w="6320" w:type="dxa"/>
            <w:vAlign w:val="bottom"/>
            <w:gridSpan w:val="2"/>
          </w:tcPr>
          <w:p>
            <w:pPr>
              <w:spacing w:after="0"/>
              <w:rPr>
                <w:sz w:val="20"/>
                <w:szCs w:val="20"/>
                <w:color w:val="auto"/>
              </w:rPr>
            </w:pPr>
            <w:r>
              <w:rPr>
                <w:rFonts w:ascii="Arial" w:cs="Arial" w:eastAsia="Arial" w:hAnsi="Arial"/>
                <w:sz w:val="19"/>
                <w:szCs w:val="19"/>
                <w:color w:val="auto"/>
              </w:rPr>
              <w:t>Dilutive effect of stock Warrants (a)</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0.3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2.2</w:t>
            </w:r>
          </w:p>
        </w:tc>
        <w:tc>
          <w:tcPr>
            <w:tcW w:w="20" w:type="dxa"/>
            <w:vAlign w:val="bottom"/>
          </w:tcPr>
          <w:p>
            <w:pPr>
              <w:spacing w:after="0"/>
              <w:rPr>
                <w:sz w:val="22"/>
                <w:szCs w:val="22"/>
                <w:color w:val="auto"/>
              </w:rPr>
            </w:pPr>
          </w:p>
        </w:tc>
      </w:tr>
      <w:tr>
        <w:trPr>
          <w:trHeight w:val="30"/>
        </w:trPr>
        <w:tc>
          <w:tcPr>
            <w:tcW w:w="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6"/>
        </w:trPr>
        <w:tc>
          <w:tcPr>
            <w:tcW w:w="60" w:type="dxa"/>
            <w:vAlign w:val="bottom"/>
            <w:tcBorders>
              <w:bottom w:val="single" w:sz="8" w:color="E6E6E6"/>
            </w:tcBorders>
            <w:shd w:val="clear" w:color="auto" w:fill="E6E6E6"/>
          </w:tcPr>
          <w:p>
            <w:pPr>
              <w:spacing w:after="0"/>
              <w:rPr>
                <w:sz w:val="24"/>
                <w:szCs w:val="24"/>
                <w:color w:val="auto"/>
              </w:rPr>
            </w:pPr>
          </w:p>
        </w:tc>
        <w:tc>
          <w:tcPr>
            <w:tcW w:w="632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9"/>
                <w:szCs w:val="19"/>
                <w:color w:val="auto"/>
              </w:rPr>
              <w:t>Dilutive effect of employee stock awards</w:t>
            </w:r>
          </w:p>
        </w:tc>
        <w:tc>
          <w:tcPr>
            <w:tcW w:w="26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3.3</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2.9</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1.9</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0"/>
        </w:trPr>
        <w:tc>
          <w:tcPr>
            <w:tcW w:w="60" w:type="dxa"/>
            <w:vAlign w:val="bottom"/>
            <w:tcBorders>
              <w:top w:val="single" w:sz="8" w:color="E6E6E6"/>
              <w:bottom w:val="single" w:sz="8" w:color="E6E6E6"/>
            </w:tcBorders>
          </w:tcPr>
          <w:p>
            <w:pPr>
              <w:spacing w:after="0"/>
              <w:rPr>
                <w:sz w:val="23"/>
                <w:szCs w:val="23"/>
                <w:color w:val="auto"/>
              </w:rPr>
            </w:pPr>
          </w:p>
        </w:tc>
        <w:tc>
          <w:tcPr>
            <w:tcW w:w="6320" w:type="dxa"/>
            <w:vAlign w:val="bottom"/>
            <w:tcBorders>
              <w:top w:val="single" w:sz="8" w:color="E6E6E6"/>
              <w:bottom w:val="single" w:sz="8" w:color="E6E6E6"/>
            </w:tcBorders>
            <w:gridSpan w:val="2"/>
          </w:tcPr>
          <w:p>
            <w:pPr>
              <w:spacing w:after="0"/>
              <w:rPr>
                <w:sz w:val="20"/>
                <w:szCs w:val="20"/>
                <w:color w:val="auto"/>
              </w:rPr>
            </w:pPr>
            <w:r>
              <w:rPr>
                <w:rFonts w:ascii="Arial" w:cs="Arial" w:eastAsia="Arial" w:hAnsi="Arial"/>
                <w:sz w:val="19"/>
                <w:szCs w:val="19"/>
                <w:color w:val="auto"/>
              </w:rPr>
              <w:t>Diluted weighted-average shares outstanding</w:t>
            </w:r>
          </w:p>
        </w:tc>
        <w:tc>
          <w:tcPr>
            <w:tcW w:w="26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328.5</w:t>
            </w:r>
          </w:p>
        </w:tc>
        <w:tc>
          <w:tcPr>
            <w:tcW w:w="80" w:type="dxa"/>
            <w:vAlign w:val="bottom"/>
            <w:tcBorders>
              <w:top w:val="single" w:sz="8" w:color="E6E6E6"/>
              <w:bottom w:val="single" w:sz="8" w:color="E6E6E6"/>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333.2</w:t>
            </w:r>
          </w:p>
        </w:tc>
        <w:tc>
          <w:tcPr>
            <w:tcW w:w="20" w:type="dxa"/>
            <w:vAlign w:val="bottom"/>
            <w:tcBorders>
              <w:top w:val="single" w:sz="8" w:color="E6E6E6"/>
              <w:bottom w:val="single" w:sz="8" w:color="E6E6E6"/>
            </w:tcBorders>
          </w:tcPr>
          <w:p>
            <w:pPr>
              <w:spacing w:after="0"/>
              <w:rPr>
                <w:sz w:val="23"/>
                <w:szCs w:val="23"/>
                <w:color w:val="auto"/>
              </w:rPr>
            </w:pPr>
          </w:p>
        </w:tc>
        <w:tc>
          <w:tcPr>
            <w:tcW w:w="40" w:type="dxa"/>
            <w:vAlign w:val="bottom"/>
            <w:tcBorders>
              <w:top w:val="single" w:sz="8" w:color="E6E6E6"/>
              <w:bottom w:val="single" w:sz="8" w:color="E6E6E6"/>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331.9</w:t>
            </w:r>
          </w:p>
        </w:tc>
        <w:tc>
          <w:tcPr>
            <w:tcW w:w="20" w:type="dxa"/>
            <w:vAlign w:val="bottom"/>
            <w:tcBorders>
              <w:top w:val="single" w:sz="8" w:color="E6E6E6"/>
              <w:bottom w:val="single" w:sz="8" w:color="E6E6E6"/>
            </w:tcBorders>
          </w:tcPr>
          <w:p>
            <w:pPr>
              <w:spacing w:after="0"/>
              <w:rPr>
                <w:sz w:val="23"/>
                <w:szCs w:val="23"/>
                <w:color w:val="auto"/>
              </w:rPr>
            </w:pPr>
          </w:p>
        </w:tc>
      </w:tr>
      <w:tr>
        <w:trPr>
          <w:trHeight w:val="262"/>
        </w:trPr>
        <w:tc>
          <w:tcPr>
            <w:tcW w:w="60" w:type="dxa"/>
            <w:vAlign w:val="bottom"/>
            <w:shd w:val="clear" w:color="auto" w:fill="E6E6E6"/>
          </w:tcPr>
          <w:p>
            <w:pPr>
              <w:spacing w:after="0"/>
              <w:rPr>
                <w:sz w:val="22"/>
                <w:szCs w:val="22"/>
                <w:color w:val="auto"/>
              </w:rPr>
            </w:pPr>
          </w:p>
        </w:tc>
        <w:tc>
          <w:tcPr>
            <w:tcW w:w="2520" w:type="dxa"/>
            <w:vAlign w:val="bottom"/>
            <w:shd w:val="clear" w:color="auto" w:fill="E6E6E6"/>
          </w:tcPr>
          <w:p>
            <w:pPr>
              <w:spacing w:after="0"/>
              <w:rPr>
                <w:sz w:val="22"/>
                <w:szCs w:val="22"/>
                <w:color w:val="auto"/>
              </w:rPr>
            </w:pPr>
          </w:p>
        </w:tc>
        <w:tc>
          <w:tcPr>
            <w:tcW w:w="380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r>
      <w:tr>
        <w:trPr>
          <w:trHeight w:val="300"/>
        </w:trPr>
        <w:tc>
          <w:tcPr>
            <w:tcW w:w="6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19"/>
                <w:szCs w:val="19"/>
                <w:color w:val="auto"/>
              </w:rPr>
              <w:t>Earnings per share, basic</w:t>
            </w: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10.32</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9.58</w:t>
            </w:r>
          </w:p>
        </w:tc>
        <w:tc>
          <w:tcPr>
            <w:tcW w:w="320" w:type="dxa"/>
            <w:vAlign w:val="bottom"/>
            <w:gridSpan w:val="3"/>
          </w:tcPr>
          <w:p>
            <w:pPr>
              <w:jc w:val="right"/>
              <w:ind w:right="3"/>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7.98</w:t>
            </w:r>
          </w:p>
        </w:tc>
        <w:tc>
          <w:tcPr>
            <w:tcW w:w="20" w:type="dxa"/>
            <w:vAlign w:val="bottom"/>
          </w:tcPr>
          <w:p>
            <w:pPr>
              <w:spacing w:after="0"/>
              <w:rPr>
                <w:sz w:val="24"/>
                <w:szCs w:val="24"/>
                <w:color w:val="auto"/>
              </w:rPr>
            </w:pPr>
          </w:p>
        </w:tc>
      </w:tr>
      <w:tr>
        <w:trPr>
          <w:trHeight w:val="271"/>
        </w:trPr>
        <w:tc>
          <w:tcPr>
            <w:tcW w:w="60" w:type="dxa"/>
            <w:vAlign w:val="bottom"/>
            <w:tcBorders>
              <w:top w:val="single" w:sz="8" w:color="E6E6E6"/>
              <w:bottom w:val="single" w:sz="8" w:color="E6E6E6"/>
            </w:tcBorders>
            <w:shd w:val="clear" w:color="auto" w:fill="E6E6E6"/>
          </w:tcPr>
          <w:p>
            <w:pPr>
              <w:spacing w:after="0"/>
              <w:rPr>
                <w:sz w:val="23"/>
                <w:szCs w:val="23"/>
                <w:color w:val="auto"/>
              </w:rPr>
            </w:pPr>
          </w:p>
        </w:tc>
        <w:tc>
          <w:tcPr>
            <w:tcW w:w="6320" w:type="dxa"/>
            <w:vAlign w:val="bottom"/>
            <w:tcBorders>
              <w:top w:val="single" w:sz="8" w:color="E6E6E6"/>
              <w:bottom w:val="single" w:sz="8" w:color="E6E6E6"/>
            </w:tcBorders>
            <w:gridSpan w:val="2"/>
            <w:shd w:val="clear" w:color="auto" w:fill="E6E6E6"/>
          </w:tcPr>
          <w:p>
            <w:pPr>
              <w:spacing w:after="0"/>
              <w:rPr>
                <w:sz w:val="20"/>
                <w:szCs w:val="20"/>
                <w:color w:val="auto"/>
              </w:rPr>
            </w:pPr>
            <w:r>
              <w:rPr>
                <w:rFonts w:ascii="Arial" w:cs="Arial" w:eastAsia="Arial" w:hAnsi="Arial"/>
                <w:sz w:val="19"/>
                <w:szCs w:val="19"/>
                <w:color w:val="auto"/>
              </w:rPr>
              <w:t>Earnings per share, diluted</w:t>
            </w:r>
          </w:p>
        </w:tc>
        <w:tc>
          <w:tcPr>
            <w:tcW w:w="260" w:type="dxa"/>
            <w:vAlign w:val="bottom"/>
            <w:tcBorders>
              <w:top w:val="single" w:sz="8" w:color="auto"/>
              <w:bottom w:val="single" w:sz="8" w:color="auto"/>
            </w:tcBorders>
            <w:shd w:val="clear" w:color="auto" w:fill="E6E6E6"/>
          </w:tcPr>
          <w:p>
            <w:pPr>
              <w:jc w:val="right"/>
              <w:ind w:right="23"/>
              <w:spacing w:after="0"/>
              <w:rPr>
                <w:sz w:val="20"/>
                <w:szCs w:val="20"/>
                <w:color w:val="auto"/>
              </w:rPr>
            </w:pPr>
            <w:r>
              <w:rPr>
                <w:rFonts w:ascii="Arial" w:cs="Arial" w:eastAsia="Arial" w:hAnsi="Arial"/>
                <w:sz w:val="19"/>
                <w:szCs w:val="19"/>
                <w:color w:val="auto"/>
              </w:rPr>
              <w:t>$</w:t>
            </w:r>
          </w:p>
        </w:tc>
        <w:tc>
          <w:tcPr>
            <w:tcW w:w="8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10.20</w:t>
            </w:r>
          </w:p>
        </w:tc>
        <w:tc>
          <w:tcPr>
            <w:tcW w:w="80" w:type="dxa"/>
            <w:vAlign w:val="bottom"/>
            <w:tcBorders>
              <w:top w:val="single" w:sz="8" w:color="E6E6E6"/>
              <w:bottom w:val="single" w:sz="8" w:color="E6E6E6"/>
            </w:tcBorders>
            <w:shd w:val="clear" w:color="auto" w:fill="E6E6E6"/>
          </w:tcPr>
          <w:p>
            <w:pPr>
              <w:spacing w:after="0"/>
              <w:rPr>
                <w:sz w:val="23"/>
                <w:szCs w:val="23"/>
                <w:color w:val="auto"/>
              </w:rPr>
            </w:pPr>
          </w:p>
        </w:tc>
        <w:tc>
          <w:tcPr>
            <w:tcW w:w="260" w:type="dxa"/>
            <w:vAlign w:val="bottom"/>
            <w:tcBorders>
              <w:top w:val="single" w:sz="8" w:color="auto"/>
              <w:bottom w:val="single" w:sz="8" w:color="auto"/>
            </w:tcBorders>
            <w:shd w:val="clear" w:color="auto" w:fill="E6E6E6"/>
          </w:tcPr>
          <w:p>
            <w:pPr>
              <w:jc w:val="right"/>
              <w:ind w:right="23"/>
              <w:spacing w:after="0"/>
              <w:rPr>
                <w:sz w:val="20"/>
                <w:szCs w:val="20"/>
                <w:color w:val="auto"/>
              </w:rPr>
            </w:pPr>
            <w:r>
              <w:rPr>
                <w:rFonts w:ascii="Arial" w:cs="Arial" w:eastAsia="Arial" w:hAnsi="Arial"/>
                <w:sz w:val="19"/>
                <w:szCs w:val="19"/>
                <w:color w:val="auto"/>
              </w:rPr>
              <w:t>$</w:t>
            </w:r>
          </w:p>
        </w:tc>
        <w:tc>
          <w:tcPr>
            <w:tcW w:w="8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9.45</w:t>
            </w:r>
          </w:p>
        </w:tc>
        <w:tc>
          <w:tcPr>
            <w:tcW w:w="20" w:type="dxa"/>
            <w:vAlign w:val="bottom"/>
            <w:tcBorders>
              <w:top w:val="single" w:sz="8" w:color="auto"/>
              <w:bottom w:val="single" w:sz="8" w:color="auto"/>
            </w:tcBorders>
            <w:shd w:val="clear" w:color="auto" w:fill="E6E6E6"/>
          </w:tcPr>
          <w:p>
            <w:pPr>
              <w:spacing w:after="0"/>
              <w:rPr>
                <w:sz w:val="23"/>
                <w:szCs w:val="23"/>
                <w:color w:val="auto"/>
              </w:rPr>
            </w:pPr>
          </w:p>
        </w:tc>
        <w:tc>
          <w:tcPr>
            <w:tcW w:w="40" w:type="dxa"/>
            <w:vAlign w:val="bottom"/>
            <w:tcBorders>
              <w:top w:val="single" w:sz="8" w:color="E6E6E6"/>
              <w:bottom w:val="single" w:sz="8" w:color="E6E6E6"/>
            </w:tcBorders>
            <w:shd w:val="clear" w:color="auto" w:fill="E6E6E6"/>
          </w:tcPr>
          <w:p>
            <w:pPr>
              <w:spacing w:after="0"/>
              <w:rPr>
                <w:sz w:val="23"/>
                <w:szCs w:val="23"/>
                <w:color w:val="auto"/>
              </w:rPr>
            </w:pPr>
          </w:p>
        </w:tc>
        <w:tc>
          <w:tcPr>
            <w:tcW w:w="260" w:type="dxa"/>
            <w:vAlign w:val="bottom"/>
            <w:tcBorders>
              <w:top w:val="single" w:sz="8" w:color="auto"/>
              <w:bottom w:val="single" w:sz="8" w:color="auto"/>
            </w:tcBorders>
            <w:shd w:val="clear" w:color="auto" w:fill="E6E6E6"/>
          </w:tcPr>
          <w:p>
            <w:pPr>
              <w:jc w:val="right"/>
              <w:ind w:right="3"/>
              <w:spacing w:after="0"/>
              <w:rPr>
                <w:sz w:val="20"/>
                <w:szCs w:val="20"/>
                <w:color w:val="auto"/>
              </w:rPr>
            </w:pPr>
            <w:r>
              <w:rPr>
                <w:rFonts w:ascii="Arial" w:cs="Arial" w:eastAsia="Arial" w:hAnsi="Arial"/>
                <w:sz w:val="19"/>
                <w:szCs w:val="19"/>
                <w:color w:val="auto"/>
              </w:rPr>
              <w:t>$</w:t>
            </w:r>
          </w:p>
        </w:tc>
        <w:tc>
          <w:tcPr>
            <w:tcW w:w="8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7.89</w:t>
            </w:r>
          </w:p>
        </w:tc>
        <w:tc>
          <w:tcPr>
            <w:tcW w:w="20" w:type="dxa"/>
            <w:vAlign w:val="bottom"/>
            <w:tcBorders>
              <w:top w:val="single" w:sz="8" w:color="E6E6E6"/>
              <w:bottom w:val="single" w:sz="8" w:color="E6E6E6"/>
            </w:tcBorders>
            <w:shd w:val="clear" w:color="auto" w:fill="E6E6E6"/>
          </w:tcPr>
          <w:p>
            <w:pPr>
              <w:spacing w:after="0"/>
              <w:rPr>
                <w:sz w:val="23"/>
                <w:szCs w:val="23"/>
                <w:color w:val="auto"/>
              </w:rPr>
            </w:pPr>
          </w:p>
        </w:tc>
      </w:tr>
      <w:tr>
        <w:trPr>
          <w:trHeight w:val="481"/>
        </w:trPr>
        <w:tc>
          <w:tcPr>
            <w:tcW w:w="6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19"/>
                <w:szCs w:val="19"/>
                <w:color w:val="auto"/>
              </w:rPr>
              <w:t>Potentially dilutive securities (b)</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
        </w:trPr>
        <w:tc>
          <w:tcPr>
            <w:tcW w:w="60" w:type="dxa"/>
            <w:vAlign w:val="bottom"/>
          </w:tcPr>
          <w:p>
            <w:pPr>
              <w:spacing w:after="0"/>
              <w:rPr>
                <w:sz w:val="4"/>
                <w:szCs w:val="4"/>
                <w:color w:val="auto"/>
              </w:rPr>
            </w:pPr>
          </w:p>
        </w:tc>
        <w:tc>
          <w:tcPr>
            <w:tcW w:w="2520" w:type="dxa"/>
            <w:vAlign w:val="bottom"/>
            <w:tcBorders>
              <w:top w:val="single" w:sz="8" w:color="auto"/>
            </w:tcBorders>
          </w:tcPr>
          <w:p>
            <w:pPr>
              <w:spacing w:after="0"/>
              <w:rPr>
                <w:sz w:val="4"/>
                <w:szCs w:val="4"/>
                <w:color w:val="auto"/>
              </w:rPr>
            </w:pPr>
          </w:p>
        </w:tc>
        <w:tc>
          <w:tcPr>
            <w:tcW w:w="3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1"/>
        </w:trPr>
        <w:tc>
          <w:tcPr>
            <w:tcW w:w="60" w:type="dxa"/>
            <w:vAlign w:val="bottom"/>
            <w:tcBorders>
              <w:bottom w:val="single" w:sz="8" w:color="E6E6E6"/>
            </w:tcBorders>
            <w:shd w:val="clear" w:color="auto" w:fill="E6E6E6"/>
          </w:tcPr>
          <w:p>
            <w:pPr>
              <w:spacing w:after="0"/>
              <w:rPr>
                <w:sz w:val="23"/>
                <w:szCs w:val="23"/>
                <w:color w:val="auto"/>
              </w:rPr>
            </w:pPr>
          </w:p>
        </w:tc>
        <w:tc>
          <w:tcPr>
            <w:tcW w:w="632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9"/>
                <w:szCs w:val="19"/>
                <w:color w:val="auto"/>
              </w:rPr>
              <w:t>Stock Warrants (a)</w:t>
            </w:r>
          </w:p>
        </w:tc>
        <w:tc>
          <w:tcPr>
            <w:tcW w:w="260" w:type="dxa"/>
            <w:vAlign w:val="bottom"/>
            <w:tcBorders>
              <w:bottom w:val="single" w:sz="8" w:color="E6E6E6"/>
            </w:tcBorders>
            <w:shd w:val="clear" w:color="auto" w:fill="E6E6E6"/>
          </w:tcPr>
          <w:p>
            <w:pPr>
              <w:spacing w:after="0"/>
              <w:rPr>
                <w:sz w:val="23"/>
                <w:szCs w:val="23"/>
                <w:color w:val="auto"/>
              </w:rPr>
            </w:pPr>
          </w:p>
        </w:tc>
        <w:tc>
          <w:tcPr>
            <w:tcW w:w="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E6E6E6"/>
            </w:tcBorders>
            <w:shd w:val="clear" w:color="auto" w:fill="E6E6E6"/>
          </w:tcPr>
          <w:p>
            <w:pPr>
              <w:spacing w:after="0"/>
              <w:rPr>
                <w:sz w:val="23"/>
                <w:szCs w:val="23"/>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E6E6E6"/>
            </w:tcBorders>
            <w:shd w:val="clear" w:color="auto" w:fill="E6E6E6"/>
          </w:tcPr>
          <w:p>
            <w:pPr>
              <w:spacing w:after="0"/>
              <w:rPr>
                <w:sz w:val="23"/>
                <w:szCs w:val="23"/>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1.5</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61"/>
        </w:trPr>
        <w:tc>
          <w:tcPr>
            <w:tcW w:w="60" w:type="dxa"/>
            <w:vAlign w:val="bottom"/>
          </w:tcPr>
          <w:p>
            <w:pPr>
              <w:spacing w:after="0"/>
              <w:rPr>
                <w:sz w:val="22"/>
                <w:szCs w:val="22"/>
                <w:color w:val="auto"/>
              </w:rPr>
            </w:pPr>
          </w:p>
        </w:tc>
        <w:tc>
          <w:tcPr>
            <w:tcW w:w="6320" w:type="dxa"/>
            <w:vAlign w:val="bottom"/>
            <w:gridSpan w:val="2"/>
          </w:tcPr>
          <w:p>
            <w:pPr>
              <w:spacing w:after="0"/>
              <w:rPr>
                <w:sz w:val="20"/>
                <w:szCs w:val="20"/>
                <w:color w:val="auto"/>
              </w:rPr>
            </w:pPr>
            <w:r>
              <w:rPr>
                <w:rFonts w:ascii="Arial" w:cs="Arial" w:eastAsia="Arial" w:hAnsi="Arial"/>
                <w:sz w:val="19"/>
                <w:szCs w:val="19"/>
                <w:color w:val="auto"/>
              </w:rPr>
              <w:t>Employee stock awards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0.3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0.3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0.6</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-2395220</wp:posOffset>
            </wp:positionV>
            <wp:extent cx="149479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41">
                      <a:extLst>
                        <a:ext uri="{28A0092B-C50C-407E-A947-70E740481C1C}"/>
                      </a:extLst>
                    </a:blip>
                    <a:srcRect/>
                    <a:stretch>
                      <a:fillRect/>
                    </a:stretch>
                  </pic:blipFill>
                  <pic:spPr bwMode="auto">
                    <a:xfrm>
                      <a:off x="0" y="0"/>
                      <a:ext cx="1494790" cy="2540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-2223135</wp:posOffset>
            </wp:positionV>
            <wp:extent cx="2243455" cy="501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2">
                      <a:extLst>
                        <a:ext uri="{28A0092B-C50C-407E-A947-70E740481C1C}"/>
                      </a:extLst>
                    </a:blip>
                    <a:srcRect/>
                    <a:stretch>
                      <a:fillRect/>
                    </a:stretch>
                  </pic:blipFill>
                  <pic:spPr bwMode="auto">
                    <a:xfrm>
                      <a:off x="0" y="0"/>
                      <a:ext cx="2243455" cy="50165"/>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-1471295</wp:posOffset>
            </wp:positionV>
            <wp:extent cx="224345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43">
                      <a:extLst>
                        <a:ext uri="{28A0092B-C50C-407E-A947-70E740481C1C}"/>
                      </a:extLst>
                    </a:blip>
                    <a:srcRect/>
                    <a:stretch>
                      <a:fillRect/>
                    </a:stretch>
                  </pic:blipFill>
                  <pic:spPr bwMode="auto">
                    <a:xfrm>
                      <a:off x="0" y="0"/>
                      <a:ext cx="2243455" cy="2540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-1299210</wp:posOffset>
            </wp:positionV>
            <wp:extent cx="2243455" cy="501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44">
                      <a:extLst>
                        <a:ext uri="{28A0092B-C50C-407E-A947-70E740481C1C}"/>
                      </a:extLst>
                    </a:blip>
                    <a:srcRect/>
                    <a:stretch>
                      <a:fillRect/>
                    </a:stretch>
                  </pic:blipFill>
                  <pic:spPr bwMode="auto">
                    <a:xfrm>
                      <a:off x="0" y="0"/>
                      <a:ext cx="2243455" cy="50165"/>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-929005</wp:posOffset>
            </wp:positionV>
            <wp:extent cx="2243455" cy="501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5">
                      <a:extLst>
                        <a:ext uri="{28A0092B-C50C-407E-A947-70E740481C1C}"/>
                      </a:extLst>
                    </a:blip>
                    <a:srcRect/>
                    <a:stretch>
                      <a:fillRect/>
                    </a:stretch>
                  </pic:blipFill>
                  <pic:spPr bwMode="auto">
                    <a:xfrm>
                      <a:off x="0" y="0"/>
                      <a:ext cx="2243455" cy="50165"/>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-744220</wp:posOffset>
            </wp:positionV>
            <wp:extent cx="2243455" cy="501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6">
                      <a:extLst>
                        <a:ext uri="{28A0092B-C50C-407E-A947-70E740481C1C}"/>
                      </a:extLst>
                    </a:blip>
                    <a:srcRect/>
                    <a:stretch>
                      <a:fillRect/>
                    </a:stretch>
                  </pic:blipFill>
                  <pic:spPr bwMode="auto">
                    <a:xfrm>
                      <a:off x="0" y="0"/>
                      <a:ext cx="2243455" cy="501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1270</wp:posOffset>
                </wp:positionH>
                <wp:positionV relativeFrom="paragraph">
                  <wp:posOffset>19050</wp:posOffset>
                </wp:positionV>
                <wp:extent cx="398335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833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5pt" to="313.75pt,1.5pt" o:allowincell="f" strokecolor="#000000" strokeweight="0.97pt"/>
            </w:pict>
          </mc:Fallback>
        </mc:AlternateContent>
      </w:r>
    </w:p>
    <w:p>
      <w:pPr>
        <w:spacing w:after="0" w:line="58" w:lineRule="exact"/>
        <w:rPr>
          <w:sz w:val="20"/>
          <w:szCs w:val="20"/>
          <w:color w:val="auto"/>
        </w:rPr>
      </w:pPr>
    </w:p>
    <w:p>
      <w:pPr>
        <w:ind w:left="220" w:hanging="217"/>
        <w:spacing w:after="0"/>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See Note 3 of this report for additional information on these Warrants.</w:t>
      </w:r>
    </w:p>
    <w:p>
      <w:pPr>
        <w:spacing w:after="0" w:line="41" w:lineRule="exact"/>
        <w:rPr>
          <w:rFonts w:ascii="Arial" w:cs="Arial" w:eastAsia="Arial" w:hAnsi="Arial"/>
          <w:sz w:val="16"/>
          <w:szCs w:val="16"/>
          <w:color w:val="auto"/>
        </w:rPr>
      </w:pPr>
    </w:p>
    <w:p>
      <w:pPr>
        <w:ind w:right="160" w:firstLine="3"/>
        <w:spacing w:after="0" w:line="266" w:lineRule="auto"/>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Weighted-average potentially dilutive securities outstanding are excluded from the computation of diluted earnings per share because the securities would have an antidilutive effect.</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5 - SHARE-BASED COMPENSATION PLANS</w:t>
      </w:r>
    </w:p>
    <w:p>
      <w:pPr>
        <w:spacing w:after="0" w:line="196" w:lineRule="exact"/>
        <w:rPr>
          <w:sz w:val="20"/>
          <w:szCs w:val="20"/>
          <w:color w:val="auto"/>
        </w:rPr>
      </w:pPr>
    </w:p>
    <w:p>
      <w:pPr>
        <w:ind w:right="160"/>
        <w:spacing w:after="0" w:line="265" w:lineRule="auto"/>
        <w:rPr>
          <w:sz w:val="20"/>
          <w:szCs w:val="20"/>
          <w:color w:val="auto"/>
        </w:rPr>
      </w:pPr>
      <w:r>
        <w:rPr>
          <w:rFonts w:ascii="Arial" w:cs="Arial" w:eastAsia="Arial" w:hAnsi="Arial"/>
          <w:sz w:val="19"/>
          <w:szCs w:val="19"/>
          <w:color w:val="auto"/>
        </w:rPr>
        <w:t>UAL maintains share-based compensation plans for our management employees and our non-employee directors. These plans provide for grants of nonqualified stock options; incentive stock options (within the meaning of Section 422 of the Internal Revenue Code of 1986); stock appreciation rights ("SARs"); restricted stock; RSUs; performance units; cash incentive awards and other equity-based and equity-related awards. An award (other than an option, SAR or cash incentive award) may provide the holder with dividends or dividend equivalents.</w:t>
      </w:r>
    </w:p>
    <w:p>
      <w:pPr>
        <w:spacing w:after="0" w:line="133" w:lineRule="exact"/>
        <w:rPr>
          <w:sz w:val="20"/>
          <w:szCs w:val="20"/>
          <w:color w:val="auto"/>
        </w:rPr>
      </w:pPr>
    </w:p>
    <w:p>
      <w:pPr>
        <w:ind w:right="360"/>
        <w:spacing w:after="0" w:line="294" w:lineRule="auto"/>
        <w:rPr>
          <w:sz w:val="20"/>
          <w:szCs w:val="20"/>
          <w:color w:val="auto"/>
        </w:rPr>
      </w:pPr>
      <w:r>
        <w:rPr>
          <w:rFonts w:ascii="Arial" w:cs="Arial" w:eastAsia="Arial" w:hAnsi="Arial"/>
          <w:sz w:val="19"/>
          <w:szCs w:val="19"/>
          <w:color w:val="auto"/>
        </w:rPr>
        <w:t>Awards are recorded as either equity or a liability in the Company's consolidated balance sheets. Share-based compensation expense is recorded in Salaries and related costs.</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During 2025, UAL granted share-based compensation awards pursuant to the United Airlines Holdings, Inc. 2021 Incentive Compensation Plan. These share-based compensation awards included approximately 1.8 million RSUs consisting of approximately 1.0 million time-vested RSUs and approximately 0.8 million performance-based RSUs. The time-vested RSUs vest pro-rata, a majority of which vest on February 28th of each year, over a three-year period from the date of grant. Performance-based awards vest either pro-rata, one-third each year, over a three-year period from the date of grant or all at once upon continuous employment with the Company over a three-year period. Payout under the performance-based awards can range from 0% to 300% depending on the achievement level of certain financial and strategic goals. RSUs are generally equity awards settled in stock for domestic employees and liability awards settled in cash for international employees. The cash payments are based on the 20-day average closing price of UAL common stock immediately prior to the vesting date.</w:t>
      </w:r>
    </w:p>
    <w:p>
      <w:pPr>
        <w:spacing w:after="0" w:line="115" w:lineRule="exact"/>
        <w:rPr>
          <w:sz w:val="20"/>
          <w:szCs w:val="20"/>
          <w:color w:val="auto"/>
        </w:rPr>
      </w:pPr>
    </w:p>
    <w:p>
      <w:pPr>
        <w:ind w:right="220"/>
        <w:spacing w:after="0" w:line="294" w:lineRule="auto"/>
        <w:rPr>
          <w:sz w:val="20"/>
          <w:szCs w:val="20"/>
          <w:color w:val="auto"/>
        </w:rPr>
      </w:pPr>
      <w:r>
        <w:rPr>
          <w:rFonts w:ascii="Arial" w:cs="Arial" w:eastAsia="Arial" w:hAnsi="Arial"/>
          <w:sz w:val="19"/>
          <w:szCs w:val="19"/>
          <w:color w:val="auto"/>
        </w:rPr>
        <w:t>The following table provides information related to UAL's share-based compensation plan cost for the years ended December 31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9"/>
                <w:szCs w:val="19"/>
                <w:b w:val="1"/>
                <w:bCs w:val="1"/>
                <w:color w:val="auto"/>
              </w:rPr>
              <w:t>Compensation cost</w:t>
            </w:r>
          </w:p>
        </w:tc>
        <w:tc>
          <w:tcPr>
            <w:tcW w:w="200" w:type="dxa"/>
            <w:vAlign w:val="bottom"/>
          </w:tcPr>
          <w:p>
            <w:pPr>
              <w:spacing w:after="0"/>
              <w:rPr>
                <w:sz w:val="19"/>
                <w:szCs w:val="19"/>
                <w:color w:val="auto"/>
              </w:rPr>
            </w:pPr>
          </w:p>
        </w:tc>
        <w:tc>
          <w:tcPr>
            <w:tcW w:w="680" w:type="dxa"/>
            <w:vAlign w:val="bottom"/>
            <w:vMerge w:val="restart"/>
          </w:tcPr>
          <w:p>
            <w:pPr>
              <w:jc w:val="right"/>
              <w:ind w:right="163"/>
              <w:spacing w:after="0"/>
              <w:rPr>
                <w:sz w:val="20"/>
                <w:szCs w:val="20"/>
                <w:color w:val="auto"/>
              </w:rPr>
            </w:pPr>
            <w:r>
              <w:rPr>
                <w:rFonts w:ascii="Arial" w:cs="Arial" w:eastAsia="Arial" w:hAnsi="Arial"/>
                <w:sz w:val="19"/>
                <w:szCs w:val="19"/>
                <w:b w:val="1"/>
                <w:bCs w:val="1"/>
                <w:color w:val="auto"/>
                <w:w w:val="94"/>
              </w:rPr>
              <w:t>2025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restart"/>
          </w:tcPr>
          <w:p>
            <w:pPr>
              <w:jc w:val="right"/>
              <w:ind w:right="143"/>
              <w:spacing w:after="0"/>
              <w:rPr>
                <w:sz w:val="20"/>
                <w:szCs w:val="20"/>
                <w:color w:val="auto"/>
              </w:rPr>
            </w:pPr>
            <w:r>
              <w:rPr>
                <w:rFonts w:ascii="Arial" w:cs="Arial" w:eastAsia="Arial" w:hAnsi="Arial"/>
                <w:sz w:val="19"/>
                <w:szCs w:val="19"/>
                <w:b w:val="1"/>
                <w:bCs w:val="1"/>
                <w:color w:val="auto"/>
                <w:w w:val="99"/>
              </w:rPr>
              <w:t>2024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restart"/>
          </w:tcPr>
          <w:p>
            <w:pPr>
              <w:jc w:val="right"/>
              <w:ind w:right="143"/>
              <w:spacing w:after="0"/>
              <w:rPr>
                <w:sz w:val="20"/>
                <w:szCs w:val="20"/>
                <w:color w:val="auto"/>
              </w:rPr>
            </w:pPr>
            <w:r>
              <w:rPr>
                <w:rFonts w:ascii="Arial" w:cs="Arial" w:eastAsia="Arial" w:hAnsi="Arial"/>
                <w:sz w:val="19"/>
                <w:szCs w:val="19"/>
                <w:b w:val="1"/>
                <w:bCs w:val="1"/>
                <w:color w:val="auto"/>
                <w:w w:val="99"/>
              </w:rPr>
              <w:t>2023</w:t>
            </w:r>
          </w:p>
        </w:tc>
        <w:tc>
          <w:tcPr>
            <w:tcW w:w="0" w:type="dxa"/>
            <w:vAlign w:val="bottom"/>
          </w:tcPr>
          <w:p>
            <w:pPr>
              <w:spacing w:after="0"/>
              <w:rPr>
                <w:sz w:val="1"/>
                <w:szCs w:val="1"/>
                <w:color w:val="auto"/>
              </w:rPr>
            </w:pPr>
          </w:p>
        </w:tc>
      </w:tr>
      <w:tr>
        <w:trPr>
          <w:trHeight w:val="237"/>
        </w:trPr>
        <w:tc>
          <w:tcPr>
            <w:tcW w:w="60" w:type="dxa"/>
            <w:vAlign w:val="bottom"/>
            <w:tcBorders>
              <w:bottom w:val="single" w:sz="8" w:color="E6E6E6"/>
            </w:tcBorders>
          </w:tcPr>
          <w:p>
            <w:pPr>
              <w:spacing w:after="0"/>
              <w:rPr>
                <w:sz w:val="20"/>
                <w:szCs w:val="20"/>
                <w:color w:val="auto"/>
              </w:rPr>
            </w:pPr>
          </w:p>
        </w:tc>
        <w:tc>
          <w:tcPr>
            <w:tcW w:w="1560" w:type="dxa"/>
            <w:vAlign w:val="bottom"/>
            <w:tcBorders>
              <w:top w:val="single" w:sz="8" w:color="auto"/>
              <w:bottom w:val="single" w:sz="8" w:color="E6E6E6"/>
            </w:tcBorders>
          </w:tcPr>
          <w:p>
            <w:pPr>
              <w:spacing w:after="0"/>
              <w:rPr>
                <w:sz w:val="20"/>
                <w:szCs w:val="20"/>
                <w:color w:val="auto"/>
              </w:rPr>
            </w:pPr>
          </w:p>
        </w:tc>
        <w:tc>
          <w:tcPr>
            <w:tcW w:w="556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60" w:type="dxa"/>
            <w:vAlign w:val="bottom"/>
            <w:shd w:val="clear" w:color="auto" w:fill="E6E6E6"/>
          </w:tcPr>
          <w:p>
            <w:pPr>
              <w:spacing w:after="0"/>
              <w:rPr>
                <w:sz w:val="23"/>
                <w:szCs w:val="23"/>
                <w:color w:val="auto"/>
              </w:rPr>
            </w:pPr>
          </w:p>
        </w:tc>
        <w:tc>
          <w:tcPr>
            <w:tcW w:w="7120" w:type="dxa"/>
            <w:vAlign w:val="bottom"/>
            <w:gridSpan w:val="2"/>
            <w:shd w:val="clear" w:color="auto" w:fill="E6E6E6"/>
          </w:tcPr>
          <w:p>
            <w:pPr>
              <w:ind w:left="120"/>
              <w:spacing w:after="0"/>
              <w:rPr>
                <w:sz w:val="20"/>
                <w:szCs w:val="20"/>
                <w:color w:val="auto"/>
              </w:rPr>
            </w:pPr>
            <w:r>
              <w:rPr>
                <w:rFonts w:ascii="Arial" w:cs="Arial" w:eastAsia="Arial" w:hAnsi="Arial"/>
                <w:sz w:val="19"/>
                <w:szCs w:val="19"/>
                <w:color w:val="auto"/>
              </w:rPr>
              <w:t>RSUs</w:t>
            </w:r>
          </w:p>
        </w:tc>
        <w:tc>
          <w:tcPr>
            <w:tcW w:w="2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147</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141</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78</w:t>
            </w:r>
          </w:p>
        </w:tc>
        <w:tc>
          <w:tcPr>
            <w:tcW w:w="0" w:type="dxa"/>
            <w:vAlign w:val="bottom"/>
          </w:tcPr>
          <w:p>
            <w:pPr>
              <w:spacing w:after="0"/>
              <w:rPr>
                <w:sz w:val="1"/>
                <w:szCs w:val="1"/>
                <w:color w:val="auto"/>
              </w:rPr>
            </w:pPr>
          </w:p>
        </w:tc>
      </w:tr>
      <w:tr>
        <w:trPr>
          <w:trHeight w:val="266"/>
        </w:trPr>
        <w:tc>
          <w:tcPr>
            <w:tcW w:w="60" w:type="dxa"/>
            <w:vAlign w:val="bottom"/>
            <w:tcBorders>
              <w:bottom w:val="single" w:sz="8" w:color="E6E6E6"/>
            </w:tcBorders>
          </w:tcPr>
          <w:p>
            <w:pPr>
              <w:spacing w:after="0"/>
              <w:rPr>
                <w:sz w:val="23"/>
                <w:szCs w:val="23"/>
                <w:color w:val="auto"/>
              </w:rPr>
            </w:pPr>
          </w:p>
        </w:tc>
        <w:tc>
          <w:tcPr>
            <w:tcW w:w="7120" w:type="dxa"/>
            <w:vAlign w:val="bottom"/>
            <w:tcBorders>
              <w:bottom w:val="single" w:sz="8" w:color="E6E6E6"/>
            </w:tcBorders>
            <w:gridSpan w:val="2"/>
          </w:tcPr>
          <w:p>
            <w:pPr>
              <w:ind w:left="120"/>
              <w:spacing w:after="0"/>
              <w:rPr>
                <w:sz w:val="20"/>
                <w:szCs w:val="20"/>
                <w:color w:val="auto"/>
              </w:rPr>
            </w:pPr>
            <w:r>
              <w:rPr>
                <w:rFonts w:ascii="Arial" w:cs="Arial" w:eastAsia="Arial" w:hAnsi="Arial"/>
                <w:sz w:val="19"/>
                <w:szCs w:val="19"/>
                <w:color w:val="auto"/>
              </w:rPr>
              <w:t>Stock options</w:t>
            </w: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90"/>
        </w:trPr>
        <w:tc>
          <w:tcPr>
            <w:tcW w:w="60" w:type="dxa"/>
            <w:vAlign w:val="bottom"/>
            <w:tcBorders>
              <w:bottom w:val="single" w:sz="8" w:color="E6E6E6"/>
            </w:tcBorders>
            <w:shd w:val="clear" w:color="auto" w:fill="E6E6E6"/>
          </w:tcPr>
          <w:p>
            <w:pPr>
              <w:spacing w:after="0"/>
              <w:rPr>
                <w:sz w:val="24"/>
                <w:szCs w:val="24"/>
                <w:color w:val="auto"/>
              </w:rPr>
            </w:pPr>
          </w:p>
        </w:tc>
        <w:tc>
          <w:tcPr>
            <w:tcW w:w="7120" w:type="dxa"/>
            <w:vAlign w:val="bottom"/>
            <w:tcBorders>
              <w:bottom w:val="single" w:sz="8" w:color="E6E6E6"/>
            </w:tcBorders>
            <w:gridSpan w:val="2"/>
            <w:shd w:val="clear" w:color="auto" w:fill="E6E6E6"/>
          </w:tcPr>
          <w:p>
            <w:pPr>
              <w:ind w:left="220"/>
              <w:spacing w:after="0"/>
              <w:rPr>
                <w:sz w:val="20"/>
                <w:szCs w:val="20"/>
                <w:color w:val="auto"/>
              </w:rPr>
            </w:pPr>
            <w:r>
              <w:rPr>
                <w:rFonts w:ascii="Arial" w:cs="Arial" w:eastAsia="Arial" w:hAnsi="Arial"/>
                <w:sz w:val="19"/>
                <w:szCs w:val="19"/>
                <w:color w:val="auto"/>
              </w:rPr>
              <w:t>Total</w:t>
            </w: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148</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142</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4544695</wp:posOffset>
            </wp:positionH>
            <wp:positionV relativeFrom="paragraph">
              <wp:posOffset>-566420</wp:posOffset>
            </wp:positionV>
            <wp:extent cx="178117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47">
                      <a:extLst>
                        <a:ext uri="{28A0092B-C50C-407E-A947-70E740481C1C}"/>
                      </a:extLst>
                    </a:blip>
                    <a:srcRect/>
                    <a:stretch>
                      <a:fillRect/>
                    </a:stretch>
                  </pic:blipFill>
                  <pic:spPr bwMode="auto">
                    <a:xfrm>
                      <a:off x="0" y="0"/>
                      <a:ext cx="1781175" cy="2540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-215265</wp:posOffset>
            </wp:positionV>
            <wp:extent cx="178117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48">
                      <a:extLst>
                        <a:ext uri="{28A0092B-C50C-407E-A947-70E740481C1C}"/>
                      </a:extLst>
                    </a:blip>
                    <a:srcRect/>
                    <a:stretch>
                      <a:fillRect/>
                    </a:stretch>
                  </pic:blipFill>
                  <pic:spPr bwMode="auto">
                    <a:xfrm>
                      <a:off x="0" y="0"/>
                      <a:ext cx="1781175" cy="2540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-43180</wp:posOffset>
            </wp:positionV>
            <wp:extent cx="1781175" cy="501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49">
                      <a:extLst>
                        <a:ext uri="{28A0092B-C50C-407E-A947-70E740481C1C}"/>
                      </a:extLst>
                    </a:blip>
                    <a:srcRect/>
                    <a:stretch>
                      <a:fillRect/>
                    </a:stretch>
                  </pic:blipFill>
                  <pic:spPr bwMode="auto">
                    <a:xfrm>
                      <a:off x="0" y="0"/>
                      <a:ext cx="1781175" cy="50165"/>
                    </a:xfrm>
                    <a:prstGeom prst="rect">
                      <a:avLst/>
                    </a:prstGeom>
                    <a:noFill/>
                  </pic:spPr>
                </pic:pic>
              </a:graphicData>
            </a:graphic>
          </wp:anchor>
        </w:drawing>
      </w:r>
    </w:p>
    <w:p>
      <w:pPr>
        <w:sectPr>
          <w:pgSz w:w="11880" w:h="15480" w:orient="portrait"/>
          <w:cols w:equalWidth="0" w:num="1">
            <w:col w:w="9960"/>
          </w:cols>
          <w:pgMar w:left="960" w:top="586"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9960"/>
          </w:cols>
          <w:pgMar w:left="960" w:top="586" w:right="960" w:bottom="33" w:gutter="0" w:footer="0" w:header="0"/>
          <w:type w:val="continuous"/>
        </w:sectPr>
      </w:pPr>
    </w:p>
    <w:bookmarkStart w:id="76" w:name="page77"/>
    <w:bookmarkEnd w:id="76"/>
    <w:p>
      <w:pPr>
        <w:ind w:right="200"/>
        <w:spacing w:after="0" w:line="357" w:lineRule="auto"/>
        <w:rPr>
          <w:sz w:val="20"/>
          <w:szCs w:val="20"/>
          <w:color w:val="auto"/>
        </w:rPr>
      </w:pPr>
      <w:r>
        <w:rPr>
          <w:rFonts w:ascii="Arial" w:cs="Arial" w:eastAsia="Arial" w:hAnsi="Arial"/>
          <w:sz w:val="17"/>
          <w:szCs w:val="17"/>
          <w:color w:val="auto"/>
        </w:rPr>
        <w:t>The table below summarizes UAL's unearned compensation and weighted-average remaining period to recognize costs for all outstanding share-based awards that are probable of being achieved as of December 31, 2025 (in millions, except as noted):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vMerge w:val="restart"/>
          </w:tcPr>
          <w:p>
            <w:pPr>
              <w:jc w:val="right"/>
              <w:ind w:right="263"/>
              <w:spacing w:after="0"/>
              <w:rPr>
                <w:sz w:val="20"/>
                <w:szCs w:val="20"/>
                <w:color w:val="auto"/>
              </w:rPr>
            </w:pPr>
            <w:r>
              <w:rPr>
                <w:rFonts w:ascii="Arial" w:cs="Arial" w:eastAsia="Arial" w:hAnsi="Arial"/>
                <w:sz w:val="19"/>
                <w:szCs w:val="19"/>
                <w:b w:val="1"/>
                <w:bCs w:val="1"/>
                <w:color w:val="auto"/>
              </w:rPr>
              <w:t>Unearned</w:t>
            </w:r>
          </w:p>
        </w:tc>
        <w:tc>
          <w:tcPr>
            <w:tcW w:w="8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9"/>
                <w:szCs w:val="19"/>
                <w:b w:val="1"/>
                <w:bCs w:val="1"/>
                <w:color w:val="auto"/>
                <w:w w:val="92"/>
              </w:rPr>
              <w:t>Weighted-Average</w:t>
            </w:r>
          </w:p>
        </w:tc>
        <w:tc>
          <w:tcPr>
            <w:tcW w:w="0" w:type="dxa"/>
            <w:vAlign w:val="bottom"/>
          </w:tcPr>
          <w:p>
            <w:pPr>
              <w:spacing w:after="0"/>
              <w:rPr>
                <w:sz w:val="1"/>
                <w:szCs w:val="1"/>
                <w:color w:val="auto"/>
              </w:rPr>
            </w:pPr>
          </w:p>
        </w:tc>
      </w:tr>
      <w:tr>
        <w:trPr>
          <w:trHeight w:val="194"/>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tcPr>
          <w:p>
            <w:pPr>
              <w:jc w:val="center"/>
              <w:spacing w:after="0" w:line="194" w:lineRule="exact"/>
              <w:rPr>
                <w:sz w:val="20"/>
                <w:szCs w:val="20"/>
                <w:color w:val="auto"/>
              </w:rPr>
            </w:pPr>
            <w:r>
              <w:rPr>
                <w:rFonts w:ascii="Arial" w:cs="Arial" w:eastAsia="Arial" w:hAnsi="Arial"/>
                <w:sz w:val="19"/>
                <w:szCs w:val="19"/>
                <w:b w:val="1"/>
                <w:bCs w:val="1"/>
                <w:color w:val="auto"/>
                <w:w w:val="92"/>
              </w:rPr>
              <w:t>Remaining Period</w:t>
            </w:r>
          </w:p>
        </w:tc>
        <w:tc>
          <w:tcPr>
            <w:tcW w:w="0" w:type="dxa"/>
            <w:vAlign w:val="bottom"/>
          </w:tcPr>
          <w:p>
            <w:pPr>
              <w:spacing w:after="0"/>
              <w:rPr>
                <w:sz w:val="1"/>
                <w:szCs w:val="1"/>
                <w:color w:val="auto"/>
              </w:rPr>
            </w:pPr>
          </w:p>
        </w:tc>
      </w:tr>
      <w:tr>
        <w:trPr>
          <w:trHeight w:val="255"/>
        </w:trPr>
        <w:tc>
          <w:tcPr>
            <w:tcW w:w="582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b w:val="1"/>
                <w:bCs w:val="1"/>
                <w:color w:val="auto"/>
                <w:w w:val="90"/>
              </w:rPr>
              <w:t>Compensation</w:t>
            </w:r>
          </w:p>
        </w:tc>
        <w:tc>
          <w:tcPr>
            <w:tcW w:w="80" w:type="dxa"/>
            <w:vAlign w:val="bottom"/>
            <w:tcBorders>
              <w:bottom w:val="single" w:sz="8" w:color="E6E6E6"/>
            </w:tcBorders>
          </w:tcPr>
          <w:p>
            <w:pPr>
              <w:spacing w:after="0"/>
              <w:rPr>
                <w:sz w:val="22"/>
                <w:szCs w:val="22"/>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(in years)</w:t>
            </w:r>
          </w:p>
        </w:tc>
        <w:tc>
          <w:tcPr>
            <w:tcW w:w="0" w:type="dxa"/>
            <w:vAlign w:val="bottom"/>
          </w:tcPr>
          <w:p>
            <w:pPr>
              <w:spacing w:after="0"/>
              <w:rPr>
                <w:sz w:val="1"/>
                <w:szCs w:val="1"/>
                <w:color w:val="auto"/>
              </w:rPr>
            </w:pPr>
          </w:p>
        </w:tc>
      </w:tr>
      <w:tr>
        <w:trPr>
          <w:trHeight w:val="266"/>
        </w:trPr>
        <w:tc>
          <w:tcPr>
            <w:tcW w:w="5820" w:type="dxa"/>
            <w:vAlign w:val="bottom"/>
            <w:shd w:val="clear" w:color="auto" w:fill="E6E6E6"/>
          </w:tcPr>
          <w:p>
            <w:pPr>
              <w:ind w:left="60"/>
              <w:spacing w:after="0"/>
              <w:rPr>
                <w:sz w:val="20"/>
                <w:szCs w:val="20"/>
                <w:color w:val="auto"/>
              </w:rPr>
            </w:pPr>
            <w:r>
              <w:rPr>
                <w:rFonts w:ascii="Arial" w:cs="Arial" w:eastAsia="Arial" w:hAnsi="Arial"/>
                <w:sz w:val="19"/>
                <w:szCs w:val="19"/>
                <w:color w:val="auto"/>
              </w:rPr>
              <w:t>RSUs</w:t>
            </w:r>
          </w:p>
        </w:tc>
        <w:tc>
          <w:tcPr>
            <w:tcW w:w="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90</w:t>
            </w:r>
          </w:p>
        </w:tc>
        <w:tc>
          <w:tcPr>
            <w:tcW w:w="2580" w:type="dxa"/>
            <w:vAlign w:val="bottom"/>
            <w:gridSpan w:val="2"/>
            <w:shd w:val="clear" w:color="auto" w:fill="E6E6E6"/>
          </w:tcPr>
          <w:p>
            <w:pPr>
              <w:jc w:val="center"/>
              <w:spacing w:after="0"/>
              <w:rPr>
                <w:sz w:val="20"/>
                <w:szCs w:val="20"/>
                <w:color w:val="auto"/>
              </w:rPr>
            </w:pPr>
            <w:r>
              <w:rPr>
                <w:rFonts w:ascii="Arial" w:cs="Arial" w:eastAsia="Arial" w:hAnsi="Arial"/>
                <w:sz w:val="19"/>
                <w:szCs w:val="19"/>
                <w:color w:val="auto"/>
                <w:w w:val="90"/>
              </w:rPr>
              <w:t>1.3</w:t>
            </w:r>
          </w:p>
        </w:tc>
        <w:tc>
          <w:tcPr>
            <w:tcW w:w="0" w:type="dxa"/>
            <w:vAlign w:val="bottom"/>
          </w:tcPr>
          <w:p>
            <w:pPr>
              <w:spacing w:after="0"/>
              <w:rPr>
                <w:sz w:val="1"/>
                <w:szCs w:val="1"/>
                <w:color w:val="auto"/>
              </w:rPr>
            </w:pPr>
          </w:p>
        </w:tc>
      </w:tr>
      <w:tr>
        <w:trPr>
          <w:trHeight w:val="266"/>
        </w:trPr>
        <w:tc>
          <w:tcPr>
            <w:tcW w:w="582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Stock options</w:t>
            </w: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2580" w:type="dxa"/>
            <w:vAlign w:val="bottom"/>
            <w:tcBorders>
              <w:bottom w:val="single" w:sz="8" w:color="E6E6E6"/>
            </w:tcBorders>
            <w:gridSpan w:val="2"/>
          </w:tcPr>
          <w:p>
            <w:pPr>
              <w:jc w:val="center"/>
              <w:spacing w:after="0"/>
              <w:rPr>
                <w:sz w:val="20"/>
                <w:szCs w:val="20"/>
                <w:color w:val="auto"/>
              </w:rPr>
            </w:pPr>
            <w:r>
              <w:rPr>
                <w:rFonts w:ascii="Arial" w:cs="Arial" w:eastAsia="Arial" w:hAnsi="Arial"/>
                <w:sz w:val="19"/>
                <w:szCs w:val="19"/>
                <w:color w:val="auto"/>
                <w:w w:val="90"/>
              </w:rPr>
              <w:t>1.7</w:t>
            </w:r>
          </w:p>
        </w:tc>
        <w:tc>
          <w:tcPr>
            <w:tcW w:w="0" w:type="dxa"/>
            <w:vAlign w:val="bottom"/>
          </w:tcPr>
          <w:p>
            <w:pPr>
              <w:spacing w:after="0"/>
              <w:rPr>
                <w:sz w:val="1"/>
                <w:szCs w:val="1"/>
                <w:color w:val="auto"/>
              </w:rPr>
            </w:pPr>
          </w:p>
        </w:tc>
      </w:tr>
      <w:tr>
        <w:trPr>
          <w:trHeight w:val="276"/>
        </w:trPr>
        <w:tc>
          <w:tcPr>
            <w:tcW w:w="58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9"/>
                <w:szCs w:val="19"/>
                <w:color w:val="auto"/>
              </w:rPr>
              <w:t>Total</w:t>
            </w: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91</w:t>
            </w:r>
          </w:p>
        </w:tc>
        <w:tc>
          <w:tcPr>
            <w:tcW w:w="80" w:type="dxa"/>
            <w:vAlign w:val="bottom"/>
            <w:tcBorders>
              <w:bottom w:val="single" w:sz="8" w:color="E6E6E6"/>
            </w:tcBorders>
            <w:shd w:val="clear" w:color="auto" w:fill="E6E6E6"/>
          </w:tcPr>
          <w:p>
            <w:pPr>
              <w:spacing w:after="0"/>
              <w:rPr>
                <w:sz w:val="23"/>
                <w:szCs w:val="23"/>
                <w:color w:val="auto"/>
              </w:rPr>
            </w:pPr>
          </w:p>
        </w:tc>
        <w:tc>
          <w:tcPr>
            <w:tcW w:w="250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-557530</wp:posOffset>
            </wp:positionV>
            <wp:extent cx="264985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50">
                      <a:extLst>
                        <a:ext uri="{28A0092B-C50C-407E-A947-70E740481C1C}"/>
                      </a:extLst>
                    </a:blip>
                    <a:srcRect/>
                    <a:stretch>
                      <a:fillRect/>
                    </a:stretch>
                  </pic:blipFill>
                  <pic:spPr bwMode="auto">
                    <a:xfrm>
                      <a:off x="0" y="0"/>
                      <a:ext cx="2649855" cy="25400"/>
                    </a:xfrm>
                    <a:prstGeom prst="rect">
                      <a:avLst/>
                    </a:prstGeom>
                    <a:noFill/>
                  </pic:spPr>
                </pic:pic>
              </a:graphicData>
            </a:graphic>
          </wp:anchor>
        </w:drawing>
        <w:drawing>
          <wp:anchor simplePos="0" relativeHeight="251657728" behindDoc="1" locked="0" layoutInCell="0" allowOverlap="1">
            <wp:simplePos x="0" y="0"/>
            <wp:positionH relativeFrom="column">
              <wp:posOffset>3685540</wp:posOffset>
            </wp:positionH>
            <wp:positionV relativeFrom="paragraph">
              <wp:posOffset>-206375</wp:posOffset>
            </wp:positionV>
            <wp:extent cx="101409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51">
                      <a:extLst>
                        <a:ext uri="{28A0092B-C50C-407E-A947-70E740481C1C}"/>
                      </a:extLst>
                    </a:blip>
                    <a:srcRect/>
                    <a:stretch>
                      <a:fillRect/>
                    </a:stretch>
                  </pic:blipFill>
                  <pic:spPr bwMode="auto">
                    <a:xfrm>
                      <a:off x="0" y="0"/>
                      <a:ext cx="1014095" cy="25400"/>
                    </a:xfrm>
                    <a:prstGeom prst="rect">
                      <a:avLst/>
                    </a:prstGeom>
                    <a:noFill/>
                  </pic:spPr>
                </pic:pic>
              </a:graphicData>
            </a:graphic>
          </wp:anchor>
        </w:drawing>
        <w:drawing>
          <wp:anchor simplePos="0" relativeHeight="251657728" behindDoc="1" locked="0" layoutInCell="0" allowOverlap="1">
            <wp:simplePos x="0" y="0"/>
            <wp:positionH relativeFrom="column">
              <wp:posOffset>3685540</wp:posOffset>
            </wp:positionH>
            <wp:positionV relativeFrom="paragraph">
              <wp:posOffset>-43180</wp:posOffset>
            </wp:positionV>
            <wp:extent cx="1014095" cy="501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52">
                      <a:extLst>
                        <a:ext uri="{28A0092B-C50C-407E-A947-70E740481C1C}"/>
                      </a:extLst>
                    </a:blip>
                    <a:srcRect/>
                    <a:stretch>
                      <a:fillRect/>
                    </a:stretch>
                  </pic:blipFill>
                  <pic:spPr bwMode="auto">
                    <a:xfrm>
                      <a:off x="0" y="0"/>
                      <a:ext cx="1014095" cy="5016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Restricted stock units. </w:t>
      </w:r>
      <w:r>
        <w:rPr>
          <w:rFonts w:ascii="Arial" w:cs="Arial" w:eastAsia="Arial" w:hAnsi="Arial"/>
          <w:sz w:val="17"/>
          <w:szCs w:val="17"/>
          <w:color w:val="auto"/>
        </w:rPr>
        <w:t>The table below summarizes UAL's RSU activity for the years ended December 31 (shares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9"/>
                <w:szCs w:val="19"/>
                <w:b w:val="1"/>
                <w:bCs w:val="1"/>
                <w:color w:val="auto"/>
                <w:w w:val="96"/>
              </w:rPr>
              <w:t>Liability Awards</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tcBorders>
              <w:bottom w:val="single" w:sz="8" w:color="auto"/>
            </w:tcBorders>
            <w:gridSpan w:val="5"/>
          </w:tcPr>
          <w:p>
            <w:pPr>
              <w:jc w:val="right"/>
              <w:ind w:right="663"/>
              <w:spacing w:after="0"/>
              <w:rPr>
                <w:sz w:val="20"/>
                <w:szCs w:val="20"/>
                <w:color w:val="auto"/>
              </w:rPr>
            </w:pPr>
            <w:r>
              <w:rPr>
                <w:rFonts w:ascii="Arial" w:cs="Arial" w:eastAsia="Arial" w:hAnsi="Arial"/>
                <w:sz w:val="19"/>
                <w:szCs w:val="19"/>
                <w:b w:val="1"/>
                <w:bCs w:val="1"/>
                <w:color w:val="auto"/>
              </w:rPr>
              <w:t>Equity Awards</w:t>
            </w: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spacing w:after="0" w:line="215" w:lineRule="exact"/>
              <w:rPr>
                <w:sz w:val="20"/>
                <w:szCs w:val="20"/>
                <w:color w:val="auto"/>
              </w:rPr>
            </w:pPr>
            <w:r>
              <w:rPr>
                <w:rFonts w:ascii="Arial" w:cs="Arial" w:eastAsia="Arial" w:hAnsi="Arial"/>
                <w:sz w:val="19"/>
                <w:szCs w:val="19"/>
                <w:b w:val="1"/>
                <w:bCs w:val="1"/>
                <w:color w:val="auto"/>
                <w:w w:val="93"/>
              </w:rPr>
              <w:t>Weighted-</w:t>
            </w:r>
          </w:p>
        </w:tc>
        <w:tc>
          <w:tcPr>
            <w:tcW w:w="0" w:type="dxa"/>
            <w:vAlign w:val="bottom"/>
          </w:tcPr>
          <w:p>
            <w:pPr>
              <w:spacing w:after="0"/>
              <w:rPr>
                <w:sz w:val="1"/>
                <w:szCs w:val="1"/>
                <w:color w:val="auto"/>
              </w:rPr>
            </w:pPr>
          </w:p>
        </w:tc>
      </w:tr>
      <w:tr>
        <w:trPr>
          <w:trHeight w:val="194"/>
        </w:trPr>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2"/>
            <w:vMerge w:val="restart"/>
          </w:tcPr>
          <w:p>
            <w:pPr>
              <w:jc w:val="center"/>
              <w:ind w:right="60"/>
              <w:spacing w:after="0"/>
              <w:rPr>
                <w:sz w:val="20"/>
                <w:szCs w:val="20"/>
                <w:color w:val="auto"/>
              </w:rPr>
            </w:pPr>
            <w:r>
              <w:rPr>
                <w:rFonts w:ascii="Arial" w:cs="Arial" w:eastAsia="Arial" w:hAnsi="Arial"/>
                <w:sz w:val="19"/>
                <w:szCs w:val="19"/>
                <w:b w:val="1"/>
                <w:bCs w:val="1"/>
                <w:color w:val="auto"/>
                <w:w w:val="90"/>
              </w:rPr>
              <w:t>RSUs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2"/>
            <w:vMerge w:val="restart"/>
          </w:tcPr>
          <w:p>
            <w:pPr>
              <w:ind w:left="460"/>
              <w:spacing w:after="0"/>
              <w:rPr>
                <w:sz w:val="20"/>
                <w:szCs w:val="20"/>
                <w:color w:val="auto"/>
              </w:rPr>
            </w:pPr>
            <w:r>
              <w:rPr>
                <w:rFonts w:ascii="Arial" w:cs="Arial" w:eastAsia="Arial" w:hAnsi="Arial"/>
                <w:sz w:val="19"/>
                <w:szCs w:val="19"/>
                <w:b w:val="1"/>
                <w:bCs w:val="1"/>
                <w:color w:val="auto"/>
              </w:rPr>
              <w:t>RSUs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83"/>
              <w:spacing w:after="0" w:line="194" w:lineRule="exact"/>
              <w:rPr>
                <w:sz w:val="20"/>
                <w:szCs w:val="20"/>
                <w:color w:val="auto"/>
              </w:rPr>
            </w:pPr>
            <w:r>
              <w:rPr>
                <w:rFonts w:ascii="Arial" w:cs="Arial" w:eastAsia="Arial" w:hAnsi="Arial"/>
                <w:sz w:val="19"/>
                <w:szCs w:val="19"/>
                <w:b w:val="1"/>
                <w:bCs w:val="1"/>
                <w:color w:val="auto"/>
                <w:w w:val="90"/>
              </w:rPr>
              <w:t>Average</w:t>
            </w:r>
          </w:p>
        </w:tc>
        <w:tc>
          <w:tcPr>
            <w:tcW w:w="0" w:type="dxa"/>
            <w:vAlign w:val="bottom"/>
          </w:tcPr>
          <w:p>
            <w:pPr>
              <w:spacing w:after="0"/>
              <w:rPr>
                <w:sz w:val="1"/>
                <w:szCs w:val="1"/>
                <w:color w:val="auto"/>
              </w:rPr>
            </w:pPr>
          </w:p>
        </w:tc>
      </w:tr>
      <w:tr>
        <w:trPr>
          <w:trHeight w:val="255"/>
        </w:trPr>
        <w:tc>
          <w:tcPr>
            <w:tcW w:w="538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vMerge w:val="continue"/>
          </w:tcPr>
          <w:p>
            <w:pPr>
              <w:spacing w:after="0"/>
              <w:rPr>
                <w:sz w:val="22"/>
                <w:szCs w:val="22"/>
                <w:color w:val="auto"/>
              </w:rPr>
            </w:pPr>
          </w:p>
        </w:tc>
        <w:tc>
          <w:tcPr>
            <w:tcW w:w="20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vMerge w:val="continue"/>
          </w:tcPr>
          <w:p>
            <w:pPr>
              <w:spacing w:after="0"/>
              <w:rPr>
                <w:sz w:val="22"/>
                <w:szCs w:val="22"/>
                <w:color w:val="auto"/>
              </w:rPr>
            </w:pPr>
          </w:p>
        </w:tc>
        <w:tc>
          <w:tcPr>
            <w:tcW w:w="200" w:type="dxa"/>
            <w:vAlign w:val="bottom"/>
            <w:tcBorders>
              <w:bottom w:val="single" w:sz="8" w:color="E6E6E6"/>
            </w:tcBorders>
          </w:tcPr>
          <w:p>
            <w:pPr>
              <w:spacing w:after="0"/>
              <w:rPr>
                <w:sz w:val="22"/>
                <w:szCs w:val="22"/>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95"/>
              </w:rPr>
              <w:t>Grant Price</w:t>
            </w:r>
          </w:p>
        </w:tc>
        <w:tc>
          <w:tcPr>
            <w:tcW w:w="0" w:type="dxa"/>
            <w:vAlign w:val="bottom"/>
          </w:tcPr>
          <w:p>
            <w:pPr>
              <w:spacing w:after="0"/>
              <w:rPr>
                <w:sz w:val="1"/>
                <w:szCs w:val="1"/>
                <w:color w:val="auto"/>
              </w:rPr>
            </w:pPr>
          </w:p>
        </w:tc>
      </w:tr>
      <w:tr>
        <w:trPr>
          <w:trHeight w:val="282"/>
        </w:trPr>
        <w:tc>
          <w:tcPr>
            <w:tcW w:w="5380" w:type="dxa"/>
            <w:vAlign w:val="bottom"/>
            <w:shd w:val="clear" w:color="auto" w:fill="E6E6E6"/>
          </w:tcPr>
          <w:p>
            <w:pPr>
              <w:ind w:left="60"/>
              <w:spacing w:after="0"/>
              <w:rPr>
                <w:sz w:val="20"/>
                <w:szCs w:val="20"/>
                <w:color w:val="auto"/>
              </w:rPr>
            </w:pPr>
            <w:r>
              <w:rPr>
                <w:rFonts w:ascii="Arial" w:cs="Arial" w:eastAsia="Arial" w:hAnsi="Arial"/>
                <w:sz w:val="19"/>
                <w:szCs w:val="19"/>
                <w:color w:val="auto"/>
              </w:rPr>
              <w:t>Outstanding at December 31, 2022</w:t>
            </w:r>
          </w:p>
        </w:tc>
        <w:tc>
          <w:tcPr>
            <w:tcW w:w="20" w:type="dxa"/>
            <w:vAlign w:val="bottom"/>
            <w:shd w:val="clear" w:color="auto" w:fill="E6E6E6"/>
          </w:tcPr>
          <w:p>
            <w:pPr>
              <w:spacing w:after="0"/>
              <w:rPr>
                <w:sz w:val="24"/>
                <w:szCs w:val="24"/>
                <w:color w:val="auto"/>
              </w:rPr>
            </w:pPr>
          </w:p>
        </w:tc>
        <w:tc>
          <w:tcPr>
            <w:tcW w:w="15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0.1</w:t>
            </w: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4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3.3</w:t>
            </w: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37.88</w:t>
            </w:r>
          </w:p>
        </w:tc>
        <w:tc>
          <w:tcPr>
            <w:tcW w:w="0" w:type="dxa"/>
            <w:vAlign w:val="bottom"/>
          </w:tcPr>
          <w:p>
            <w:pPr>
              <w:spacing w:after="0"/>
              <w:rPr>
                <w:sz w:val="1"/>
                <w:szCs w:val="1"/>
                <w:color w:val="auto"/>
              </w:rPr>
            </w:pPr>
          </w:p>
        </w:tc>
      </w:tr>
      <w:tr>
        <w:trPr>
          <w:trHeight w:val="242"/>
        </w:trPr>
        <w:tc>
          <w:tcPr>
            <w:tcW w:w="5400" w:type="dxa"/>
            <w:vAlign w:val="bottom"/>
            <w:tcBorders>
              <w:top w:val="single" w:sz="8" w:color="E6E6E6"/>
            </w:tcBorders>
            <w:gridSpan w:val="2"/>
          </w:tcPr>
          <w:p>
            <w:pPr>
              <w:ind w:left="280"/>
              <w:spacing w:after="0"/>
              <w:rPr>
                <w:sz w:val="20"/>
                <w:szCs w:val="20"/>
                <w:color w:val="auto"/>
              </w:rPr>
            </w:pPr>
            <w:r>
              <w:rPr>
                <w:rFonts w:ascii="Arial" w:cs="Arial" w:eastAsia="Arial" w:hAnsi="Arial"/>
                <w:sz w:val="19"/>
                <w:szCs w:val="19"/>
                <w:color w:val="auto"/>
              </w:rPr>
              <w:t>Granted</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0.1</w:t>
            </w: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E6E6E6"/>
            </w:tcBorders>
            <w:gridSpan w:val="2"/>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2.5</w:t>
            </w: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E6E6E6"/>
            </w:tcBorders>
          </w:tcPr>
          <w:p>
            <w:pPr>
              <w:spacing w:after="0"/>
              <w:rPr>
                <w:sz w:val="21"/>
                <w:szCs w:val="21"/>
                <w:color w:val="auto"/>
              </w:rPr>
            </w:pPr>
          </w:p>
        </w:tc>
        <w:tc>
          <w:tcPr>
            <w:tcW w:w="160" w:type="dxa"/>
            <w:vAlign w:val="bottom"/>
            <w:tcBorders>
              <w:top w:val="single" w:sz="8" w:color="E6E6E6"/>
            </w:tcBorders>
          </w:tcPr>
          <w:p>
            <w:pPr>
              <w:spacing w:after="0"/>
              <w:rPr>
                <w:sz w:val="21"/>
                <w:szCs w:val="21"/>
                <w:color w:val="auto"/>
              </w:rPr>
            </w:pPr>
          </w:p>
        </w:tc>
        <w:tc>
          <w:tcPr>
            <w:tcW w:w="940" w:type="dxa"/>
            <w:vAlign w:val="bottom"/>
            <w:tcBorders>
              <w:top w:val="single" w:sz="8" w:color="E6E6E6"/>
            </w:tcBorders>
          </w:tcPr>
          <w:p>
            <w:pPr>
              <w:jc w:val="right"/>
              <w:spacing w:after="0"/>
              <w:rPr>
                <w:sz w:val="20"/>
                <w:szCs w:val="20"/>
                <w:color w:val="auto"/>
              </w:rPr>
            </w:pPr>
            <w:r>
              <w:rPr>
                <w:rFonts w:ascii="Arial" w:cs="Arial" w:eastAsia="Arial" w:hAnsi="Arial"/>
                <w:sz w:val="19"/>
                <w:szCs w:val="19"/>
                <w:color w:val="auto"/>
              </w:rPr>
              <w:t>43.42</w:t>
            </w:r>
          </w:p>
        </w:tc>
        <w:tc>
          <w:tcPr>
            <w:tcW w:w="0" w:type="dxa"/>
            <w:vAlign w:val="bottom"/>
          </w:tcPr>
          <w:p>
            <w:pPr>
              <w:spacing w:after="0"/>
              <w:rPr>
                <w:sz w:val="1"/>
                <w:szCs w:val="1"/>
                <w:color w:val="auto"/>
              </w:rPr>
            </w:pPr>
          </w:p>
        </w:tc>
      </w:tr>
      <w:tr>
        <w:trPr>
          <w:trHeight w:val="28"/>
        </w:trPr>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5400" w:type="dxa"/>
            <w:vAlign w:val="bottom"/>
            <w:tcBorders>
              <w:bottom w:val="single" w:sz="8" w:color="E6E6E6"/>
            </w:tcBorders>
            <w:gridSpan w:val="2"/>
            <w:shd w:val="clear" w:color="auto" w:fill="E6E6E6"/>
          </w:tcPr>
          <w:p>
            <w:pPr>
              <w:ind w:left="280"/>
              <w:spacing w:after="0"/>
              <w:rPr>
                <w:sz w:val="20"/>
                <w:szCs w:val="20"/>
                <w:color w:val="auto"/>
              </w:rPr>
            </w:pPr>
            <w:r>
              <w:rPr>
                <w:rFonts w:ascii="Arial" w:cs="Arial" w:eastAsia="Arial" w:hAnsi="Arial"/>
                <w:sz w:val="19"/>
                <w:szCs w:val="19"/>
                <w:color w:val="auto"/>
              </w:rPr>
              <w:t>Vested</w:t>
            </w:r>
          </w:p>
        </w:tc>
        <w:tc>
          <w:tcPr>
            <w:tcW w:w="15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(0.1)</w:t>
            </w:r>
          </w:p>
        </w:tc>
        <w:tc>
          <w:tcPr>
            <w:tcW w:w="20" w:type="dxa"/>
            <w:vAlign w:val="bottom"/>
            <w:tcBorders>
              <w:bottom w:val="single" w:sz="8" w:color="E6E6E6"/>
            </w:tcBorders>
            <w:shd w:val="clear" w:color="auto" w:fill="E6E6E6"/>
          </w:tcPr>
          <w:p>
            <w:pPr>
              <w:spacing w:after="0"/>
              <w:rPr>
                <w:sz w:val="23"/>
                <w:szCs w:val="23"/>
                <w:color w:val="auto"/>
              </w:rPr>
            </w:pPr>
          </w:p>
        </w:tc>
        <w:tc>
          <w:tcPr>
            <w:tcW w:w="164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19"/>
                <w:szCs w:val="19"/>
                <w:color w:val="auto"/>
              </w:rPr>
              <w:t>(1.6)</w:t>
            </w:r>
          </w:p>
        </w:tc>
        <w:tc>
          <w:tcPr>
            <w:tcW w:w="2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44.03</w:t>
            </w:r>
          </w:p>
        </w:tc>
        <w:tc>
          <w:tcPr>
            <w:tcW w:w="0" w:type="dxa"/>
            <w:vAlign w:val="bottom"/>
          </w:tcPr>
          <w:p>
            <w:pPr>
              <w:spacing w:after="0"/>
              <w:rPr>
                <w:sz w:val="1"/>
                <w:szCs w:val="1"/>
                <w:color w:val="auto"/>
              </w:rPr>
            </w:pPr>
          </w:p>
        </w:tc>
      </w:tr>
      <w:tr>
        <w:trPr>
          <w:trHeight w:val="261"/>
        </w:trPr>
        <w:tc>
          <w:tcPr>
            <w:tcW w:w="5400" w:type="dxa"/>
            <w:vAlign w:val="bottom"/>
            <w:gridSpan w:val="2"/>
          </w:tcPr>
          <w:p>
            <w:pPr>
              <w:ind w:left="280"/>
              <w:spacing w:after="0"/>
              <w:rPr>
                <w:sz w:val="20"/>
                <w:szCs w:val="20"/>
                <w:color w:val="auto"/>
              </w:rPr>
            </w:pPr>
            <w:r>
              <w:rPr>
                <w:rFonts w:ascii="Arial" w:cs="Arial" w:eastAsia="Arial" w:hAnsi="Arial"/>
                <w:sz w:val="19"/>
                <w:szCs w:val="19"/>
                <w:color w:val="auto"/>
              </w:rPr>
              <w:t>Forfeited</w:t>
            </w:r>
          </w:p>
        </w:tc>
        <w:tc>
          <w:tcPr>
            <w:tcW w:w="160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640" w:type="dxa"/>
            <w:vAlign w:val="bottom"/>
            <w:gridSpan w:val="3"/>
          </w:tcPr>
          <w:p>
            <w:pPr>
              <w:jc w:val="right"/>
              <w:spacing w:after="0"/>
              <w:rPr>
                <w:sz w:val="20"/>
                <w:szCs w:val="20"/>
                <w:color w:val="auto"/>
              </w:rPr>
            </w:pPr>
            <w:r>
              <w:rPr>
                <w:rFonts w:ascii="Arial" w:cs="Arial" w:eastAsia="Arial" w:hAnsi="Arial"/>
                <w:sz w:val="19"/>
                <w:szCs w:val="19"/>
                <w:color w:val="auto"/>
              </w:rPr>
              <w:t>(0.1)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36.90</w:t>
            </w:r>
          </w:p>
        </w:tc>
        <w:tc>
          <w:tcPr>
            <w:tcW w:w="0" w:type="dxa"/>
            <w:vAlign w:val="bottom"/>
          </w:tcPr>
          <w:p>
            <w:pPr>
              <w:spacing w:after="0"/>
              <w:rPr>
                <w:sz w:val="1"/>
                <w:szCs w:val="1"/>
                <w:color w:val="auto"/>
              </w:rPr>
            </w:pPr>
          </w:p>
        </w:tc>
      </w:tr>
      <w:tr>
        <w:trPr>
          <w:trHeight w:val="21"/>
        </w:trPr>
        <w:tc>
          <w:tcPr>
            <w:tcW w:w="538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6E6E6"/>
            </w:tcBorders>
          </w:tcPr>
          <w:p>
            <w:pPr>
              <w:spacing w:after="0" w:line="20" w:lineRule="exact"/>
              <w:rPr>
                <w:sz w:val="1"/>
                <w:szCs w:val="1"/>
                <w:color w:val="auto"/>
              </w:rPr>
            </w:pPr>
          </w:p>
        </w:tc>
        <w:tc>
          <w:tcPr>
            <w:tcW w:w="160" w:type="dxa"/>
            <w:vAlign w:val="bottom"/>
            <w:tcBorders>
              <w:bottom w:val="single" w:sz="8" w:color="E6E6E6"/>
            </w:tcBorders>
          </w:tcPr>
          <w:p>
            <w:pPr>
              <w:spacing w:after="0" w:line="20" w:lineRule="exact"/>
              <w:rPr>
                <w:sz w:val="1"/>
                <w:szCs w:val="1"/>
                <w:color w:val="auto"/>
              </w:rPr>
            </w:pPr>
          </w:p>
        </w:tc>
        <w:tc>
          <w:tcPr>
            <w:tcW w:w="940" w:type="dxa"/>
            <w:vAlign w:val="bottom"/>
            <w:tcBorders>
              <w:bottom w:val="single" w:sz="8" w:color="E6E6E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53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Outstanding at December 31, 2023</w:t>
            </w:r>
          </w:p>
        </w:tc>
        <w:tc>
          <w:tcPr>
            <w:tcW w:w="20" w:type="dxa"/>
            <w:vAlign w:val="bottom"/>
            <w:tcBorders>
              <w:bottom w:val="single" w:sz="8" w:color="auto"/>
            </w:tcBorders>
            <w:shd w:val="clear" w:color="auto" w:fill="E6E6E6"/>
          </w:tcPr>
          <w:p>
            <w:pPr>
              <w:spacing w:after="0"/>
              <w:rPr>
                <w:sz w:val="24"/>
                <w:szCs w:val="24"/>
                <w:color w:val="auto"/>
              </w:rPr>
            </w:pPr>
          </w:p>
        </w:tc>
        <w:tc>
          <w:tcPr>
            <w:tcW w:w="1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0.1</w:t>
            </w:r>
          </w:p>
        </w:tc>
        <w:tc>
          <w:tcPr>
            <w:tcW w:w="20" w:type="dxa"/>
            <w:vAlign w:val="bottom"/>
            <w:tcBorders>
              <w:bottom w:val="single" w:sz="8" w:color="auto"/>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144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9"/>
                <w:szCs w:val="19"/>
                <w:color w:val="auto"/>
              </w:rPr>
              <w:t>4.1</w:t>
            </w:r>
          </w:p>
        </w:tc>
        <w:tc>
          <w:tcPr>
            <w:tcW w:w="20" w:type="dxa"/>
            <w:vAlign w:val="bottom"/>
            <w:tcBorders>
              <w:bottom w:val="single" w:sz="8" w:color="auto"/>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38.86</w:t>
            </w:r>
          </w:p>
        </w:tc>
        <w:tc>
          <w:tcPr>
            <w:tcW w:w="0" w:type="dxa"/>
            <w:vAlign w:val="bottom"/>
          </w:tcPr>
          <w:p>
            <w:pPr>
              <w:spacing w:after="0"/>
              <w:rPr>
                <w:sz w:val="1"/>
                <w:szCs w:val="1"/>
                <w:color w:val="auto"/>
              </w:rPr>
            </w:pPr>
          </w:p>
        </w:tc>
      </w:tr>
      <w:tr>
        <w:trPr>
          <w:trHeight w:val="242"/>
        </w:trPr>
        <w:tc>
          <w:tcPr>
            <w:tcW w:w="5380" w:type="dxa"/>
            <w:vAlign w:val="bottom"/>
          </w:tcPr>
          <w:p>
            <w:pPr>
              <w:ind w:left="280"/>
              <w:spacing w:after="0"/>
              <w:rPr>
                <w:sz w:val="20"/>
                <w:szCs w:val="20"/>
                <w:color w:val="auto"/>
              </w:rPr>
            </w:pPr>
            <w:r>
              <w:rPr>
                <w:rFonts w:ascii="Arial" w:cs="Arial" w:eastAsia="Arial" w:hAnsi="Arial"/>
                <w:sz w:val="19"/>
                <w:szCs w:val="19"/>
                <w:color w:val="auto"/>
              </w:rPr>
              <w:t>Granted</w:t>
            </w:r>
          </w:p>
        </w:tc>
        <w:tc>
          <w:tcPr>
            <w:tcW w:w="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0.1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9"/>
                <w:szCs w:val="19"/>
                <w:color w:val="auto"/>
              </w:rPr>
              <w:t>3.6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46.65</w:t>
            </w:r>
          </w:p>
        </w:tc>
        <w:tc>
          <w:tcPr>
            <w:tcW w:w="0" w:type="dxa"/>
            <w:vAlign w:val="bottom"/>
          </w:tcPr>
          <w:p>
            <w:pPr>
              <w:spacing w:after="0"/>
              <w:rPr>
                <w:sz w:val="1"/>
                <w:szCs w:val="1"/>
                <w:color w:val="auto"/>
              </w:rPr>
            </w:pPr>
          </w:p>
        </w:tc>
      </w:tr>
      <w:tr>
        <w:trPr>
          <w:trHeight w:val="28"/>
        </w:trPr>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5400" w:type="dxa"/>
            <w:vAlign w:val="bottom"/>
            <w:tcBorders>
              <w:bottom w:val="single" w:sz="8" w:color="E6E6E6"/>
            </w:tcBorders>
            <w:gridSpan w:val="2"/>
            <w:shd w:val="clear" w:color="auto" w:fill="E6E6E6"/>
          </w:tcPr>
          <w:p>
            <w:pPr>
              <w:ind w:left="280"/>
              <w:spacing w:after="0"/>
              <w:rPr>
                <w:sz w:val="20"/>
                <w:szCs w:val="20"/>
                <w:color w:val="auto"/>
              </w:rPr>
            </w:pPr>
            <w:r>
              <w:rPr>
                <w:rFonts w:ascii="Arial" w:cs="Arial" w:eastAsia="Arial" w:hAnsi="Arial"/>
                <w:sz w:val="19"/>
                <w:szCs w:val="19"/>
                <w:color w:val="auto"/>
              </w:rPr>
              <w:t>Vested</w:t>
            </w:r>
          </w:p>
        </w:tc>
        <w:tc>
          <w:tcPr>
            <w:tcW w:w="15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(0.1)</w:t>
            </w:r>
          </w:p>
        </w:tc>
        <w:tc>
          <w:tcPr>
            <w:tcW w:w="20" w:type="dxa"/>
            <w:vAlign w:val="bottom"/>
            <w:tcBorders>
              <w:bottom w:val="single" w:sz="8" w:color="E6E6E6"/>
            </w:tcBorders>
            <w:shd w:val="clear" w:color="auto" w:fill="E6E6E6"/>
          </w:tcPr>
          <w:p>
            <w:pPr>
              <w:spacing w:after="0"/>
              <w:rPr>
                <w:sz w:val="23"/>
                <w:szCs w:val="23"/>
                <w:color w:val="auto"/>
              </w:rPr>
            </w:pPr>
          </w:p>
        </w:tc>
        <w:tc>
          <w:tcPr>
            <w:tcW w:w="164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19"/>
                <w:szCs w:val="19"/>
                <w:color w:val="auto"/>
              </w:rPr>
              <w:t>(2.3)</w:t>
            </w:r>
          </w:p>
        </w:tc>
        <w:tc>
          <w:tcPr>
            <w:tcW w:w="2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39.37</w:t>
            </w:r>
          </w:p>
        </w:tc>
        <w:tc>
          <w:tcPr>
            <w:tcW w:w="0" w:type="dxa"/>
            <w:vAlign w:val="bottom"/>
          </w:tcPr>
          <w:p>
            <w:pPr>
              <w:spacing w:after="0"/>
              <w:rPr>
                <w:sz w:val="1"/>
                <w:szCs w:val="1"/>
                <w:color w:val="auto"/>
              </w:rPr>
            </w:pPr>
          </w:p>
        </w:tc>
      </w:tr>
      <w:tr>
        <w:trPr>
          <w:trHeight w:val="266"/>
        </w:trPr>
        <w:tc>
          <w:tcPr>
            <w:tcW w:w="5400" w:type="dxa"/>
            <w:vAlign w:val="bottom"/>
            <w:gridSpan w:val="2"/>
          </w:tcPr>
          <w:p>
            <w:pPr>
              <w:ind w:left="280"/>
              <w:spacing w:after="0"/>
              <w:rPr>
                <w:sz w:val="20"/>
                <w:szCs w:val="20"/>
                <w:color w:val="auto"/>
              </w:rPr>
            </w:pPr>
            <w:r>
              <w:rPr>
                <w:rFonts w:ascii="Arial" w:cs="Arial" w:eastAsia="Arial" w:hAnsi="Arial"/>
                <w:sz w:val="19"/>
                <w:szCs w:val="19"/>
                <w:color w:val="auto"/>
              </w:rPr>
              <w:t>Forfeited</w:t>
            </w:r>
          </w:p>
        </w:tc>
        <w:tc>
          <w:tcPr>
            <w:tcW w:w="160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640" w:type="dxa"/>
            <w:vAlign w:val="bottom"/>
            <w:gridSpan w:val="3"/>
          </w:tcPr>
          <w:p>
            <w:pPr>
              <w:jc w:val="right"/>
              <w:spacing w:after="0"/>
              <w:rPr>
                <w:sz w:val="20"/>
                <w:szCs w:val="20"/>
                <w:color w:val="auto"/>
              </w:rPr>
            </w:pPr>
            <w:r>
              <w:rPr>
                <w:rFonts w:ascii="Arial" w:cs="Arial" w:eastAsia="Arial" w:hAnsi="Arial"/>
                <w:sz w:val="19"/>
                <w:szCs w:val="19"/>
                <w:color w:val="auto"/>
              </w:rPr>
              <w:t>(0.3)</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43.28</w:t>
            </w:r>
          </w:p>
        </w:tc>
        <w:tc>
          <w:tcPr>
            <w:tcW w:w="0" w:type="dxa"/>
            <w:vAlign w:val="bottom"/>
          </w:tcPr>
          <w:p>
            <w:pPr>
              <w:spacing w:after="0"/>
              <w:rPr>
                <w:sz w:val="1"/>
                <w:szCs w:val="1"/>
                <w:color w:val="auto"/>
              </w:rPr>
            </w:pPr>
          </w:p>
        </w:tc>
      </w:tr>
      <w:tr>
        <w:trPr>
          <w:trHeight w:val="275"/>
        </w:trPr>
        <w:tc>
          <w:tcPr>
            <w:tcW w:w="538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Outstanding at December 31, 2024</w:t>
            </w:r>
          </w:p>
        </w:tc>
        <w:tc>
          <w:tcPr>
            <w:tcW w:w="20" w:type="dxa"/>
            <w:vAlign w:val="bottom"/>
            <w:tcBorders>
              <w:top w:val="single" w:sz="8" w:color="auto"/>
              <w:bottom w:val="single" w:sz="8" w:color="auto"/>
            </w:tcBorders>
            <w:shd w:val="clear" w:color="auto" w:fill="E6E6E6"/>
          </w:tcPr>
          <w:p>
            <w:pPr>
              <w:spacing w:after="0"/>
              <w:rPr>
                <w:sz w:val="23"/>
                <w:szCs w:val="23"/>
                <w:color w:val="auto"/>
              </w:rPr>
            </w:pPr>
          </w:p>
        </w:tc>
        <w:tc>
          <w:tcPr>
            <w:tcW w:w="15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0.1</w:t>
            </w:r>
          </w:p>
        </w:tc>
        <w:tc>
          <w:tcPr>
            <w:tcW w:w="20" w:type="dxa"/>
            <w:vAlign w:val="bottom"/>
            <w:tcBorders>
              <w:top w:val="single" w:sz="8" w:color="E6E6E6"/>
              <w:bottom w:val="single" w:sz="8" w:color="E6E6E6"/>
            </w:tcBorders>
            <w:shd w:val="clear" w:color="auto" w:fill="E6E6E6"/>
          </w:tcPr>
          <w:p>
            <w:pPr>
              <w:spacing w:after="0"/>
              <w:rPr>
                <w:sz w:val="23"/>
                <w:szCs w:val="23"/>
                <w:color w:val="auto"/>
              </w:rPr>
            </w:pPr>
          </w:p>
        </w:tc>
        <w:tc>
          <w:tcPr>
            <w:tcW w:w="200" w:type="dxa"/>
            <w:vAlign w:val="bottom"/>
            <w:tcBorders>
              <w:top w:val="single" w:sz="8" w:color="E6E6E6"/>
              <w:bottom w:val="single" w:sz="8" w:color="E6E6E6"/>
            </w:tcBorders>
            <w:shd w:val="clear" w:color="auto" w:fill="E6E6E6"/>
          </w:tcPr>
          <w:p>
            <w:pPr>
              <w:spacing w:after="0"/>
              <w:rPr>
                <w:sz w:val="23"/>
                <w:szCs w:val="23"/>
                <w:color w:val="auto"/>
              </w:rPr>
            </w:pPr>
          </w:p>
        </w:tc>
        <w:tc>
          <w:tcPr>
            <w:tcW w:w="1440" w:type="dxa"/>
            <w:vAlign w:val="bottom"/>
            <w:tcBorders>
              <w:top w:val="single" w:sz="8" w:color="auto"/>
              <w:bottom w:val="single" w:sz="8" w:color="auto"/>
            </w:tcBorders>
            <w:gridSpan w:val="2"/>
            <w:shd w:val="clear" w:color="auto" w:fill="E6E6E6"/>
          </w:tcPr>
          <w:p>
            <w:pPr>
              <w:jc w:val="right"/>
              <w:spacing w:after="0"/>
              <w:rPr>
                <w:sz w:val="20"/>
                <w:szCs w:val="20"/>
                <w:color w:val="auto"/>
              </w:rPr>
            </w:pPr>
            <w:r>
              <w:rPr>
                <w:rFonts w:ascii="Arial" w:cs="Arial" w:eastAsia="Arial" w:hAnsi="Arial"/>
                <w:sz w:val="19"/>
                <w:szCs w:val="19"/>
                <w:color w:val="auto"/>
              </w:rPr>
              <w:t>5.1</w:t>
            </w:r>
          </w:p>
        </w:tc>
        <w:tc>
          <w:tcPr>
            <w:tcW w:w="20" w:type="dxa"/>
            <w:vAlign w:val="bottom"/>
            <w:tcBorders>
              <w:top w:val="single" w:sz="8" w:color="auto"/>
              <w:bottom w:val="single" w:sz="8" w:color="E6E6E6"/>
            </w:tcBorders>
            <w:shd w:val="clear" w:color="auto" w:fill="E6E6E6"/>
          </w:tcPr>
          <w:p>
            <w:pPr>
              <w:spacing w:after="0"/>
              <w:rPr>
                <w:sz w:val="23"/>
                <w:szCs w:val="23"/>
                <w:color w:val="auto"/>
              </w:rPr>
            </w:pPr>
          </w:p>
        </w:tc>
        <w:tc>
          <w:tcPr>
            <w:tcW w:w="200" w:type="dxa"/>
            <w:vAlign w:val="bottom"/>
            <w:tcBorders>
              <w:top w:val="single" w:sz="8" w:color="E6E6E6"/>
              <w:bottom w:val="single" w:sz="8" w:color="E6E6E6"/>
            </w:tcBorders>
            <w:shd w:val="clear" w:color="auto" w:fill="E6E6E6"/>
          </w:tcPr>
          <w:p>
            <w:pPr>
              <w:spacing w:after="0"/>
              <w:rPr>
                <w:sz w:val="23"/>
                <w:szCs w:val="23"/>
                <w:color w:val="auto"/>
              </w:rPr>
            </w:pPr>
          </w:p>
        </w:tc>
        <w:tc>
          <w:tcPr>
            <w:tcW w:w="160" w:type="dxa"/>
            <w:vAlign w:val="bottom"/>
            <w:tcBorders>
              <w:top w:val="single" w:sz="8" w:color="E6E6E6"/>
              <w:bottom w:val="single" w:sz="8" w:color="E6E6E6"/>
            </w:tcBorders>
            <w:shd w:val="clear" w:color="auto" w:fill="E6E6E6"/>
          </w:tcPr>
          <w:p>
            <w:pPr>
              <w:spacing w:after="0"/>
              <w:rPr>
                <w:sz w:val="23"/>
                <w:szCs w:val="23"/>
                <w:color w:val="auto"/>
              </w:rPr>
            </w:pPr>
          </w:p>
        </w:tc>
        <w:tc>
          <w:tcPr>
            <w:tcW w:w="940" w:type="dxa"/>
            <w:vAlign w:val="bottom"/>
            <w:tcBorders>
              <w:top w:val="single" w:sz="8" w:color="E6E6E6"/>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43.89</w:t>
            </w:r>
          </w:p>
        </w:tc>
        <w:tc>
          <w:tcPr>
            <w:tcW w:w="0" w:type="dxa"/>
            <w:vAlign w:val="bottom"/>
          </w:tcPr>
          <w:p>
            <w:pPr>
              <w:spacing w:after="0"/>
              <w:rPr>
                <w:sz w:val="1"/>
                <w:szCs w:val="1"/>
                <w:color w:val="auto"/>
              </w:rPr>
            </w:pPr>
          </w:p>
        </w:tc>
      </w:tr>
      <w:tr>
        <w:trPr>
          <w:trHeight w:val="241"/>
        </w:trPr>
        <w:tc>
          <w:tcPr>
            <w:tcW w:w="5380" w:type="dxa"/>
            <w:vAlign w:val="bottom"/>
          </w:tcPr>
          <w:p>
            <w:pPr>
              <w:ind w:left="280"/>
              <w:spacing w:after="0"/>
              <w:rPr>
                <w:sz w:val="20"/>
                <w:szCs w:val="20"/>
                <w:color w:val="auto"/>
              </w:rPr>
            </w:pPr>
            <w:r>
              <w:rPr>
                <w:rFonts w:ascii="Arial" w:cs="Arial" w:eastAsia="Arial" w:hAnsi="Arial"/>
                <w:sz w:val="19"/>
                <w:szCs w:val="19"/>
                <w:color w:val="auto"/>
              </w:rPr>
              <w:t>Granted</w:t>
            </w:r>
          </w:p>
        </w:tc>
        <w:tc>
          <w:tcPr>
            <w:tcW w:w="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9"/>
                <w:szCs w:val="19"/>
                <w:color w:val="auto"/>
              </w:rPr>
              <w:t>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79.30</w:t>
            </w:r>
          </w:p>
        </w:tc>
        <w:tc>
          <w:tcPr>
            <w:tcW w:w="0" w:type="dxa"/>
            <w:vAlign w:val="bottom"/>
          </w:tcPr>
          <w:p>
            <w:pPr>
              <w:spacing w:after="0"/>
              <w:rPr>
                <w:sz w:val="1"/>
                <w:szCs w:val="1"/>
                <w:color w:val="auto"/>
              </w:rPr>
            </w:pPr>
          </w:p>
        </w:tc>
      </w:tr>
      <w:tr>
        <w:trPr>
          <w:trHeight w:val="263"/>
        </w:trPr>
        <w:tc>
          <w:tcPr>
            <w:tcW w:w="5400" w:type="dxa"/>
            <w:vAlign w:val="bottom"/>
            <w:tcBorders>
              <w:bottom w:val="single" w:sz="8" w:color="E6E6E6"/>
            </w:tcBorders>
            <w:gridSpan w:val="2"/>
            <w:shd w:val="clear" w:color="auto" w:fill="E6E6E6"/>
          </w:tcPr>
          <w:p>
            <w:pPr>
              <w:ind w:left="280"/>
              <w:spacing w:after="0"/>
              <w:rPr>
                <w:sz w:val="20"/>
                <w:szCs w:val="20"/>
                <w:color w:val="auto"/>
              </w:rPr>
            </w:pPr>
            <w:r>
              <w:rPr>
                <w:rFonts w:ascii="Arial" w:cs="Arial" w:eastAsia="Arial" w:hAnsi="Arial"/>
                <w:sz w:val="19"/>
                <w:szCs w:val="19"/>
                <w:color w:val="auto"/>
              </w:rPr>
              <w:t>Vested</w:t>
            </w:r>
          </w:p>
        </w:tc>
        <w:tc>
          <w:tcPr>
            <w:tcW w:w="15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(0.1)</w:t>
            </w:r>
          </w:p>
        </w:tc>
        <w:tc>
          <w:tcPr>
            <w:tcW w:w="20" w:type="dxa"/>
            <w:vAlign w:val="bottom"/>
            <w:tcBorders>
              <w:bottom w:val="single" w:sz="8" w:color="E6E6E6"/>
            </w:tcBorders>
            <w:shd w:val="clear" w:color="auto" w:fill="E6E6E6"/>
          </w:tcPr>
          <w:p>
            <w:pPr>
              <w:spacing w:after="0"/>
              <w:rPr>
                <w:sz w:val="22"/>
                <w:szCs w:val="22"/>
                <w:color w:val="auto"/>
              </w:rPr>
            </w:pPr>
          </w:p>
        </w:tc>
        <w:tc>
          <w:tcPr>
            <w:tcW w:w="164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19"/>
                <w:szCs w:val="19"/>
                <w:color w:val="auto"/>
              </w:rPr>
              <w:t>(2.9)</w:t>
            </w:r>
          </w:p>
        </w:tc>
        <w:tc>
          <w:tcPr>
            <w:tcW w:w="2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45.23</w:t>
            </w:r>
          </w:p>
        </w:tc>
        <w:tc>
          <w:tcPr>
            <w:tcW w:w="0" w:type="dxa"/>
            <w:vAlign w:val="bottom"/>
          </w:tcPr>
          <w:p>
            <w:pPr>
              <w:spacing w:after="0"/>
              <w:rPr>
                <w:sz w:val="1"/>
                <w:szCs w:val="1"/>
                <w:color w:val="auto"/>
              </w:rPr>
            </w:pPr>
          </w:p>
        </w:tc>
      </w:tr>
      <w:tr>
        <w:trPr>
          <w:trHeight w:val="266"/>
        </w:trPr>
        <w:tc>
          <w:tcPr>
            <w:tcW w:w="5400" w:type="dxa"/>
            <w:vAlign w:val="bottom"/>
            <w:gridSpan w:val="2"/>
          </w:tcPr>
          <w:p>
            <w:pPr>
              <w:ind w:left="280"/>
              <w:spacing w:after="0"/>
              <w:rPr>
                <w:sz w:val="20"/>
                <w:szCs w:val="20"/>
                <w:color w:val="auto"/>
              </w:rPr>
            </w:pPr>
            <w:r>
              <w:rPr>
                <w:rFonts w:ascii="Arial" w:cs="Arial" w:eastAsia="Arial" w:hAnsi="Arial"/>
                <w:sz w:val="19"/>
                <w:szCs w:val="19"/>
                <w:color w:val="auto"/>
              </w:rPr>
              <w:t>Forfeited</w:t>
            </w:r>
          </w:p>
        </w:tc>
        <w:tc>
          <w:tcPr>
            <w:tcW w:w="160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640" w:type="dxa"/>
            <w:vAlign w:val="bottom"/>
            <w:gridSpan w:val="3"/>
          </w:tcPr>
          <w:p>
            <w:pPr>
              <w:jc w:val="right"/>
              <w:spacing w:after="0"/>
              <w:rPr>
                <w:sz w:val="20"/>
                <w:szCs w:val="20"/>
                <w:color w:val="auto"/>
              </w:rPr>
            </w:pPr>
            <w:r>
              <w:rPr>
                <w:rFonts w:ascii="Arial" w:cs="Arial" w:eastAsia="Arial" w:hAnsi="Arial"/>
                <w:sz w:val="19"/>
                <w:szCs w:val="19"/>
                <w:color w:val="auto"/>
              </w:rPr>
              <w:t>(0.3)</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53.41</w:t>
            </w:r>
          </w:p>
        </w:tc>
        <w:tc>
          <w:tcPr>
            <w:tcW w:w="0" w:type="dxa"/>
            <w:vAlign w:val="bottom"/>
          </w:tcPr>
          <w:p>
            <w:pPr>
              <w:spacing w:after="0"/>
              <w:rPr>
                <w:sz w:val="1"/>
                <w:szCs w:val="1"/>
                <w:color w:val="auto"/>
              </w:rPr>
            </w:pPr>
          </w:p>
        </w:tc>
      </w:tr>
      <w:tr>
        <w:trPr>
          <w:trHeight w:val="276"/>
        </w:trPr>
        <w:tc>
          <w:tcPr>
            <w:tcW w:w="538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Outstanding at December 31, 2025</w:t>
            </w:r>
          </w:p>
        </w:tc>
        <w:tc>
          <w:tcPr>
            <w:tcW w:w="20" w:type="dxa"/>
            <w:vAlign w:val="bottom"/>
            <w:tcBorders>
              <w:top w:val="single" w:sz="8" w:color="auto"/>
              <w:bottom w:val="single" w:sz="8" w:color="auto"/>
            </w:tcBorders>
            <w:shd w:val="clear" w:color="auto" w:fill="E6E6E6"/>
          </w:tcPr>
          <w:p>
            <w:pPr>
              <w:spacing w:after="0"/>
              <w:rPr>
                <w:sz w:val="23"/>
                <w:szCs w:val="23"/>
                <w:color w:val="auto"/>
              </w:rPr>
            </w:pPr>
          </w:p>
        </w:tc>
        <w:tc>
          <w:tcPr>
            <w:tcW w:w="15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0.1</w:t>
            </w:r>
          </w:p>
        </w:tc>
        <w:tc>
          <w:tcPr>
            <w:tcW w:w="20" w:type="dxa"/>
            <w:vAlign w:val="bottom"/>
            <w:tcBorders>
              <w:top w:val="single" w:sz="8" w:color="E6E6E6"/>
              <w:bottom w:val="single" w:sz="8" w:color="E6E6E6"/>
            </w:tcBorders>
            <w:shd w:val="clear" w:color="auto" w:fill="E6E6E6"/>
          </w:tcPr>
          <w:p>
            <w:pPr>
              <w:spacing w:after="0"/>
              <w:rPr>
                <w:sz w:val="23"/>
                <w:szCs w:val="23"/>
                <w:color w:val="auto"/>
              </w:rPr>
            </w:pPr>
          </w:p>
        </w:tc>
        <w:tc>
          <w:tcPr>
            <w:tcW w:w="200" w:type="dxa"/>
            <w:vAlign w:val="bottom"/>
            <w:tcBorders>
              <w:top w:val="single" w:sz="8" w:color="E6E6E6"/>
              <w:bottom w:val="single" w:sz="8" w:color="E6E6E6"/>
            </w:tcBorders>
            <w:shd w:val="clear" w:color="auto" w:fill="E6E6E6"/>
          </w:tcPr>
          <w:p>
            <w:pPr>
              <w:spacing w:after="0"/>
              <w:rPr>
                <w:sz w:val="23"/>
                <w:szCs w:val="23"/>
                <w:color w:val="auto"/>
              </w:rPr>
            </w:pPr>
          </w:p>
        </w:tc>
        <w:tc>
          <w:tcPr>
            <w:tcW w:w="1440" w:type="dxa"/>
            <w:vAlign w:val="bottom"/>
            <w:tcBorders>
              <w:top w:val="single" w:sz="8" w:color="auto"/>
              <w:bottom w:val="single" w:sz="8" w:color="auto"/>
            </w:tcBorders>
            <w:gridSpan w:val="2"/>
            <w:shd w:val="clear" w:color="auto" w:fill="E6E6E6"/>
          </w:tcPr>
          <w:p>
            <w:pPr>
              <w:jc w:val="right"/>
              <w:spacing w:after="0"/>
              <w:rPr>
                <w:sz w:val="20"/>
                <w:szCs w:val="20"/>
                <w:color w:val="auto"/>
              </w:rPr>
            </w:pPr>
            <w:r>
              <w:rPr>
                <w:rFonts w:ascii="Arial" w:cs="Arial" w:eastAsia="Arial" w:hAnsi="Arial"/>
                <w:sz w:val="19"/>
                <w:szCs w:val="19"/>
                <w:color w:val="auto"/>
              </w:rPr>
              <w:t>3.8</w:t>
            </w:r>
          </w:p>
        </w:tc>
        <w:tc>
          <w:tcPr>
            <w:tcW w:w="20" w:type="dxa"/>
            <w:vAlign w:val="bottom"/>
            <w:tcBorders>
              <w:top w:val="single" w:sz="8" w:color="E6E6E6"/>
              <w:bottom w:val="single" w:sz="8" w:color="E6E6E6"/>
            </w:tcBorders>
            <w:shd w:val="clear" w:color="auto" w:fill="E6E6E6"/>
          </w:tcPr>
          <w:p>
            <w:pPr>
              <w:spacing w:after="0"/>
              <w:rPr>
                <w:sz w:val="23"/>
                <w:szCs w:val="23"/>
                <w:color w:val="auto"/>
              </w:rPr>
            </w:pPr>
          </w:p>
        </w:tc>
        <w:tc>
          <w:tcPr>
            <w:tcW w:w="200" w:type="dxa"/>
            <w:vAlign w:val="bottom"/>
            <w:tcBorders>
              <w:top w:val="single" w:sz="8" w:color="E6E6E6"/>
              <w:bottom w:val="single" w:sz="8" w:color="E6E6E6"/>
            </w:tcBorders>
            <w:shd w:val="clear" w:color="auto" w:fill="E6E6E6"/>
          </w:tcPr>
          <w:p>
            <w:pPr>
              <w:spacing w:after="0"/>
              <w:rPr>
                <w:sz w:val="23"/>
                <w:szCs w:val="23"/>
                <w:color w:val="auto"/>
              </w:rPr>
            </w:pPr>
          </w:p>
        </w:tc>
        <w:tc>
          <w:tcPr>
            <w:tcW w:w="160" w:type="dxa"/>
            <w:vAlign w:val="bottom"/>
            <w:tcBorders>
              <w:top w:val="single" w:sz="8" w:color="E6E6E6"/>
              <w:bottom w:val="single" w:sz="8" w:color="E6E6E6"/>
            </w:tcBorders>
            <w:shd w:val="clear" w:color="auto" w:fill="E6E6E6"/>
          </w:tcPr>
          <w:p>
            <w:pPr>
              <w:spacing w:after="0"/>
              <w:rPr>
                <w:sz w:val="23"/>
                <w:szCs w:val="23"/>
                <w:color w:val="auto"/>
              </w:rPr>
            </w:pPr>
          </w:p>
        </w:tc>
        <w:tc>
          <w:tcPr>
            <w:tcW w:w="940" w:type="dxa"/>
            <w:vAlign w:val="bottom"/>
            <w:tcBorders>
              <w:top w:val="single" w:sz="8" w:color="E6E6E6"/>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59.13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-2378075</wp:posOffset>
            </wp:positionV>
            <wp:extent cx="293624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53">
                      <a:extLst>
                        <a:ext uri="{28A0092B-C50C-407E-A947-70E740481C1C}"/>
                      </a:extLst>
                    </a:blip>
                    <a:srcRect/>
                    <a:stretch>
                      <a:fillRect/>
                    </a:stretch>
                  </pic:blipFill>
                  <pic:spPr bwMode="auto">
                    <a:xfrm>
                      <a:off x="0" y="0"/>
                      <a:ext cx="2936240" cy="2540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-2193290</wp:posOffset>
            </wp:positionV>
            <wp:extent cx="209550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4">
                      <a:extLst>
                        <a:ext uri="{28A0092B-C50C-407E-A947-70E740481C1C}"/>
                      </a:extLst>
                    </a:blip>
                    <a:srcRect/>
                    <a:stretch>
                      <a:fillRect/>
                    </a:stretch>
                  </pic:blipFill>
                  <pic:spPr bwMode="auto">
                    <a:xfrm>
                      <a:off x="0" y="0"/>
                      <a:ext cx="2095500" cy="2540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-1638300</wp:posOffset>
            </wp:positionV>
            <wp:extent cx="209550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55">
                      <a:extLst>
                        <a:ext uri="{28A0092B-C50C-407E-A947-70E740481C1C}"/>
                      </a:extLst>
                    </a:blip>
                    <a:srcRect/>
                    <a:stretch>
                      <a:fillRect/>
                    </a:stretch>
                  </pic:blipFill>
                  <pic:spPr bwMode="auto">
                    <a:xfrm>
                      <a:off x="0" y="0"/>
                      <a:ext cx="2095500" cy="2540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-1453515</wp:posOffset>
            </wp:positionV>
            <wp:extent cx="209550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56">
                      <a:extLst>
                        <a:ext uri="{28A0092B-C50C-407E-A947-70E740481C1C}"/>
                      </a:extLst>
                    </a:blip>
                    <a:srcRect/>
                    <a:stretch>
                      <a:fillRect/>
                    </a:stretch>
                  </pic:blipFill>
                  <pic:spPr bwMode="auto">
                    <a:xfrm>
                      <a:off x="0" y="0"/>
                      <a:ext cx="2095500" cy="2540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-908685</wp:posOffset>
            </wp:positionV>
            <wp:extent cx="209550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57">
                      <a:extLst>
                        <a:ext uri="{28A0092B-C50C-407E-A947-70E740481C1C}"/>
                      </a:extLst>
                    </a:blip>
                    <a:srcRect/>
                    <a:stretch>
                      <a:fillRect/>
                    </a:stretch>
                  </pic:blipFill>
                  <pic:spPr bwMode="auto">
                    <a:xfrm>
                      <a:off x="0" y="0"/>
                      <a:ext cx="2095500" cy="2540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-732790</wp:posOffset>
            </wp:positionV>
            <wp:extent cx="209550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8">
                      <a:extLst>
                        <a:ext uri="{28A0092B-C50C-407E-A947-70E740481C1C}"/>
                      </a:extLst>
                    </a:blip>
                    <a:srcRect/>
                    <a:stretch>
                      <a:fillRect/>
                    </a:stretch>
                  </pic:blipFill>
                  <pic:spPr bwMode="auto">
                    <a:xfrm>
                      <a:off x="0" y="0"/>
                      <a:ext cx="2095500" cy="2540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-206375</wp:posOffset>
            </wp:positionV>
            <wp:extent cx="209550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59">
                      <a:extLst>
                        <a:ext uri="{28A0092B-C50C-407E-A947-70E740481C1C}"/>
                      </a:extLst>
                    </a:blip>
                    <a:srcRect/>
                    <a:stretch>
                      <a:fillRect/>
                    </a:stretch>
                  </pic:blipFill>
                  <pic:spPr bwMode="auto">
                    <a:xfrm>
                      <a:off x="0" y="0"/>
                      <a:ext cx="2095500" cy="2540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-43180</wp:posOffset>
            </wp:positionV>
            <wp:extent cx="2095500" cy="501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0">
                      <a:extLst>
                        <a:ext uri="{28A0092B-C50C-407E-A947-70E740481C1C}"/>
                      </a:extLst>
                    </a:blip>
                    <a:srcRect/>
                    <a:stretch>
                      <a:fillRect/>
                    </a:stretch>
                  </pic:blipFill>
                  <pic:spPr bwMode="auto">
                    <a:xfrm>
                      <a:off x="0" y="0"/>
                      <a:ext cx="2095500" cy="50165"/>
                    </a:xfrm>
                    <a:prstGeom prst="rect">
                      <a:avLst/>
                    </a:prstGeom>
                    <a:noFill/>
                  </pic:spPr>
                </pic:pic>
              </a:graphicData>
            </a:graphic>
          </wp:anchor>
        </w:drawing>
      </w:r>
    </w:p>
    <w:p>
      <w:pPr>
        <w:spacing w:after="0" w:line="162" w:lineRule="exact"/>
        <w:rPr>
          <w:sz w:val="20"/>
          <w:szCs w:val="20"/>
          <w:color w:val="auto"/>
        </w:rPr>
      </w:pPr>
    </w:p>
    <w:p>
      <w:pPr>
        <w:ind w:right="500"/>
        <w:spacing w:after="0" w:line="294" w:lineRule="auto"/>
        <w:rPr>
          <w:sz w:val="20"/>
          <w:szCs w:val="20"/>
          <w:color w:val="auto"/>
        </w:rPr>
      </w:pPr>
      <w:r>
        <w:rPr>
          <w:rFonts w:ascii="Arial" w:cs="Arial" w:eastAsia="Arial" w:hAnsi="Arial"/>
          <w:sz w:val="19"/>
          <w:szCs w:val="19"/>
          <w:color w:val="auto"/>
        </w:rPr>
        <w:t>The fair value of RSUs that vested in 2025, 2024 and 2023 was approximately $135 million, $91 million and $76 million, respectively.</w:t>
      </w:r>
    </w:p>
    <w:p>
      <w:pPr>
        <w:spacing w:after="0" w:line="105" w:lineRule="exact"/>
        <w:rPr>
          <w:sz w:val="20"/>
          <w:szCs w:val="20"/>
          <w:color w:val="auto"/>
        </w:rPr>
      </w:pPr>
    </w:p>
    <w:p>
      <w:pPr>
        <w:ind w:right="40"/>
        <w:spacing w:after="0" w:line="357" w:lineRule="auto"/>
        <w:rPr>
          <w:sz w:val="20"/>
          <w:szCs w:val="20"/>
          <w:color w:val="auto"/>
        </w:rPr>
      </w:pPr>
      <w:r>
        <w:rPr>
          <w:rFonts w:ascii="Arial" w:cs="Arial" w:eastAsia="Arial" w:hAnsi="Arial"/>
          <w:sz w:val="17"/>
          <w:szCs w:val="17"/>
          <w:color w:val="auto"/>
        </w:rPr>
        <w:t>As of December 31, 2025, UAL had recorded a liability of approximately $7 million related to its cash-settled RSUs. UAL paid approximately $6 million, $2 million and $3 million related to its cash-settled RSUs during 2025, 2024 and 2023, respectively.</w:t>
      </w:r>
    </w:p>
    <w:p>
      <w:pPr>
        <w:sectPr>
          <w:pgSz w:w="11880" w:h="15480" w:orient="portrait"/>
          <w:cols w:equalWidth="0" w:num="1">
            <w:col w:w="9960"/>
          </w:cols>
          <w:pgMar w:left="960" w:top="586"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9960"/>
          </w:cols>
          <w:pgMar w:left="960" w:top="586" w:right="960" w:bottom="33" w:gutter="0" w:footer="0" w:header="0"/>
          <w:type w:val="continuous"/>
        </w:sectPr>
      </w:pPr>
    </w:p>
    <w:bookmarkStart w:id="77" w:name="page78"/>
    <w:bookmarkEnd w:id="77"/>
    <w:p>
      <w:pPr>
        <w:spacing w:after="0"/>
        <w:rPr>
          <w:sz w:val="20"/>
          <w:szCs w:val="20"/>
          <w:color w:val="auto"/>
        </w:rPr>
      </w:pPr>
      <w:r>
        <w:rPr>
          <w:rFonts w:ascii="Arial" w:cs="Arial" w:eastAsia="Arial" w:hAnsi="Arial"/>
          <w:sz w:val="19"/>
          <w:szCs w:val="19"/>
          <w:b w:val="1"/>
          <w:bCs w:val="1"/>
          <w:color w:val="auto"/>
        </w:rPr>
        <w:t>NOTE 6 - ACCUMULATED OTHER COMPREHENSIVE INCOME (LOSS) ("AOCI")</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presents the components of the Company's AOCI, net of tax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7"/>
                <w:szCs w:val="17"/>
                <w:b w:val="1"/>
                <w:bCs w:val="1"/>
                <w:color w:val="auto"/>
                <w:w w:val="88"/>
              </w:rPr>
              <w:t>Pension and</w:t>
            </w: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520"/>
              <w:spacing w:after="0" w:line="175" w:lineRule="exact"/>
              <w:rPr>
                <w:sz w:val="20"/>
                <w:szCs w:val="20"/>
                <w:color w:val="auto"/>
              </w:rPr>
            </w:pPr>
            <w:r>
              <w:rPr>
                <w:rFonts w:ascii="Arial" w:cs="Arial" w:eastAsia="Arial" w:hAnsi="Arial"/>
                <w:sz w:val="17"/>
                <w:szCs w:val="17"/>
                <w:b w:val="1"/>
                <w:bCs w:val="1"/>
                <w:color w:val="auto"/>
              </w:rPr>
              <w:t>Other</w:t>
            </w:r>
          </w:p>
        </w:tc>
        <w:tc>
          <w:tcPr>
            <w:tcW w:w="104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w w:val="96"/>
              </w:rPr>
              <w:t>Investments</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vMerge w:val="restart"/>
          </w:tcPr>
          <w:p>
            <w:pPr>
              <w:jc w:val="right"/>
              <w:ind w:right="43"/>
              <w:spacing w:after="0"/>
              <w:rPr>
                <w:sz w:val="20"/>
                <w:szCs w:val="20"/>
                <w:color w:val="auto"/>
              </w:rPr>
            </w:pPr>
            <w:r>
              <w:rPr>
                <w:rFonts w:ascii="Arial" w:cs="Arial" w:eastAsia="Arial" w:hAnsi="Arial"/>
                <w:sz w:val="17"/>
                <w:szCs w:val="17"/>
                <w:b w:val="1"/>
                <w:bCs w:val="1"/>
                <w:color w:val="auto"/>
              </w:rPr>
              <w:t>Deferred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3"/>
          </w:tcPr>
          <w:p>
            <w:pPr>
              <w:jc w:val="center"/>
              <w:ind w:right="340"/>
              <w:spacing w:after="0" w:line="175" w:lineRule="exact"/>
              <w:rPr>
                <w:sz w:val="20"/>
                <w:szCs w:val="20"/>
                <w:color w:val="auto"/>
              </w:rPr>
            </w:pPr>
            <w:r>
              <w:rPr>
                <w:rFonts w:ascii="Arial" w:cs="Arial" w:eastAsia="Arial" w:hAnsi="Arial"/>
                <w:sz w:val="17"/>
                <w:szCs w:val="17"/>
                <w:b w:val="1"/>
                <w:bCs w:val="1"/>
                <w:color w:val="auto"/>
                <w:w w:val="93"/>
              </w:rPr>
              <w:t>Postretirement</w:t>
            </w:r>
          </w:p>
        </w:tc>
        <w:tc>
          <w:tcPr>
            <w:tcW w:w="10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ind w:right="22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31"/>
        </w:trPr>
        <w:tc>
          <w:tcPr>
            <w:tcW w:w="4180" w:type="dxa"/>
            <w:vAlign w:val="bottom"/>
            <w:tcBorders>
              <w:bottom w:val="single" w:sz="8" w:color="E6E6E6"/>
            </w:tcBorders>
          </w:tcPr>
          <w:p>
            <w:pPr>
              <w:spacing w:after="0"/>
              <w:rPr>
                <w:sz w:val="20"/>
                <w:szCs w:val="20"/>
                <w:color w:val="auto"/>
              </w:rPr>
            </w:pPr>
          </w:p>
        </w:tc>
        <w:tc>
          <w:tcPr>
            <w:tcW w:w="24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85"/>
              <w:spacing w:after="0"/>
              <w:rPr>
                <w:sz w:val="20"/>
                <w:szCs w:val="20"/>
                <w:color w:val="auto"/>
              </w:rPr>
            </w:pPr>
            <w:r>
              <w:rPr>
                <w:rFonts w:ascii="Arial" w:cs="Arial" w:eastAsia="Arial" w:hAnsi="Arial"/>
                <w:sz w:val="17"/>
                <w:szCs w:val="17"/>
                <w:b w:val="1"/>
                <w:bCs w:val="1"/>
                <w:color w:val="auto"/>
                <w:w w:val="94"/>
              </w:rPr>
              <w:t>Liabilities</w:t>
            </w:r>
          </w:p>
        </w:tc>
        <w:tc>
          <w:tcPr>
            <w:tcW w:w="340" w:type="dxa"/>
            <w:vAlign w:val="bottom"/>
            <w:tcBorders>
              <w:bottom w:val="single" w:sz="8" w:color="E6E6E6"/>
            </w:tcBorders>
          </w:tcPr>
          <w:p>
            <w:pPr>
              <w:spacing w:after="0"/>
              <w:rPr>
                <w:sz w:val="20"/>
                <w:szCs w:val="20"/>
                <w:color w:val="auto"/>
              </w:rPr>
            </w:pPr>
          </w:p>
        </w:tc>
        <w:tc>
          <w:tcPr>
            <w:tcW w:w="10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7"/>
                <w:szCs w:val="17"/>
                <w:b w:val="1"/>
                <w:bCs w:val="1"/>
                <w:color w:val="auto"/>
              </w:rPr>
              <w:t>and Other</w:t>
            </w:r>
          </w:p>
        </w:tc>
        <w:tc>
          <w:tcPr>
            <w:tcW w:w="340" w:type="dxa"/>
            <w:vAlign w:val="bottom"/>
            <w:tcBorders>
              <w:bottom w:val="single" w:sz="8" w:color="E6E6E6"/>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7"/>
                <w:szCs w:val="17"/>
                <w:b w:val="1"/>
                <w:bCs w:val="1"/>
                <w:color w:val="auto"/>
              </w:rPr>
              <w:t>Taxes (a)</w:t>
            </w:r>
          </w:p>
        </w:tc>
        <w:tc>
          <w:tcPr>
            <w:tcW w:w="340" w:type="dxa"/>
            <w:vAlign w:val="bottom"/>
            <w:tcBorders>
              <w:bottom w:val="single" w:sz="8" w:color="E6E6E6"/>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42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Balance at December 31, 2022</w:t>
            </w:r>
          </w:p>
        </w:tc>
        <w:tc>
          <w:tcPr>
            <w:tcW w:w="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626</w:t>
            </w:r>
          </w:p>
        </w:tc>
        <w:tc>
          <w:tcPr>
            <w:tcW w:w="340" w:type="dxa"/>
            <w:vAlign w:val="bottom"/>
            <w:shd w:val="clear" w:color="auto" w:fill="E6E6E6"/>
          </w:tcPr>
          <w:p>
            <w:pPr>
              <w:spacing w:after="0"/>
              <w:rPr>
                <w:sz w:val="23"/>
                <w:szCs w:val="23"/>
                <w:color w:val="auto"/>
              </w:rPr>
            </w:pPr>
          </w:p>
        </w:tc>
        <w:tc>
          <w:tcPr>
            <w:tcW w:w="420" w:type="dxa"/>
            <w:vAlign w:val="bottom"/>
            <w:shd w:val="clear" w:color="auto" w:fill="E6E6E6"/>
          </w:tcPr>
          <w:p>
            <w:pPr>
              <w:ind w:left="60"/>
              <w:spacing w:after="0"/>
              <w:rPr>
                <w:sz w:val="20"/>
                <w:szCs w:val="20"/>
                <w:color w:val="auto"/>
              </w:rPr>
            </w:pPr>
            <w:r>
              <w:rPr>
                <w:rFonts w:ascii="Arial" w:cs="Arial" w:eastAsia="Arial" w:hAnsi="Arial"/>
                <w:sz w:val="19"/>
                <w:szCs w:val="19"/>
                <w:color w:val="auto"/>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(35)</w:t>
            </w:r>
          </w:p>
        </w:tc>
        <w:tc>
          <w:tcPr>
            <w:tcW w:w="660" w:type="dxa"/>
            <w:vAlign w:val="bottom"/>
            <w:gridSpan w:val="3"/>
            <w:shd w:val="clear" w:color="auto" w:fill="E6E6E6"/>
          </w:tcPr>
          <w:p>
            <w:pPr>
              <w:jc w:val="right"/>
              <w:ind w:right="69"/>
              <w:spacing w:after="0"/>
              <w:rPr>
                <w:sz w:val="20"/>
                <w:szCs w:val="20"/>
                <w:color w:val="auto"/>
              </w:rPr>
            </w:pPr>
            <w:r>
              <w:rPr>
                <w:rFonts w:ascii="Arial" w:cs="Arial" w:eastAsia="Arial" w:hAnsi="Arial"/>
                <w:sz w:val="19"/>
                <w:szCs w:val="19"/>
                <w:color w:val="auto"/>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(416)</w:t>
            </w:r>
          </w:p>
        </w:tc>
        <w:tc>
          <w:tcPr>
            <w:tcW w:w="580" w:type="dxa"/>
            <w:vAlign w:val="bottom"/>
            <w:gridSpan w:val="3"/>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175</w:t>
            </w:r>
          </w:p>
        </w:tc>
        <w:tc>
          <w:tcPr>
            <w:tcW w:w="0" w:type="dxa"/>
            <w:vAlign w:val="bottom"/>
          </w:tcPr>
          <w:p>
            <w:pPr>
              <w:spacing w:after="0"/>
              <w:rPr>
                <w:sz w:val="1"/>
                <w:szCs w:val="1"/>
                <w:color w:val="auto"/>
              </w:rPr>
            </w:pPr>
          </w:p>
        </w:tc>
      </w:tr>
      <w:tr>
        <w:trPr>
          <w:trHeight w:val="241"/>
        </w:trPr>
        <w:tc>
          <w:tcPr>
            <w:tcW w:w="4420" w:type="dxa"/>
            <w:vAlign w:val="bottom"/>
            <w:tcBorders>
              <w:top w:val="single" w:sz="8" w:color="E6E6E6"/>
            </w:tcBorders>
            <w:gridSpan w:val="2"/>
          </w:tcPr>
          <w:p>
            <w:pPr>
              <w:ind w:left="280"/>
              <w:spacing w:after="0"/>
              <w:rPr>
                <w:sz w:val="20"/>
                <w:szCs w:val="20"/>
                <w:color w:val="auto"/>
              </w:rPr>
            </w:pPr>
            <w:r>
              <w:rPr>
                <w:rFonts w:ascii="Arial" w:cs="Arial" w:eastAsia="Arial" w:hAnsi="Arial"/>
                <w:sz w:val="19"/>
                <w:szCs w:val="19"/>
                <w:color w:val="auto"/>
              </w:rPr>
              <w:t>Changes in value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(199)</w:t>
            </w:r>
          </w:p>
        </w:tc>
        <w:tc>
          <w:tcPr>
            <w:tcW w:w="340" w:type="dxa"/>
            <w:vAlign w:val="bottom"/>
            <w:tcBorders>
              <w:top w:val="single" w:sz="8" w:color="E6E6E6"/>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31</w:t>
            </w:r>
          </w:p>
        </w:tc>
        <w:tc>
          <w:tcPr>
            <w:tcW w:w="340" w:type="dxa"/>
            <w:vAlign w:val="bottom"/>
            <w:tcBorders>
              <w:top w:val="single" w:sz="8" w:color="E6E6E6"/>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38</w:t>
            </w:r>
          </w:p>
        </w:tc>
        <w:tc>
          <w:tcPr>
            <w:tcW w:w="340" w:type="dxa"/>
            <w:vAlign w:val="bottom"/>
            <w:tcBorders>
              <w:top w:val="single" w:sz="8" w:color="E6E6E6"/>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(130)</w:t>
            </w:r>
          </w:p>
        </w:tc>
        <w:tc>
          <w:tcPr>
            <w:tcW w:w="0" w:type="dxa"/>
            <w:vAlign w:val="bottom"/>
          </w:tcPr>
          <w:p>
            <w:pPr>
              <w:spacing w:after="0"/>
              <w:rPr>
                <w:sz w:val="1"/>
                <w:szCs w:val="1"/>
                <w:color w:val="auto"/>
              </w:rPr>
            </w:pPr>
          </w:p>
        </w:tc>
      </w:tr>
      <w:tr>
        <w:trPr>
          <w:trHeight w:val="292"/>
        </w:trPr>
        <w:tc>
          <w:tcPr>
            <w:tcW w:w="4420" w:type="dxa"/>
            <w:vAlign w:val="bottom"/>
            <w:gridSpan w:val="2"/>
            <w:shd w:val="clear" w:color="auto" w:fill="E6E6E6"/>
          </w:tcPr>
          <w:p>
            <w:pPr>
              <w:ind w:left="280"/>
              <w:spacing w:after="0"/>
              <w:rPr>
                <w:sz w:val="20"/>
                <w:szCs w:val="20"/>
                <w:color w:val="auto"/>
              </w:rPr>
            </w:pPr>
            <w:r>
              <w:rPr>
                <w:rFonts w:ascii="Arial" w:cs="Arial" w:eastAsia="Arial" w:hAnsi="Arial"/>
                <w:sz w:val="19"/>
                <w:szCs w:val="19"/>
                <w:color w:val="auto"/>
              </w:rPr>
              <w:t>Amounts reclassified to earnings</w:t>
            </w:r>
          </w:p>
        </w:tc>
        <w:tc>
          <w:tcPr>
            <w:tcW w:w="160" w:type="dxa"/>
            <w:vAlign w:val="bottom"/>
            <w:shd w:val="clear" w:color="auto" w:fill="E6E6E6"/>
          </w:tcPr>
          <w:p>
            <w:pPr>
              <w:spacing w:after="0"/>
              <w:rPr>
                <w:sz w:val="24"/>
                <w:szCs w:val="24"/>
                <w:color w:val="auto"/>
              </w:rPr>
            </w:pPr>
          </w:p>
        </w:tc>
        <w:tc>
          <w:tcPr>
            <w:tcW w:w="146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color w:val="auto"/>
              </w:rPr>
              <w:t>(138) (b)</w:t>
            </w:r>
          </w:p>
        </w:tc>
        <w:tc>
          <w:tcPr>
            <w:tcW w:w="42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3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31</w:t>
            </w:r>
          </w:p>
        </w:tc>
        <w:tc>
          <w:tcPr>
            <w:tcW w:w="3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(107)</w:t>
            </w:r>
          </w:p>
        </w:tc>
        <w:tc>
          <w:tcPr>
            <w:tcW w:w="0" w:type="dxa"/>
            <w:vAlign w:val="bottom"/>
          </w:tcPr>
          <w:p>
            <w:pPr>
              <w:spacing w:after="0"/>
              <w:rPr>
                <w:sz w:val="1"/>
                <w:szCs w:val="1"/>
                <w:color w:val="auto"/>
              </w:rPr>
            </w:pPr>
          </w:p>
        </w:tc>
      </w:tr>
      <w:tr>
        <w:trPr>
          <w:trHeight w:val="237"/>
        </w:trPr>
        <w:tc>
          <w:tcPr>
            <w:tcW w:w="4420" w:type="dxa"/>
            <w:vAlign w:val="bottom"/>
            <w:tcBorders>
              <w:top w:val="single" w:sz="8" w:color="E6E6E6"/>
              <w:bottom w:val="single" w:sz="8" w:color="E6E6E6"/>
            </w:tcBorders>
            <w:gridSpan w:val="2"/>
          </w:tcPr>
          <w:p>
            <w:pPr>
              <w:ind w:left="60"/>
              <w:spacing w:after="0"/>
              <w:rPr>
                <w:sz w:val="20"/>
                <w:szCs w:val="20"/>
                <w:color w:val="auto"/>
              </w:rPr>
            </w:pPr>
            <w:r>
              <w:rPr>
                <w:rFonts w:ascii="Arial" w:cs="Arial" w:eastAsia="Arial" w:hAnsi="Arial"/>
                <w:sz w:val="19"/>
                <w:szCs w:val="19"/>
                <w:color w:val="auto"/>
              </w:rPr>
              <w:t>Balance at December 31, 2023</w:t>
            </w: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289</w:t>
            </w:r>
          </w:p>
        </w:tc>
        <w:tc>
          <w:tcPr>
            <w:tcW w:w="340" w:type="dxa"/>
            <w:vAlign w:val="bottom"/>
            <w:tcBorders>
              <w:top w:val="single" w:sz="8" w:color="E6E6E6"/>
              <w:bottom w:val="single" w:sz="8" w:color="E6E6E6"/>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340" w:type="dxa"/>
            <w:vAlign w:val="bottom"/>
            <w:tcBorders>
              <w:top w:val="single" w:sz="8" w:color="E6E6E6"/>
              <w:bottom w:val="single" w:sz="8" w:color="E6E6E6"/>
            </w:tcBorders>
          </w:tcPr>
          <w:p>
            <w:pPr>
              <w:spacing w:after="0"/>
              <w:rPr>
                <w:sz w:val="20"/>
                <w:szCs w:val="20"/>
                <w:color w:val="auto"/>
              </w:rPr>
            </w:pPr>
          </w:p>
        </w:tc>
        <w:tc>
          <w:tcPr>
            <w:tcW w:w="20" w:type="dxa"/>
            <w:vAlign w:val="bottom"/>
            <w:tcBorders>
              <w:top w:val="single" w:sz="8" w:color="auto"/>
              <w:bottom w:val="single" w:sz="8" w:color="E6E6E6"/>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(347)</w:t>
            </w:r>
          </w:p>
        </w:tc>
        <w:tc>
          <w:tcPr>
            <w:tcW w:w="340" w:type="dxa"/>
            <w:vAlign w:val="bottom"/>
            <w:tcBorders>
              <w:top w:val="single" w:sz="8" w:color="E6E6E6"/>
              <w:bottom w:val="single" w:sz="8" w:color="E6E6E6"/>
            </w:tcBorders>
          </w:tcPr>
          <w:p>
            <w:pPr>
              <w:spacing w:after="0"/>
              <w:rPr>
                <w:sz w:val="20"/>
                <w:szCs w:val="20"/>
                <w:color w:val="auto"/>
              </w:rPr>
            </w:pPr>
          </w:p>
        </w:tc>
        <w:tc>
          <w:tcPr>
            <w:tcW w:w="20" w:type="dxa"/>
            <w:vAlign w:val="bottom"/>
            <w:tcBorders>
              <w:top w:val="single" w:sz="8" w:color="auto"/>
              <w:bottom w:val="single" w:sz="8" w:color="E6E6E6"/>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(62)</w:t>
            </w:r>
          </w:p>
        </w:tc>
        <w:tc>
          <w:tcPr>
            <w:tcW w:w="0" w:type="dxa"/>
            <w:vAlign w:val="bottom"/>
          </w:tcPr>
          <w:p>
            <w:pPr>
              <w:spacing w:after="0"/>
              <w:rPr>
                <w:sz w:val="1"/>
                <w:szCs w:val="1"/>
                <w:color w:val="auto"/>
              </w:rPr>
            </w:pPr>
          </w:p>
        </w:tc>
      </w:tr>
      <w:tr>
        <w:trPr>
          <w:trHeight w:val="267"/>
        </w:trPr>
        <w:tc>
          <w:tcPr>
            <w:tcW w:w="4420" w:type="dxa"/>
            <w:vAlign w:val="bottom"/>
            <w:gridSpan w:val="2"/>
            <w:shd w:val="clear" w:color="auto" w:fill="E6E6E6"/>
          </w:tcPr>
          <w:p>
            <w:pPr>
              <w:ind w:left="280"/>
              <w:spacing w:after="0"/>
              <w:rPr>
                <w:sz w:val="20"/>
                <w:szCs w:val="20"/>
                <w:color w:val="auto"/>
              </w:rPr>
            </w:pPr>
            <w:r>
              <w:rPr>
                <w:rFonts w:ascii="Arial" w:cs="Arial" w:eastAsia="Arial" w:hAnsi="Arial"/>
                <w:sz w:val="19"/>
                <w:szCs w:val="19"/>
                <w:color w:val="auto"/>
              </w:rPr>
              <w:t>Changes in value</w:t>
            </w:r>
          </w:p>
        </w:tc>
        <w:tc>
          <w:tcPr>
            <w:tcW w:w="16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417</w:t>
            </w:r>
          </w:p>
        </w:tc>
        <w:tc>
          <w:tcPr>
            <w:tcW w:w="34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w:t>
            </w:r>
          </w:p>
        </w:tc>
        <w:tc>
          <w:tcPr>
            <w:tcW w:w="3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(94)</w:t>
            </w:r>
          </w:p>
        </w:tc>
        <w:tc>
          <w:tcPr>
            <w:tcW w:w="3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327</w:t>
            </w:r>
          </w:p>
        </w:tc>
        <w:tc>
          <w:tcPr>
            <w:tcW w:w="0" w:type="dxa"/>
            <w:vAlign w:val="bottom"/>
          </w:tcPr>
          <w:p>
            <w:pPr>
              <w:spacing w:after="0"/>
              <w:rPr>
                <w:sz w:val="1"/>
                <w:szCs w:val="1"/>
                <w:color w:val="auto"/>
              </w:rPr>
            </w:pPr>
          </w:p>
        </w:tc>
      </w:tr>
      <w:tr>
        <w:trPr>
          <w:trHeight w:val="266"/>
        </w:trPr>
        <w:tc>
          <w:tcPr>
            <w:tcW w:w="4420" w:type="dxa"/>
            <w:vAlign w:val="bottom"/>
            <w:gridSpan w:val="2"/>
          </w:tcPr>
          <w:p>
            <w:pPr>
              <w:ind w:left="280"/>
              <w:spacing w:after="0"/>
              <w:rPr>
                <w:sz w:val="20"/>
                <w:szCs w:val="20"/>
                <w:color w:val="auto"/>
              </w:rPr>
            </w:pPr>
            <w:r>
              <w:rPr>
                <w:rFonts w:ascii="Arial" w:cs="Arial" w:eastAsia="Arial" w:hAnsi="Arial"/>
                <w:sz w:val="19"/>
                <w:szCs w:val="19"/>
                <w:color w:val="auto"/>
              </w:rPr>
              <w:t>Amounts reclassified to earnings</w:t>
            </w:r>
          </w:p>
        </w:tc>
        <w:tc>
          <w:tcPr>
            <w:tcW w:w="160" w:type="dxa"/>
            <w:vAlign w:val="bottom"/>
          </w:tcPr>
          <w:p>
            <w:pPr>
              <w:spacing w:after="0"/>
              <w:rPr>
                <w:sz w:val="23"/>
                <w:szCs w:val="23"/>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9"/>
                <w:szCs w:val="19"/>
                <w:color w:val="auto"/>
              </w:rPr>
              <w:t>(99) (b)</w:t>
            </w:r>
          </w:p>
        </w:tc>
        <w:tc>
          <w:tcPr>
            <w:tcW w:w="4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22</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(77)</w:t>
            </w:r>
          </w:p>
        </w:tc>
        <w:tc>
          <w:tcPr>
            <w:tcW w:w="0" w:type="dxa"/>
            <w:vAlign w:val="bottom"/>
          </w:tcPr>
          <w:p>
            <w:pPr>
              <w:spacing w:after="0"/>
              <w:rPr>
                <w:sz w:val="1"/>
                <w:szCs w:val="1"/>
                <w:color w:val="auto"/>
              </w:rPr>
            </w:pPr>
          </w:p>
        </w:tc>
      </w:tr>
      <w:tr>
        <w:trPr>
          <w:trHeight w:val="276"/>
        </w:trPr>
        <w:tc>
          <w:tcPr>
            <w:tcW w:w="4420" w:type="dxa"/>
            <w:vAlign w:val="bottom"/>
            <w:tcBorders>
              <w:top w:val="single" w:sz="8" w:color="E6E6E6"/>
              <w:bottom w:val="single" w:sz="8" w:color="E6E6E6"/>
            </w:tcBorders>
            <w:gridSpan w:val="2"/>
            <w:shd w:val="clear" w:color="auto" w:fill="E6E6E6"/>
          </w:tcPr>
          <w:p>
            <w:pPr>
              <w:ind w:left="60"/>
              <w:spacing w:after="0"/>
              <w:rPr>
                <w:sz w:val="20"/>
                <w:szCs w:val="20"/>
                <w:color w:val="auto"/>
              </w:rPr>
            </w:pPr>
            <w:r>
              <w:rPr>
                <w:rFonts w:ascii="Arial" w:cs="Arial" w:eastAsia="Arial" w:hAnsi="Arial"/>
                <w:sz w:val="19"/>
                <w:szCs w:val="19"/>
                <w:color w:val="auto"/>
              </w:rPr>
              <w:t>Balance at December 31, 2024</w:t>
            </w:r>
          </w:p>
        </w:tc>
        <w:tc>
          <w:tcPr>
            <w:tcW w:w="160" w:type="dxa"/>
            <w:vAlign w:val="bottom"/>
            <w:tcBorders>
              <w:top w:val="single" w:sz="8" w:color="auto"/>
              <w:bottom w:val="single" w:sz="8" w:color="auto"/>
            </w:tcBorders>
            <w:shd w:val="clear" w:color="auto" w:fill="E6E6E6"/>
          </w:tcPr>
          <w:p>
            <w:pPr>
              <w:spacing w:after="0"/>
              <w:rPr>
                <w:sz w:val="23"/>
                <w:szCs w:val="23"/>
                <w:color w:val="auto"/>
              </w:rPr>
            </w:pPr>
          </w:p>
        </w:tc>
        <w:tc>
          <w:tcPr>
            <w:tcW w:w="11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607</w:t>
            </w:r>
          </w:p>
        </w:tc>
        <w:tc>
          <w:tcPr>
            <w:tcW w:w="340" w:type="dxa"/>
            <w:vAlign w:val="bottom"/>
            <w:tcBorders>
              <w:top w:val="single" w:sz="8" w:color="E6E6E6"/>
              <w:bottom w:val="single" w:sz="8" w:color="E6E6E6"/>
            </w:tcBorders>
            <w:shd w:val="clear" w:color="auto" w:fill="E6E6E6"/>
          </w:tcPr>
          <w:p>
            <w:pPr>
              <w:spacing w:after="0"/>
              <w:rPr>
                <w:sz w:val="23"/>
                <w:szCs w:val="23"/>
                <w:color w:val="auto"/>
              </w:rPr>
            </w:pPr>
          </w:p>
        </w:tc>
        <w:tc>
          <w:tcPr>
            <w:tcW w:w="420" w:type="dxa"/>
            <w:vAlign w:val="bottom"/>
            <w:tcBorders>
              <w:top w:val="single" w:sz="8" w:color="auto"/>
              <w:bottom w:val="single" w:sz="8" w:color="auto"/>
            </w:tcBorders>
            <w:shd w:val="clear" w:color="auto" w:fill="E6E6E6"/>
          </w:tcPr>
          <w:p>
            <w:pPr>
              <w:spacing w:after="0"/>
              <w:rPr>
                <w:sz w:val="23"/>
                <w:szCs w:val="23"/>
                <w:color w:val="auto"/>
              </w:rPr>
            </w:pPr>
          </w:p>
        </w:tc>
        <w:tc>
          <w:tcPr>
            <w:tcW w:w="6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340" w:type="dxa"/>
            <w:vAlign w:val="bottom"/>
            <w:tcBorders>
              <w:top w:val="single" w:sz="8" w:color="E6E6E6"/>
              <w:bottom w:val="single" w:sz="8" w:color="E6E6E6"/>
            </w:tcBorders>
            <w:shd w:val="clear" w:color="auto" w:fill="E6E6E6"/>
          </w:tcPr>
          <w:p>
            <w:pPr>
              <w:spacing w:after="0"/>
              <w:rPr>
                <w:sz w:val="23"/>
                <w:szCs w:val="23"/>
                <w:color w:val="auto"/>
              </w:rPr>
            </w:pPr>
          </w:p>
        </w:tc>
        <w:tc>
          <w:tcPr>
            <w:tcW w:w="20" w:type="dxa"/>
            <w:vAlign w:val="bottom"/>
            <w:tcBorders>
              <w:top w:val="single" w:sz="8" w:color="E6E6E6"/>
              <w:bottom w:val="single" w:sz="8" w:color="E6E6E6"/>
            </w:tcBorders>
            <w:shd w:val="clear" w:color="auto" w:fill="E6E6E6"/>
          </w:tcPr>
          <w:p>
            <w:pPr>
              <w:spacing w:after="0"/>
              <w:rPr>
                <w:sz w:val="23"/>
                <w:szCs w:val="23"/>
                <w:color w:val="auto"/>
              </w:rPr>
            </w:pPr>
          </w:p>
        </w:tc>
        <w:tc>
          <w:tcPr>
            <w:tcW w:w="300" w:type="dxa"/>
            <w:vAlign w:val="bottom"/>
            <w:tcBorders>
              <w:top w:val="single" w:sz="8" w:color="auto"/>
              <w:bottom w:val="single" w:sz="8" w:color="auto"/>
            </w:tcBorders>
            <w:shd w:val="clear" w:color="auto" w:fill="E6E6E6"/>
          </w:tcPr>
          <w:p>
            <w:pPr>
              <w:spacing w:after="0"/>
              <w:rPr>
                <w:sz w:val="23"/>
                <w:szCs w:val="23"/>
                <w:color w:val="auto"/>
              </w:rPr>
            </w:pPr>
          </w:p>
        </w:tc>
        <w:tc>
          <w:tcPr>
            <w:tcW w:w="6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(419)</w:t>
            </w:r>
          </w:p>
        </w:tc>
        <w:tc>
          <w:tcPr>
            <w:tcW w:w="340" w:type="dxa"/>
            <w:vAlign w:val="bottom"/>
            <w:tcBorders>
              <w:top w:val="single" w:sz="8" w:color="E6E6E6"/>
              <w:bottom w:val="single" w:sz="8" w:color="E6E6E6"/>
            </w:tcBorders>
            <w:shd w:val="clear" w:color="auto" w:fill="E6E6E6"/>
          </w:tcPr>
          <w:p>
            <w:pPr>
              <w:spacing w:after="0"/>
              <w:rPr>
                <w:sz w:val="23"/>
                <w:szCs w:val="23"/>
                <w:color w:val="auto"/>
              </w:rPr>
            </w:pPr>
          </w:p>
        </w:tc>
        <w:tc>
          <w:tcPr>
            <w:tcW w:w="20" w:type="dxa"/>
            <w:vAlign w:val="bottom"/>
            <w:tcBorders>
              <w:top w:val="single" w:sz="8" w:color="E6E6E6"/>
              <w:bottom w:val="single" w:sz="8" w:color="E6E6E6"/>
            </w:tcBorders>
            <w:shd w:val="clear" w:color="auto" w:fill="E6E6E6"/>
          </w:tcPr>
          <w:p>
            <w:pPr>
              <w:spacing w:after="0"/>
              <w:rPr>
                <w:sz w:val="23"/>
                <w:szCs w:val="23"/>
                <w:color w:val="auto"/>
              </w:rPr>
            </w:pPr>
          </w:p>
        </w:tc>
        <w:tc>
          <w:tcPr>
            <w:tcW w:w="220" w:type="dxa"/>
            <w:vAlign w:val="bottom"/>
            <w:tcBorders>
              <w:top w:val="single" w:sz="8" w:color="auto"/>
              <w:bottom w:val="single" w:sz="8" w:color="auto"/>
            </w:tcBorders>
            <w:shd w:val="clear" w:color="auto" w:fill="E6E6E6"/>
          </w:tcPr>
          <w:p>
            <w:pPr>
              <w:spacing w:after="0"/>
              <w:rPr>
                <w:sz w:val="23"/>
                <w:szCs w:val="23"/>
                <w:color w:val="auto"/>
              </w:rPr>
            </w:pPr>
          </w:p>
        </w:tc>
        <w:tc>
          <w:tcPr>
            <w:tcW w:w="8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188</w:t>
            </w:r>
          </w:p>
        </w:tc>
        <w:tc>
          <w:tcPr>
            <w:tcW w:w="0" w:type="dxa"/>
            <w:vAlign w:val="bottom"/>
          </w:tcPr>
          <w:p>
            <w:pPr>
              <w:spacing w:after="0"/>
              <w:rPr>
                <w:sz w:val="1"/>
                <w:szCs w:val="1"/>
                <w:color w:val="auto"/>
              </w:rPr>
            </w:pPr>
          </w:p>
        </w:tc>
      </w:tr>
      <w:tr>
        <w:trPr>
          <w:trHeight w:val="241"/>
        </w:trPr>
        <w:tc>
          <w:tcPr>
            <w:tcW w:w="4420" w:type="dxa"/>
            <w:vAlign w:val="bottom"/>
            <w:gridSpan w:val="2"/>
          </w:tcPr>
          <w:p>
            <w:pPr>
              <w:ind w:left="280"/>
              <w:spacing w:after="0"/>
              <w:rPr>
                <w:sz w:val="20"/>
                <w:szCs w:val="20"/>
                <w:color w:val="auto"/>
              </w:rPr>
            </w:pPr>
            <w:r>
              <w:rPr>
                <w:rFonts w:ascii="Arial" w:cs="Arial" w:eastAsia="Arial" w:hAnsi="Arial"/>
                <w:sz w:val="19"/>
                <w:szCs w:val="19"/>
                <w:color w:val="auto"/>
              </w:rPr>
              <w:t>Changes in value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(67)</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14</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12</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(42)</w:t>
            </w:r>
          </w:p>
        </w:tc>
        <w:tc>
          <w:tcPr>
            <w:tcW w:w="0" w:type="dxa"/>
            <w:vAlign w:val="bottom"/>
          </w:tcPr>
          <w:p>
            <w:pPr>
              <w:spacing w:after="0"/>
              <w:rPr>
                <w:sz w:val="1"/>
                <w:szCs w:val="1"/>
                <w:color w:val="auto"/>
              </w:rPr>
            </w:pPr>
          </w:p>
        </w:tc>
      </w:tr>
      <w:tr>
        <w:trPr>
          <w:trHeight w:val="292"/>
        </w:trPr>
        <w:tc>
          <w:tcPr>
            <w:tcW w:w="4420" w:type="dxa"/>
            <w:vAlign w:val="bottom"/>
            <w:gridSpan w:val="2"/>
            <w:shd w:val="clear" w:color="auto" w:fill="E6E6E6"/>
          </w:tcPr>
          <w:p>
            <w:pPr>
              <w:ind w:left="280"/>
              <w:spacing w:after="0"/>
              <w:rPr>
                <w:sz w:val="20"/>
                <w:szCs w:val="20"/>
                <w:color w:val="auto"/>
              </w:rPr>
            </w:pPr>
            <w:r>
              <w:rPr>
                <w:rFonts w:ascii="Arial" w:cs="Arial" w:eastAsia="Arial" w:hAnsi="Arial"/>
                <w:sz w:val="19"/>
                <w:szCs w:val="19"/>
                <w:color w:val="auto"/>
              </w:rPr>
              <w:t>Amounts reclassified to earnings</w:t>
            </w:r>
          </w:p>
        </w:tc>
        <w:tc>
          <w:tcPr>
            <w:tcW w:w="160" w:type="dxa"/>
            <w:vAlign w:val="bottom"/>
            <w:shd w:val="clear" w:color="auto" w:fill="E6E6E6"/>
          </w:tcPr>
          <w:p>
            <w:pPr>
              <w:spacing w:after="0"/>
              <w:rPr>
                <w:sz w:val="24"/>
                <w:szCs w:val="24"/>
                <w:color w:val="auto"/>
              </w:rPr>
            </w:pPr>
          </w:p>
        </w:tc>
        <w:tc>
          <w:tcPr>
            <w:tcW w:w="146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color w:val="auto"/>
              </w:rPr>
              <w:t>(123) (b)</w:t>
            </w:r>
          </w:p>
        </w:tc>
        <w:tc>
          <w:tcPr>
            <w:tcW w:w="42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w:t>
            </w:r>
          </w:p>
        </w:tc>
        <w:tc>
          <w:tcPr>
            <w:tcW w:w="3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28</w:t>
            </w:r>
          </w:p>
        </w:tc>
        <w:tc>
          <w:tcPr>
            <w:tcW w:w="3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(98)</w:t>
            </w:r>
          </w:p>
        </w:tc>
        <w:tc>
          <w:tcPr>
            <w:tcW w:w="0" w:type="dxa"/>
            <w:vAlign w:val="bottom"/>
          </w:tcPr>
          <w:p>
            <w:pPr>
              <w:spacing w:after="0"/>
              <w:rPr>
                <w:sz w:val="1"/>
                <w:szCs w:val="1"/>
                <w:color w:val="auto"/>
              </w:rPr>
            </w:pPr>
          </w:p>
        </w:tc>
      </w:tr>
      <w:tr>
        <w:trPr>
          <w:trHeight w:val="257"/>
        </w:trPr>
        <w:tc>
          <w:tcPr>
            <w:tcW w:w="4180" w:type="dxa"/>
            <w:vAlign w:val="bottom"/>
            <w:tcBorders>
              <w:top w:val="single" w:sz="8" w:color="E6E6E6"/>
              <w:bottom w:val="single" w:sz="8" w:color="auto"/>
            </w:tcBorders>
          </w:tcPr>
          <w:p>
            <w:pPr>
              <w:ind w:left="60"/>
              <w:spacing w:after="0"/>
              <w:rPr>
                <w:sz w:val="20"/>
                <w:szCs w:val="20"/>
                <w:color w:val="auto"/>
              </w:rPr>
            </w:pPr>
            <w:r>
              <w:rPr>
                <w:rFonts w:ascii="Arial" w:cs="Arial" w:eastAsia="Arial" w:hAnsi="Arial"/>
                <w:sz w:val="19"/>
                <w:szCs w:val="19"/>
                <w:color w:val="auto"/>
              </w:rPr>
              <w:t>Balance at December 31, 2025</w:t>
            </w:r>
          </w:p>
        </w:tc>
        <w:tc>
          <w:tcPr>
            <w:tcW w:w="240" w:type="dxa"/>
            <w:vAlign w:val="bottom"/>
            <w:tcBorders>
              <w:top w:val="single" w:sz="8" w:color="E6E6E6"/>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417</w:t>
            </w:r>
          </w:p>
        </w:tc>
        <w:tc>
          <w:tcPr>
            <w:tcW w:w="340" w:type="dxa"/>
            <w:vAlign w:val="bottom"/>
            <w:tcBorders>
              <w:top w:val="single" w:sz="8" w:color="E6E6E6"/>
            </w:tcBorders>
          </w:tcPr>
          <w:p>
            <w:pPr>
              <w:spacing w:after="0"/>
              <w:rPr>
                <w:sz w:val="22"/>
                <w:szCs w:val="22"/>
                <w:color w:val="auto"/>
              </w:rPr>
            </w:pPr>
          </w:p>
        </w:tc>
        <w:tc>
          <w:tcPr>
            <w:tcW w:w="4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9"/>
                <w:szCs w:val="19"/>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360" w:type="dxa"/>
            <w:vAlign w:val="bottom"/>
            <w:tcBorders>
              <w:top w:val="single" w:sz="8" w:color="E6E6E6"/>
            </w:tcBorders>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9"/>
                <w:szCs w:val="19"/>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(379)</w:t>
            </w:r>
          </w:p>
        </w:tc>
        <w:tc>
          <w:tcPr>
            <w:tcW w:w="360" w:type="dxa"/>
            <w:vAlign w:val="bottom"/>
            <w:tcBorders>
              <w:top w:val="single" w:sz="8" w:color="E6E6E6"/>
            </w:tcBorders>
            <w:gridSpan w:val="2"/>
          </w:tcPr>
          <w:p>
            <w:pPr>
              <w:spacing w:after="0"/>
              <w:rPr>
                <w:sz w:val="22"/>
                <w:szCs w:val="2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-1786255</wp:posOffset>
            </wp:positionV>
            <wp:extent cx="342582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1">
                      <a:extLst>
                        <a:ext uri="{28A0092B-C50C-407E-A947-70E740481C1C}"/>
                      </a:extLst>
                    </a:blip>
                    <a:srcRect/>
                    <a:stretch>
                      <a:fillRect/>
                    </a:stretch>
                  </pic:blipFill>
                  <pic:spPr bwMode="auto">
                    <a:xfrm>
                      <a:off x="0" y="0"/>
                      <a:ext cx="3425825" cy="25400"/>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-1610995</wp:posOffset>
            </wp:positionV>
            <wp:extent cx="342582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62">
                      <a:extLst>
                        <a:ext uri="{28A0092B-C50C-407E-A947-70E740481C1C}"/>
                      </a:extLst>
                    </a:blip>
                    <a:srcRect/>
                    <a:stretch>
                      <a:fillRect/>
                    </a:stretch>
                  </pic:blipFill>
                  <pic:spPr bwMode="auto">
                    <a:xfrm>
                      <a:off x="0" y="0"/>
                      <a:ext cx="3425825" cy="25400"/>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-1259840</wp:posOffset>
            </wp:positionV>
            <wp:extent cx="342582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63">
                      <a:extLst>
                        <a:ext uri="{28A0092B-C50C-407E-A947-70E740481C1C}"/>
                      </a:extLst>
                    </a:blip>
                    <a:srcRect/>
                    <a:stretch>
                      <a:fillRect/>
                    </a:stretch>
                  </pic:blipFill>
                  <pic:spPr bwMode="auto">
                    <a:xfrm>
                      <a:off x="0" y="0"/>
                      <a:ext cx="3425825" cy="25400"/>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-1083945</wp:posOffset>
            </wp:positionV>
            <wp:extent cx="342582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64">
                      <a:extLst>
                        <a:ext uri="{28A0092B-C50C-407E-A947-70E740481C1C}"/>
                      </a:extLst>
                    </a:blip>
                    <a:srcRect/>
                    <a:stretch>
                      <a:fillRect/>
                    </a:stretch>
                  </pic:blipFill>
                  <pic:spPr bwMode="auto">
                    <a:xfrm>
                      <a:off x="0" y="0"/>
                      <a:ext cx="3425825" cy="25400"/>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-732790</wp:posOffset>
            </wp:positionV>
            <wp:extent cx="342582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65">
                      <a:extLst>
                        <a:ext uri="{28A0092B-C50C-407E-A947-70E740481C1C}"/>
                      </a:extLst>
                    </a:blip>
                    <a:srcRect/>
                    <a:stretch>
                      <a:fillRect/>
                    </a:stretch>
                  </pic:blipFill>
                  <pic:spPr bwMode="auto">
                    <a:xfrm>
                      <a:off x="0" y="0"/>
                      <a:ext cx="3425825" cy="25400"/>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-557530</wp:posOffset>
            </wp:positionV>
            <wp:extent cx="342582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66">
                      <a:extLst>
                        <a:ext uri="{28A0092B-C50C-407E-A947-70E740481C1C}"/>
                      </a:extLst>
                    </a:blip>
                    <a:srcRect/>
                    <a:stretch>
                      <a:fillRect/>
                    </a:stretch>
                  </pic:blipFill>
                  <pic:spPr bwMode="auto">
                    <a:xfrm>
                      <a:off x="0" y="0"/>
                      <a:ext cx="3425825" cy="25400"/>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-206375</wp:posOffset>
            </wp:positionV>
            <wp:extent cx="342582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67">
                      <a:extLst>
                        <a:ext uri="{28A0092B-C50C-407E-A947-70E740481C1C}"/>
                      </a:extLst>
                    </a:blip>
                    <a:srcRect/>
                    <a:stretch>
                      <a:fillRect/>
                    </a:stretch>
                  </pic:blipFill>
                  <pic:spPr bwMode="auto">
                    <a:xfrm>
                      <a:off x="0" y="0"/>
                      <a:ext cx="3425825" cy="25400"/>
                    </a:xfrm>
                    <a:prstGeom prst="rect">
                      <a:avLst/>
                    </a:prstGeom>
                    <a:noFill/>
                  </pic:spPr>
                </pic:pic>
              </a:graphicData>
            </a:graphic>
          </wp:anchor>
        </w:drawing>
      </w:r>
    </w:p>
    <w:p>
      <w:pPr>
        <w:spacing w:after="0" w:line="18" w:lineRule="exact"/>
        <w:rPr>
          <w:sz w:val="20"/>
          <w:szCs w:val="20"/>
          <w:color w:val="auto"/>
        </w:rPr>
      </w:pPr>
    </w:p>
    <w:p>
      <w:pPr>
        <w:ind w:left="400" w:right="160" w:hanging="346"/>
        <w:spacing w:after="0" w:line="202" w:lineRule="auto"/>
        <w:tabs>
          <w:tab w:leader="none" w:pos="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approximately $285 million of deferred income tax expense that will not be recognized in net income until the related pension and postretirement benefit obligations are fully extinguished. We consider all income sources, including other comprehensive income, in determining the amount of tax benefit allocated to results from operations.</w:t>
      </w:r>
    </w:p>
    <w:p>
      <w:pPr>
        <w:spacing w:after="0" w:line="1" w:lineRule="exact"/>
        <w:rPr>
          <w:rFonts w:ascii="Arial" w:cs="Arial" w:eastAsia="Arial" w:hAnsi="Arial"/>
          <w:sz w:val="16"/>
          <w:szCs w:val="16"/>
          <w:color w:val="auto"/>
        </w:rPr>
      </w:pPr>
    </w:p>
    <w:p>
      <w:pPr>
        <w:ind w:left="400" w:right="200" w:hanging="346"/>
        <w:spacing w:after="0" w:line="222" w:lineRule="auto"/>
        <w:tabs>
          <w:tab w:leader="none" w:pos="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AOCI component is included in the computation of net periodic pension and other postretirement costs, specifically the following components: amortization of unrecognized (gain) loss, amortization of prior service credit and other. See Note 8 of this report for additional information on pensions and other postretirement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7 - INCOME TAXES</w:t>
      </w:r>
    </w:p>
    <w:p>
      <w:pPr>
        <w:spacing w:after="0" w:line="196" w:lineRule="exact"/>
        <w:rPr>
          <w:sz w:val="20"/>
          <w:szCs w:val="20"/>
          <w:color w:val="auto"/>
        </w:rPr>
      </w:pPr>
    </w:p>
    <w:p>
      <w:pPr>
        <w:ind w:right="600"/>
        <w:spacing w:after="0" w:line="294" w:lineRule="auto"/>
        <w:rPr>
          <w:sz w:val="20"/>
          <w:szCs w:val="20"/>
          <w:color w:val="auto"/>
        </w:rPr>
      </w:pPr>
      <w:r>
        <w:rPr>
          <w:rFonts w:ascii="Arial" w:cs="Arial" w:eastAsia="Arial" w:hAnsi="Arial"/>
          <w:sz w:val="19"/>
          <w:szCs w:val="19"/>
          <w:color w:val="auto"/>
        </w:rPr>
        <w:t>The income tax provision differed from amounts computed at the statutory federal income tax rate and consisted of the following significant components for the years ended December 31 (in millions)</w:t>
      </w:r>
      <w:r>
        <w:rPr>
          <w:rFonts w:ascii="Arial" w:cs="Arial" w:eastAsia="Arial" w:hAnsi="Arial"/>
          <w:sz w:val="17"/>
          <w:szCs w:val="17"/>
          <w:b w:val="1"/>
          <w:bCs w:val="1"/>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46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2025</w:t>
            </w:r>
          </w:p>
        </w:tc>
        <w:tc>
          <w:tcPr>
            <w:tcW w:w="62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2024</w:t>
            </w:r>
          </w:p>
        </w:tc>
        <w:tc>
          <w:tcPr>
            <w:tcW w:w="62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2023</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4460" w:type="dxa"/>
            <w:vAlign w:val="bottom"/>
            <w:shd w:val="clear" w:color="auto" w:fill="E6E6E6"/>
          </w:tcPr>
          <w:p>
            <w:pPr>
              <w:ind w:left="60"/>
              <w:spacing w:after="0"/>
              <w:rPr>
                <w:sz w:val="20"/>
                <w:szCs w:val="20"/>
                <w:color w:val="auto"/>
              </w:rPr>
            </w:pPr>
            <w:r>
              <w:rPr>
                <w:rFonts w:ascii="Arial" w:cs="Arial" w:eastAsia="Arial" w:hAnsi="Arial"/>
                <w:sz w:val="19"/>
                <w:szCs w:val="19"/>
                <w:color w:val="auto"/>
              </w:rPr>
              <w:t>Income tax provision at statutory rate</w:t>
            </w:r>
          </w:p>
        </w:tc>
        <w:tc>
          <w:tcPr>
            <w:tcW w:w="320" w:type="dxa"/>
            <w:vAlign w:val="bottom"/>
            <w:shd w:val="clear" w:color="auto" w:fill="E6E6E6"/>
          </w:tcPr>
          <w:p>
            <w:pPr>
              <w:jc w:val="right"/>
              <w:ind w:right="83"/>
              <w:spacing w:after="0"/>
              <w:rPr>
                <w:sz w:val="20"/>
                <w:szCs w:val="20"/>
                <w:color w:val="auto"/>
              </w:rPr>
            </w:pPr>
            <w:r>
              <w:rPr>
                <w:rFonts w:ascii="Arial" w:cs="Arial" w:eastAsia="Arial" w:hAnsi="Arial"/>
                <w:sz w:val="19"/>
                <w:szCs w:val="19"/>
                <w:color w:val="auto"/>
              </w:rPr>
              <w:t>$</w:t>
            </w:r>
          </w:p>
        </w:tc>
        <w:tc>
          <w:tcPr>
            <w:tcW w:w="800" w:type="dxa"/>
            <w:vAlign w:val="bottom"/>
            <w:shd w:val="clear" w:color="auto" w:fill="E6E6E6"/>
          </w:tcPr>
          <w:p>
            <w:pPr>
              <w:jc w:val="right"/>
              <w:ind w:right="223"/>
              <w:spacing w:after="0"/>
              <w:rPr>
                <w:sz w:val="20"/>
                <w:szCs w:val="20"/>
                <w:color w:val="auto"/>
              </w:rPr>
            </w:pPr>
            <w:r>
              <w:rPr>
                <w:rFonts w:ascii="Arial" w:cs="Arial" w:eastAsia="Arial" w:hAnsi="Arial"/>
                <w:sz w:val="19"/>
                <w:szCs w:val="19"/>
                <w:color w:val="auto"/>
              </w:rPr>
              <w:t>904</w:t>
            </w: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7"/>
              </w:rPr>
              <w:t>21.0 %</w:t>
            </w:r>
          </w:p>
        </w:tc>
        <w:tc>
          <w:tcPr>
            <w:tcW w:w="320" w:type="dxa"/>
            <w:vAlign w:val="bottom"/>
            <w:gridSpan w:val="2"/>
            <w:shd w:val="clear" w:color="auto" w:fill="E6E6E6"/>
          </w:tcPr>
          <w:p>
            <w:pPr>
              <w:jc w:val="right"/>
              <w:ind w:right="23"/>
              <w:spacing w:after="0"/>
              <w:rPr>
                <w:sz w:val="20"/>
                <w:szCs w:val="20"/>
                <w:color w:val="auto"/>
              </w:rPr>
            </w:pPr>
            <w:r>
              <w:rPr>
                <w:rFonts w:ascii="Arial" w:cs="Arial" w:eastAsia="Arial" w:hAnsi="Arial"/>
                <w:sz w:val="19"/>
                <w:szCs w:val="19"/>
                <w:color w:val="auto"/>
              </w:rPr>
              <w:t>$</w:t>
            </w:r>
          </w:p>
        </w:tc>
        <w:tc>
          <w:tcPr>
            <w:tcW w:w="860" w:type="dxa"/>
            <w:vAlign w:val="bottom"/>
            <w:shd w:val="clear" w:color="auto" w:fill="E6E6E6"/>
          </w:tcPr>
          <w:p>
            <w:pPr>
              <w:jc w:val="right"/>
              <w:ind w:right="223"/>
              <w:spacing w:after="0"/>
              <w:rPr>
                <w:sz w:val="20"/>
                <w:szCs w:val="20"/>
                <w:color w:val="auto"/>
              </w:rPr>
            </w:pPr>
            <w:r>
              <w:rPr>
                <w:rFonts w:ascii="Arial" w:cs="Arial" w:eastAsia="Arial" w:hAnsi="Arial"/>
                <w:sz w:val="19"/>
                <w:szCs w:val="19"/>
                <w:color w:val="auto"/>
              </w:rPr>
              <w:t>875</w:t>
            </w: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21.0 %</w:t>
            </w:r>
          </w:p>
        </w:tc>
        <w:tc>
          <w:tcPr>
            <w:tcW w:w="400" w:type="dxa"/>
            <w:vAlign w:val="bottom"/>
            <w:gridSpan w:val="2"/>
            <w:shd w:val="clear" w:color="auto" w:fill="E6E6E6"/>
          </w:tcPr>
          <w:p>
            <w:pPr>
              <w:jc w:val="right"/>
              <w:ind w:right="83"/>
              <w:spacing w:after="0"/>
              <w:rPr>
                <w:sz w:val="20"/>
                <w:szCs w:val="20"/>
                <w:color w:val="auto"/>
              </w:rPr>
            </w:pPr>
            <w:r>
              <w:rPr>
                <w:rFonts w:ascii="Arial" w:cs="Arial" w:eastAsia="Arial" w:hAnsi="Arial"/>
                <w:sz w:val="19"/>
                <w:szCs w:val="19"/>
                <w:color w:val="auto"/>
              </w:rPr>
              <w:t>$</w:t>
            </w:r>
          </w:p>
        </w:tc>
        <w:tc>
          <w:tcPr>
            <w:tcW w:w="780" w:type="dxa"/>
            <w:vAlign w:val="bottom"/>
            <w:shd w:val="clear" w:color="auto" w:fill="E6E6E6"/>
          </w:tcPr>
          <w:p>
            <w:pPr>
              <w:jc w:val="right"/>
              <w:ind w:right="223"/>
              <w:spacing w:after="0"/>
              <w:rPr>
                <w:sz w:val="20"/>
                <w:szCs w:val="20"/>
                <w:color w:val="auto"/>
              </w:rPr>
            </w:pPr>
            <w:r>
              <w:rPr>
                <w:rFonts w:ascii="Arial" w:cs="Arial" w:eastAsia="Arial" w:hAnsi="Arial"/>
                <w:sz w:val="19"/>
                <w:szCs w:val="19"/>
                <w:color w:val="auto"/>
              </w:rPr>
              <w:t>711</w:t>
            </w:r>
          </w:p>
        </w:tc>
        <w:tc>
          <w:tcPr>
            <w:tcW w:w="6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21.0 %</w:t>
            </w:r>
          </w:p>
        </w:tc>
        <w:tc>
          <w:tcPr>
            <w:tcW w:w="0" w:type="dxa"/>
            <w:vAlign w:val="bottom"/>
          </w:tcPr>
          <w:p>
            <w:pPr>
              <w:spacing w:after="0"/>
              <w:rPr>
                <w:sz w:val="1"/>
                <w:szCs w:val="1"/>
                <w:color w:val="auto"/>
              </w:rPr>
            </w:pPr>
          </w:p>
        </w:tc>
      </w:tr>
      <w:tr>
        <w:trPr>
          <w:trHeight w:val="186"/>
        </w:trPr>
        <w:tc>
          <w:tcPr>
            <w:tcW w:w="4460" w:type="dxa"/>
            <w:vAlign w:val="bottom"/>
          </w:tcPr>
          <w:p>
            <w:pPr>
              <w:ind w:left="60"/>
              <w:spacing w:after="0" w:line="186" w:lineRule="exact"/>
              <w:rPr>
                <w:sz w:val="20"/>
                <w:szCs w:val="20"/>
                <w:color w:val="auto"/>
              </w:rPr>
            </w:pPr>
            <w:r>
              <w:rPr>
                <w:rFonts w:ascii="Arial" w:cs="Arial" w:eastAsia="Arial" w:hAnsi="Arial"/>
                <w:sz w:val="19"/>
                <w:szCs w:val="19"/>
                <w:color w:val="auto"/>
                <w:w w:val="99"/>
              </w:rPr>
              <w:t>State income tax provision, net of federal income tax</w:t>
            </w:r>
          </w:p>
        </w:tc>
        <w:tc>
          <w:tcPr>
            <w:tcW w:w="320" w:type="dxa"/>
            <w:vAlign w:val="bottom"/>
          </w:tcPr>
          <w:p>
            <w:pPr>
              <w:spacing w:after="0"/>
              <w:rPr>
                <w:sz w:val="16"/>
                <w:szCs w:val="16"/>
                <w:color w:val="auto"/>
              </w:rPr>
            </w:pPr>
          </w:p>
        </w:tc>
        <w:tc>
          <w:tcPr>
            <w:tcW w:w="800" w:type="dxa"/>
            <w:vAlign w:val="bottom"/>
            <w:vMerge w:val="restart"/>
          </w:tcPr>
          <w:p>
            <w:pPr>
              <w:jc w:val="right"/>
              <w:ind w:right="223"/>
              <w:spacing w:after="0"/>
              <w:rPr>
                <w:sz w:val="20"/>
                <w:szCs w:val="20"/>
                <w:color w:val="auto"/>
              </w:rPr>
            </w:pPr>
            <w:r>
              <w:rPr>
                <w:rFonts w:ascii="Arial" w:cs="Arial" w:eastAsia="Arial" w:hAnsi="Arial"/>
                <w:sz w:val="19"/>
                <w:szCs w:val="19"/>
                <w:color w:val="auto"/>
              </w:rPr>
              <w:t>74</w:t>
            </w:r>
          </w:p>
        </w:tc>
        <w:tc>
          <w:tcPr>
            <w:tcW w:w="620" w:type="dxa"/>
            <w:vAlign w:val="bottom"/>
            <w:vMerge w:val="restart"/>
          </w:tcPr>
          <w:p>
            <w:pPr>
              <w:jc w:val="right"/>
              <w:spacing w:after="0"/>
              <w:rPr>
                <w:sz w:val="20"/>
                <w:szCs w:val="20"/>
                <w:color w:val="auto"/>
              </w:rPr>
            </w:pPr>
            <w:r>
              <w:rPr>
                <w:rFonts w:ascii="Arial" w:cs="Arial" w:eastAsia="Arial" w:hAnsi="Arial"/>
                <w:sz w:val="19"/>
                <w:szCs w:val="19"/>
                <w:color w:val="auto"/>
              </w:rPr>
              <w:t>1.7 %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23"/>
              <w:spacing w:after="0"/>
              <w:rPr>
                <w:sz w:val="20"/>
                <w:szCs w:val="20"/>
                <w:color w:val="auto"/>
              </w:rPr>
            </w:pPr>
            <w:r>
              <w:rPr>
                <w:rFonts w:ascii="Arial" w:cs="Arial" w:eastAsia="Arial" w:hAnsi="Arial"/>
                <w:sz w:val="19"/>
                <w:szCs w:val="19"/>
                <w:color w:val="auto"/>
              </w:rPr>
              <w:t>59</w:t>
            </w:r>
          </w:p>
        </w:tc>
        <w:tc>
          <w:tcPr>
            <w:tcW w:w="620" w:type="dxa"/>
            <w:vAlign w:val="bottom"/>
            <w:vMerge w:val="restart"/>
          </w:tcPr>
          <w:p>
            <w:pPr>
              <w:jc w:val="right"/>
              <w:spacing w:after="0"/>
              <w:rPr>
                <w:sz w:val="20"/>
                <w:szCs w:val="20"/>
                <w:color w:val="auto"/>
              </w:rPr>
            </w:pPr>
            <w:r>
              <w:rPr>
                <w:rFonts w:ascii="Arial" w:cs="Arial" w:eastAsia="Arial" w:hAnsi="Arial"/>
                <w:sz w:val="19"/>
                <w:szCs w:val="19"/>
                <w:color w:val="auto"/>
              </w:rPr>
              <w:t>1.4 %</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vMerge w:val="restart"/>
          </w:tcPr>
          <w:p>
            <w:pPr>
              <w:jc w:val="right"/>
              <w:ind w:right="223"/>
              <w:spacing w:after="0"/>
              <w:rPr>
                <w:sz w:val="20"/>
                <w:szCs w:val="20"/>
                <w:color w:val="auto"/>
              </w:rPr>
            </w:pPr>
            <w:r>
              <w:rPr>
                <w:rFonts w:ascii="Arial" w:cs="Arial" w:eastAsia="Arial" w:hAnsi="Arial"/>
                <w:sz w:val="19"/>
                <w:szCs w:val="19"/>
                <w:color w:val="auto"/>
              </w:rPr>
              <w:t>37</w:t>
            </w:r>
          </w:p>
        </w:tc>
        <w:tc>
          <w:tcPr>
            <w:tcW w:w="640" w:type="dxa"/>
            <w:vAlign w:val="bottom"/>
            <w:vMerge w:val="restart"/>
          </w:tcPr>
          <w:p>
            <w:pPr>
              <w:jc w:val="right"/>
              <w:spacing w:after="0"/>
              <w:rPr>
                <w:sz w:val="20"/>
                <w:szCs w:val="20"/>
                <w:color w:val="auto"/>
              </w:rPr>
            </w:pPr>
            <w:r>
              <w:rPr>
                <w:rFonts w:ascii="Arial" w:cs="Arial" w:eastAsia="Arial" w:hAnsi="Arial"/>
                <w:sz w:val="19"/>
                <w:szCs w:val="19"/>
                <w:color w:val="auto"/>
              </w:rPr>
              <w:t>1.1 %</w:t>
            </w:r>
          </w:p>
        </w:tc>
        <w:tc>
          <w:tcPr>
            <w:tcW w:w="0" w:type="dxa"/>
            <w:vAlign w:val="bottom"/>
          </w:tcPr>
          <w:p>
            <w:pPr>
              <w:spacing w:after="0"/>
              <w:rPr>
                <w:sz w:val="1"/>
                <w:szCs w:val="1"/>
                <w:color w:val="auto"/>
              </w:rPr>
            </w:pPr>
          </w:p>
        </w:tc>
      </w:tr>
      <w:tr>
        <w:trPr>
          <w:trHeight w:val="259"/>
        </w:trPr>
        <w:tc>
          <w:tcPr>
            <w:tcW w:w="4460" w:type="dxa"/>
            <w:vAlign w:val="bottom"/>
          </w:tcPr>
          <w:p>
            <w:pPr>
              <w:ind w:left="60"/>
              <w:spacing w:after="0"/>
              <w:rPr>
                <w:sz w:val="20"/>
                <w:szCs w:val="20"/>
                <w:color w:val="auto"/>
              </w:rPr>
            </w:pPr>
            <w:r>
              <w:rPr>
                <w:rFonts w:ascii="Arial" w:cs="Arial" w:eastAsia="Arial" w:hAnsi="Arial"/>
                <w:sz w:val="19"/>
                <w:szCs w:val="19"/>
                <w:color w:val="auto"/>
              </w:rPr>
              <w:t>benefit (a)</w:t>
            </w:r>
          </w:p>
        </w:tc>
        <w:tc>
          <w:tcPr>
            <w:tcW w:w="3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4460" w:type="dxa"/>
            <w:vAlign w:val="bottom"/>
            <w:shd w:val="clear" w:color="auto" w:fill="E6E6E6"/>
          </w:tcPr>
          <w:p>
            <w:pPr>
              <w:ind w:left="60"/>
              <w:spacing w:after="0"/>
              <w:rPr>
                <w:sz w:val="20"/>
                <w:szCs w:val="20"/>
                <w:color w:val="auto"/>
              </w:rPr>
            </w:pPr>
            <w:r>
              <w:rPr>
                <w:rFonts w:ascii="Arial" w:cs="Arial" w:eastAsia="Arial" w:hAnsi="Arial"/>
                <w:sz w:val="19"/>
                <w:szCs w:val="19"/>
                <w:color w:val="auto"/>
              </w:rPr>
              <w:t>Change in valuation allowance</w:t>
            </w:r>
          </w:p>
        </w:tc>
        <w:tc>
          <w:tcPr>
            <w:tcW w:w="320" w:type="dxa"/>
            <w:vAlign w:val="bottom"/>
            <w:shd w:val="clear" w:color="auto" w:fill="E6E6E6"/>
          </w:tcPr>
          <w:p>
            <w:pPr>
              <w:spacing w:after="0"/>
              <w:rPr>
                <w:sz w:val="24"/>
                <w:szCs w:val="24"/>
                <w:color w:val="auto"/>
              </w:rPr>
            </w:pPr>
          </w:p>
        </w:tc>
        <w:tc>
          <w:tcPr>
            <w:tcW w:w="800" w:type="dxa"/>
            <w:vAlign w:val="bottom"/>
            <w:shd w:val="clear" w:color="auto" w:fill="E6E6E6"/>
          </w:tcPr>
          <w:p>
            <w:pPr>
              <w:jc w:val="right"/>
              <w:ind w:right="163"/>
              <w:spacing w:after="0"/>
              <w:rPr>
                <w:sz w:val="20"/>
                <w:szCs w:val="20"/>
                <w:color w:val="auto"/>
              </w:rPr>
            </w:pPr>
            <w:r>
              <w:rPr>
                <w:rFonts w:ascii="Arial" w:cs="Arial" w:eastAsia="Arial" w:hAnsi="Arial"/>
                <w:sz w:val="19"/>
                <w:szCs w:val="19"/>
                <w:color w:val="auto"/>
              </w:rPr>
              <w:t>(68)</w:t>
            </w: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(1.6)%</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60" w:type="dxa"/>
            <w:vAlign w:val="bottom"/>
            <w:shd w:val="clear" w:color="auto" w:fill="E6E6E6"/>
          </w:tcPr>
          <w:p>
            <w:pPr>
              <w:jc w:val="right"/>
              <w:ind w:right="223"/>
              <w:spacing w:after="0"/>
              <w:rPr>
                <w:sz w:val="20"/>
                <w:szCs w:val="20"/>
                <w:color w:val="auto"/>
              </w:rPr>
            </w:pPr>
            <w:r>
              <w:rPr>
                <w:rFonts w:ascii="Arial" w:cs="Arial" w:eastAsia="Arial" w:hAnsi="Arial"/>
                <w:sz w:val="19"/>
                <w:szCs w:val="19"/>
                <w:color w:val="auto"/>
              </w:rPr>
              <w:t>27</w:t>
            </w: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0.6 %</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780" w:type="dxa"/>
            <w:vAlign w:val="bottom"/>
            <w:shd w:val="clear" w:color="auto" w:fill="E6E6E6"/>
          </w:tcPr>
          <w:p>
            <w:pPr>
              <w:jc w:val="right"/>
              <w:ind w:right="163"/>
              <w:spacing w:after="0"/>
              <w:rPr>
                <w:sz w:val="20"/>
                <w:szCs w:val="20"/>
                <w:color w:val="auto"/>
              </w:rPr>
            </w:pPr>
            <w:r>
              <w:rPr>
                <w:rFonts w:ascii="Arial" w:cs="Arial" w:eastAsia="Arial" w:hAnsi="Arial"/>
                <w:sz w:val="19"/>
                <w:szCs w:val="19"/>
                <w:color w:val="auto"/>
              </w:rPr>
              <w:t>(24)</w:t>
            </w:r>
          </w:p>
        </w:tc>
        <w:tc>
          <w:tcPr>
            <w:tcW w:w="6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(0.7)%</w:t>
            </w:r>
          </w:p>
        </w:tc>
        <w:tc>
          <w:tcPr>
            <w:tcW w:w="0" w:type="dxa"/>
            <w:vAlign w:val="bottom"/>
          </w:tcPr>
          <w:p>
            <w:pPr>
              <w:spacing w:after="0"/>
              <w:rPr>
                <w:sz w:val="1"/>
                <w:szCs w:val="1"/>
                <w:color w:val="auto"/>
              </w:rPr>
            </w:pPr>
          </w:p>
        </w:tc>
      </w:tr>
      <w:tr>
        <w:trPr>
          <w:trHeight w:val="299"/>
        </w:trPr>
        <w:tc>
          <w:tcPr>
            <w:tcW w:w="4460" w:type="dxa"/>
            <w:vAlign w:val="bottom"/>
          </w:tcPr>
          <w:p>
            <w:pPr>
              <w:ind w:left="60"/>
              <w:spacing w:after="0"/>
              <w:rPr>
                <w:sz w:val="20"/>
                <w:szCs w:val="20"/>
                <w:color w:val="auto"/>
              </w:rPr>
            </w:pPr>
            <w:r>
              <w:rPr>
                <w:rFonts w:ascii="Arial" w:cs="Arial" w:eastAsia="Arial" w:hAnsi="Arial"/>
                <w:sz w:val="19"/>
                <w:szCs w:val="19"/>
                <w:color w:val="auto"/>
              </w:rPr>
              <w:t>Nontaxable or nondeductible items</w:t>
            </w:r>
          </w:p>
        </w:tc>
        <w:tc>
          <w:tcPr>
            <w:tcW w:w="320" w:type="dxa"/>
            <w:vAlign w:val="bottom"/>
          </w:tcPr>
          <w:p>
            <w:pPr>
              <w:spacing w:after="0"/>
              <w:rPr>
                <w:sz w:val="24"/>
                <w:szCs w:val="24"/>
                <w:color w:val="auto"/>
              </w:rPr>
            </w:pPr>
          </w:p>
        </w:tc>
        <w:tc>
          <w:tcPr>
            <w:tcW w:w="800" w:type="dxa"/>
            <w:vAlign w:val="bottom"/>
          </w:tcPr>
          <w:p>
            <w:pPr>
              <w:jc w:val="right"/>
              <w:ind w:right="223"/>
              <w:spacing w:after="0"/>
              <w:rPr>
                <w:sz w:val="20"/>
                <w:szCs w:val="20"/>
                <w:color w:val="auto"/>
              </w:rPr>
            </w:pPr>
            <w:r>
              <w:rPr>
                <w:rFonts w:ascii="Arial" w:cs="Arial" w:eastAsia="Arial" w:hAnsi="Arial"/>
                <w:sz w:val="19"/>
                <w:szCs w:val="19"/>
                <w:color w:val="auto"/>
              </w:rPr>
              <w:t>27</w:t>
            </w:r>
          </w:p>
        </w:tc>
        <w:tc>
          <w:tcPr>
            <w:tcW w:w="620" w:type="dxa"/>
            <w:vAlign w:val="bottom"/>
          </w:tcPr>
          <w:p>
            <w:pPr>
              <w:jc w:val="right"/>
              <w:spacing w:after="0"/>
              <w:rPr>
                <w:sz w:val="20"/>
                <w:szCs w:val="20"/>
                <w:color w:val="auto"/>
              </w:rPr>
            </w:pPr>
            <w:r>
              <w:rPr>
                <w:rFonts w:ascii="Arial" w:cs="Arial" w:eastAsia="Arial" w:hAnsi="Arial"/>
                <w:sz w:val="19"/>
                <w:szCs w:val="19"/>
                <w:color w:val="auto"/>
              </w:rPr>
              <w:t>0.6 %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23"/>
              <w:spacing w:after="0"/>
              <w:rPr>
                <w:sz w:val="20"/>
                <w:szCs w:val="20"/>
                <w:color w:val="auto"/>
              </w:rPr>
            </w:pPr>
            <w:r>
              <w:rPr>
                <w:rFonts w:ascii="Arial" w:cs="Arial" w:eastAsia="Arial" w:hAnsi="Arial"/>
                <w:sz w:val="19"/>
                <w:szCs w:val="19"/>
                <w:color w:val="auto"/>
              </w:rPr>
              <w:t>48</w:t>
            </w:r>
          </w:p>
        </w:tc>
        <w:tc>
          <w:tcPr>
            <w:tcW w:w="620" w:type="dxa"/>
            <w:vAlign w:val="bottom"/>
          </w:tcPr>
          <w:p>
            <w:pPr>
              <w:jc w:val="right"/>
              <w:spacing w:after="0"/>
              <w:rPr>
                <w:sz w:val="20"/>
                <w:szCs w:val="20"/>
                <w:color w:val="auto"/>
              </w:rPr>
            </w:pPr>
            <w:r>
              <w:rPr>
                <w:rFonts w:ascii="Arial" w:cs="Arial" w:eastAsia="Arial" w:hAnsi="Arial"/>
                <w:sz w:val="19"/>
                <w:szCs w:val="19"/>
                <w:color w:val="auto"/>
              </w:rPr>
              <w:t>1.2 %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223"/>
              <w:spacing w:after="0"/>
              <w:rPr>
                <w:sz w:val="20"/>
                <w:szCs w:val="20"/>
                <w:color w:val="auto"/>
              </w:rPr>
            </w:pPr>
            <w:r>
              <w:rPr>
                <w:rFonts w:ascii="Arial" w:cs="Arial" w:eastAsia="Arial" w:hAnsi="Arial"/>
                <w:sz w:val="19"/>
                <w:szCs w:val="19"/>
                <w:color w:val="auto"/>
              </w:rPr>
              <w:t>39</w:t>
            </w:r>
          </w:p>
        </w:tc>
        <w:tc>
          <w:tcPr>
            <w:tcW w:w="640" w:type="dxa"/>
            <w:vAlign w:val="bottom"/>
          </w:tcPr>
          <w:p>
            <w:pPr>
              <w:jc w:val="right"/>
              <w:spacing w:after="0"/>
              <w:rPr>
                <w:sz w:val="20"/>
                <w:szCs w:val="20"/>
                <w:color w:val="auto"/>
              </w:rPr>
            </w:pPr>
            <w:r>
              <w:rPr>
                <w:rFonts w:ascii="Arial" w:cs="Arial" w:eastAsia="Arial" w:hAnsi="Arial"/>
                <w:sz w:val="19"/>
                <w:szCs w:val="19"/>
                <w:color w:val="auto"/>
              </w:rPr>
              <w:t>1.1 %</w:t>
            </w:r>
          </w:p>
        </w:tc>
        <w:tc>
          <w:tcPr>
            <w:tcW w:w="0" w:type="dxa"/>
            <w:vAlign w:val="bottom"/>
          </w:tcPr>
          <w:p>
            <w:pPr>
              <w:spacing w:after="0"/>
              <w:rPr>
                <w:sz w:val="1"/>
                <w:szCs w:val="1"/>
                <w:color w:val="auto"/>
              </w:rPr>
            </w:pPr>
          </w:p>
        </w:tc>
      </w:tr>
      <w:tr>
        <w:trPr>
          <w:trHeight w:val="321"/>
        </w:trPr>
        <w:tc>
          <w:tcPr>
            <w:tcW w:w="44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Other, net</w:t>
            </w:r>
          </w:p>
        </w:tc>
        <w:tc>
          <w:tcPr>
            <w:tcW w:w="32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ind w:right="223"/>
              <w:spacing w:after="0"/>
              <w:rPr>
                <w:sz w:val="20"/>
                <w:szCs w:val="20"/>
                <w:color w:val="auto"/>
              </w:rPr>
            </w:pPr>
            <w:r>
              <w:rPr>
                <w:rFonts w:ascii="Arial" w:cs="Arial" w:eastAsia="Arial" w:hAnsi="Arial"/>
                <w:sz w:val="19"/>
                <w:szCs w:val="19"/>
                <w:color w:val="auto"/>
              </w:rPr>
              <w:t>16</w:t>
            </w: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0.4 %</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ind w:right="223"/>
              <w:spacing w:after="0"/>
              <w:rPr>
                <w:sz w:val="20"/>
                <w:szCs w:val="20"/>
                <w:color w:val="auto"/>
              </w:rPr>
            </w:pPr>
            <w:r>
              <w:rPr>
                <w:rFonts w:ascii="Arial" w:cs="Arial" w:eastAsia="Arial" w:hAnsi="Arial"/>
                <w:sz w:val="19"/>
                <w:szCs w:val="19"/>
                <w:color w:val="auto"/>
              </w:rPr>
              <w:t>10</w:t>
            </w: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0.2 %</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ind w:right="223"/>
              <w:spacing w:after="0"/>
              <w:rPr>
                <w:sz w:val="20"/>
                <w:szCs w:val="20"/>
                <w:color w:val="auto"/>
              </w:rPr>
            </w:pPr>
            <w:r>
              <w:rPr>
                <w:rFonts w:ascii="Arial" w:cs="Arial" w:eastAsia="Arial" w:hAnsi="Arial"/>
                <w:sz w:val="19"/>
                <w:szCs w:val="19"/>
                <w:color w:val="auto"/>
              </w:rPr>
              <w:t>6</w:t>
            </w:r>
          </w:p>
        </w:tc>
        <w:tc>
          <w:tcPr>
            <w:tcW w:w="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0.2 %</w:t>
            </w:r>
          </w:p>
        </w:tc>
        <w:tc>
          <w:tcPr>
            <w:tcW w:w="0" w:type="dxa"/>
            <w:vAlign w:val="bottom"/>
          </w:tcPr>
          <w:p>
            <w:pPr>
              <w:spacing w:after="0"/>
              <w:rPr>
                <w:sz w:val="1"/>
                <w:szCs w:val="1"/>
                <w:color w:val="auto"/>
              </w:rPr>
            </w:pPr>
          </w:p>
        </w:tc>
      </w:tr>
      <w:tr>
        <w:trPr>
          <w:trHeight w:val="286"/>
        </w:trPr>
        <w:tc>
          <w:tcPr>
            <w:tcW w:w="4460" w:type="dxa"/>
            <w:vAlign w:val="bottom"/>
          </w:tcPr>
          <w:p>
            <w:pPr>
              <w:ind w:left="60"/>
              <w:spacing w:after="0"/>
              <w:rPr>
                <w:sz w:val="20"/>
                <w:szCs w:val="20"/>
                <w:color w:val="auto"/>
              </w:rPr>
            </w:pPr>
            <w:r>
              <w:rPr>
                <w:rFonts w:ascii="Arial" w:cs="Arial" w:eastAsia="Arial" w:hAnsi="Arial"/>
                <w:sz w:val="19"/>
                <w:szCs w:val="19"/>
                <w:color w:val="auto"/>
              </w:rPr>
              <w:t>Income tax expense</w:t>
            </w: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ind w:right="223"/>
              <w:spacing w:after="0"/>
              <w:rPr>
                <w:sz w:val="20"/>
                <w:szCs w:val="20"/>
                <w:color w:val="auto"/>
              </w:rPr>
            </w:pPr>
            <w:r>
              <w:rPr>
                <w:rFonts w:ascii="Arial" w:cs="Arial" w:eastAsia="Arial" w:hAnsi="Arial"/>
                <w:sz w:val="19"/>
                <w:szCs w:val="19"/>
                <w:color w:val="auto"/>
              </w:rPr>
              <w:t>953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7"/>
              </w:rPr>
              <w:t>22.1 %</w:t>
            </w:r>
          </w:p>
        </w:tc>
        <w:tc>
          <w:tcPr>
            <w:tcW w:w="6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ind w:right="223"/>
              <w:spacing w:after="0"/>
              <w:rPr>
                <w:sz w:val="20"/>
                <w:szCs w:val="20"/>
                <w:color w:val="auto"/>
              </w:rPr>
            </w:pPr>
            <w:r>
              <w:rPr>
                <w:rFonts w:ascii="Arial" w:cs="Arial" w:eastAsia="Arial" w:hAnsi="Arial"/>
                <w:sz w:val="19"/>
                <w:szCs w:val="19"/>
                <w:color w:val="auto"/>
              </w:rPr>
              <w:t>1,019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24.4 %</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rPr>
              <w:t>$</w:t>
            </w:r>
          </w:p>
        </w:tc>
        <w:tc>
          <w:tcPr>
            <w:tcW w:w="780" w:type="dxa"/>
            <w:vAlign w:val="bottom"/>
            <w:tcBorders>
              <w:bottom w:val="single" w:sz="8" w:color="auto"/>
            </w:tcBorders>
          </w:tcPr>
          <w:p>
            <w:pPr>
              <w:jc w:val="right"/>
              <w:ind w:right="223"/>
              <w:spacing w:after="0"/>
              <w:rPr>
                <w:sz w:val="20"/>
                <w:szCs w:val="20"/>
                <w:color w:val="auto"/>
              </w:rPr>
            </w:pPr>
            <w:r>
              <w:rPr>
                <w:rFonts w:ascii="Arial" w:cs="Arial" w:eastAsia="Arial" w:hAnsi="Arial"/>
                <w:sz w:val="19"/>
                <w:szCs w:val="19"/>
                <w:color w:val="auto"/>
              </w:rPr>
              <w:t>769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-1287145</wp:posOffset>
            </wp:positionV>
            <wp:extent cx="342646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68">
                      <a:extLst>
                        <a:ext uri="{28A0092B-C50C-407E-A947-70E740481C1C}"/>
                      </a:extLst>
                    </a:blip>
                    <a:srcRect/>
                    <a:stretch>
                      <a:fillRect/>
                    </a:stretch>
                  </pic:blipFill>
                  <pic:spPr bwMode="auto">
                    <a:xfrm>
                      <a:off x="0" y="0"/>
                      <a:ext cx="3426460" cy="2540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-224790</wp:posOffset>
            </wp:positionV>
            <wp:extent cx="342646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69">
                      <a:extLst>
                        <a:ext uri="{28A0092B-C50C-407E-A947-70E740481C1C}"/>
                      </a:extLst>
                    </a:blip>
                    <a:srcRect/>
                    <a:stretch>
                      <a:fillRect/>
                    </a:stretch>
                  </pic:blipFill>
                  <pic:spPr bwMode="auto">
                    <a:xfrm>
                      <a:off x="0" y="0"/>
                      <a:ext cx="3426460" cy="2540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-42545</wp:posOffset>
            </wp:positionV>
            <wp:extent cx="3426460" cy="501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70">
                      <a:extLst>
                        <a:ext uri="{28A0092B-C50C-407E-A947-70E740481C1C}"/>
                      </a:extLst>
                    </a:blip>
                    <a:srcRect/>
                    <a:stretch>
                      <a:fillRect/>
                    </a:stretch>
                  </pic:blipFill>
                  <pic:spPr bwMode="auto">
                    <a:xfrm>
                      <a:off x="0" y="0"/>
                      <a:ext cx="3426460" cy="50165"/>
                    </a:xfrm>
                    <a:prstGeom prst="rect">
                      <a:avLst/>
                    </a:prstGeom>
                    <a:noFill/>
                  </pic:spPr>
                </pic:pic>
              </a:graphicData>
            </a:graphic>
          </wp:anchor>
        </w:drawing>
      </w:r>
    </w:p>
    <w:p>
      <w:pPr>
        <w:spacing w:after="0" w:line="108" w:lineRule="exact"/>
        <w:rPr>
          <w:sz w:val="20"/>
          <w:szCs w:val="20"/>
          <w:color w:val="auto"/>
        </w:rPr>
      </w:pPr>
    </w:p>
    <w:p>
      <w:pPr>
        <w:ind w:left="60" w:right="80" w:hanging="6"/>
        <w:spacing w:after="0" w:line="233" w:lineRule="auto"/>
        <w:tabs>
          <w:tab w:leader="none" w:pos="271"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California and Colorado make up more than 50% of the state income tax expense category in 2025. California, Colorado and Illinois make up more than 50% of the state income tax expense category in 2024 and 2023</w:t>
      </w:r>
    </w:p>
    <w:p>
      <w:pPr>
        <w:sectPr>
          <w:pgSz w:w="11880" w:h="15480" w:orient="portrait"/>
          <w:cols w:equalWidth="0" w:num="1">
            <w:col w:w="9820"/>
          </w:cols>
          <w:pgMar w:left="960" w:top="579" w:right="11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9820"/>
          </w:cols>
          <w:pgMar w:left="960" w:top="579" w:right="1100" w:bottom="33" w:gutter="0" w:footer="0" w:header="0"/>
          <w:type w:val="continuous"/>
        </w:sectPr>
      </w:pPr>
    </w:p>
    <w:bookmarkStart w:id="78" w:name="page79"/>
    <w:bookmarkEnd w:id="78"/>
    <w:p>
      <w:pPr>
        <w:spacing w:after="0"/>
        <w:rPr>
          <w:sz w:val="20"/>
          <w:szCs w:val="20"/>
          <w:color w:val="auto"/>
        </w:rPr>
      </w:pPr>
      <w:r>
        <w:rPr>
          <w:rFonts w:ascii="Arial" w:cs="Arial" w:eastAsia="Arial" w:hAnsi="Arial"/>
          <w:sz w:val="19"/>
          <w:szCs w:val="19"/>
          <w:color w:val="auto"/>
        </w:rPr>
        <w:t>The components of the income tax provision consisted of the following for the years ended December 31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6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b w:val="1"/>
                <w:bCs w:val="1"/>
                <w:color w:val="auto"/>
              </w:rPr>
              <w:t>2025</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b w:val="1"/>
                <w:bCs w:val="1"/>
                <w:color w:val="auto"/>
              </w:rPr>
              <w:t>2024</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3"/>
              <w:spacing w:after="0"/>
              <w:rPr>
                <w:sz w:val="20"/>
                <w:szCs w:val="20"/>
                <w:color w:val="auto"/>
              </w:rPr>
            </w:pPr>
            <w:r>
              <w:rPr>
                <w:rFonts w:ascii="Arial" w:cs="Arial" w:eastAsia="Arial" w:hAnsi="Arial"/>
                <w:sz w:val="19"/>
                <w:szCs w:val="19"/>
                <w:b w:val="1"/>
                <w:bCs w:val="1"/>
                <w:color w:val="auto"/>
              </w:rPr>
              <w:t>2023</w:t>
            </w:r>
          </w:p>
        </w:tc>
      </w:tr>
      <w:tr>
        <w:trPr>
          <w:trHeight w:val="290"/>
        </w:trPr>
        <w:tc>
          <w:tcPr>
            <w:tcW w:w="6600" w:type="dxa"/>
            <w:vAlign w:val="bottom"/>
          </w:tcPr>
          <w:p>
            <w:pPr>
              <w:ind w:left="60"/>
              <w:spacing w:after="0"/>
              <w:rPr>
                <w:sz w:val="20"/>
                <w:szCs w:val="20"/>
                <w:color w:val="auto"/>
              </w:rPr>
            </w:pPr>
            <w:r>
              <w:rPr>
                <w:rFonts w:ascii="Arial" w:cs="Arial" w:eastAsia="Arial" w:hAnsi="Arial"/>
                <w:sz w:val="19"/>
                <w:szCs w:val="19"/>
                <w:color w:val="auto"/>
              </w:rPr>
              <w:t>Current:</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12"/>
        </w:trPr>
        <w:tc>
          <w:tcPr>
            <w:tcW w:w="6600" w:type="dxa"/>
            <w:vAlign w:val="bottom"/>
            <w:shd w:val="clear" w:color="auto" w:fill="E6E6E6"/>
          </w:tcPr>
          <w:p>
            <w:pPr>
              <w:ind w:left="180"/>
              <w:spacing w:after="0"/>
              <w:rPr>
                <w:sz w:val="20"/>
                <w:szCs w:val="20"/>
                <w:color w:val="auto"/>
              </w:rPr>
            </w:pPr>
            <w:r>
              <w:rPr>
                <w:rFonts w:ascii="Arial" w:cs="Arial" w:eastAsia="Arial" w:hAnsi="Arial"/>
                <w:sz w:val="19"/>
                <w:szCs w:val="19"/>
                <w:color w:val="auto"/>
              </w:rPr>
              <w:t>US Federal</w:t>
            </w:r>
          </w:p>
        </w:tc>
        <w:tc>
          <w:tcPr>
            <w:tcW w:w="2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w:t>
            </w:r>
          </w:p>
        </w:tc>
        <w:tc>
          <w:tcPr>
            <w:tcW w:w="4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50</w:t>
            </w:r>
          </w:p>
        </w:tc>
        <w:tc>
          <w:tcPr>
            <w:tcW w:w="4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r>
      <w:tr>
        <w:trPr>
          <w:trHeight w:val="299"/>
        </w:trPr>
        <w:tc>
          <w:tcPr>
            <w:tcW w:w="6600" w:type="dxa"/>
            <w:vAlign w:val="bottom"/>
          </w:tcPr>
          <w:p>
            <w:pPr>
              <w:ind w:left="180"/>
              <w:spacing w:after="0"/>
              <w:rPr>
                <w:sz w:val="20"/>
                <w:szCs w:val="20"/>
                <w:color w:val="auto"/>
              </w:rPr>
            </w:pPr>
            <w:r>
              <w:rPr>
                <w:rFonts w:ascii="Arial" w:cs="Arial" w:eastAsia="Arial" w:hAnsi="Arial"/>
                <w:sz w:val="19"/>
                <w:szCs w:val="19"/>
                <w:color w:val="auto"/>
              </w:rPr>
              <w:t>US State and Local</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302"/>
        </w:trPr>
        <w:tc>
          <w:tcPr>
            <w:tcW w:w="66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9"/>
                <w:szCs w:val="19"/>
                <w:color w:val="auto"/>
              </w:rPr>
              <w:t>Foreign</w:t>
            </w:r>
          </w:p>
        </w:tc>
        <w:tc>
          <w:tcPr>
            <w:tcW w:w="240" w:type="dxa"/>
            <w:vAlign w:val="bottom"/>
            <w:tcBorders>
              <w:bottom w:val="single" w:sz="8" w:color="auto"/>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12</w:t>
            </w:r>
          </w:p>
        </w:tc>
        <w:tc>
          <w:tcPr>
            <w:tcW w:w="2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6</w:t>
            </w:r>
          </w:p>
        </w:tc>
        <w:tc>
          <w:tcPr>
            <w:tcW w:w="2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w:t>
            </w:r>
          </w:p>
        </w:tc>
      </w:tr>
      <w:tr>
        <w:trPr>
          <w:trHeight w:val="286"/>
        </w:trPr>
        <w:tc>
          <w:tcPr>
            <w:tcW w:w="6600" w:type="dxa"/>
            <w:vAlign w:val="bottom"/>
            <w:tcBorders>
              <w:bottom w:val="single" w:sz="8" w:color="E6E6E6"/>
            </w:tcBorders>
          </w:tcPr>
          <w:p>
            <w:pPr>
              <w:ind w:left="340"/>
              <w:spacing w:after="0"/>
              <w:rPr>
                <w:sz w:val="20"/>
                <w:szCs w:val="20"/>
                <w:color w:val="auto"/>
              </w:rPr>
            </w:pPr>
            <w:r>
              <w:rPr>
                <w:rFonts w:ascii="Arial" w:cs="Arial" w:eastAsia="Arial" w:hAnsi="Arial"/>
                <w:sz w:val="19"/>
                <w:szCs w:val="19"/>
                <w:color w:val="auto"/>
              </w:rPr>
              <w:t>Total Current</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20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84</w:t>
            </w:r>
          </w:p>
        </w:tc>
        <w:tc>
          <w:tcPr>
            <w:tcW w:w="20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r>
      <w:tr>
        <w:trPr>
          <w:trHeight w:val="296"/>
        </w:trPr>
        <w:tc>
          <w:tcPr>
            <w:tcW w:w="6600" w:type="dxa"/>
            <w:vAlign w:val="bottom"/>
            <w:shd w:val="clear" w:color="auto" w:fill="E6E6E6"/>
          </w:tcPr>
          <w:p>
            <w:pPr>
              <w:ind w:left="60"/>
              <w:spacing w:after="0"/>
              <w:rPr>
                <w:sz w:val="20"/>
                <w:szCs w:val="20"/>
                <w:color w:val="auto"/>
              </w:rPr>
            </w:pPr>
            <w:r>
              <w:rPr>
                <w:rFonts w:ascii="Arial" w:cs="Arial" w:eastAsia="Arial" w:hAnsi="Arial"/>
                <w:sz w:val="19"/>
                <w:szCs w:val="19"/>
                <w:color w:val="auto"/>
              </w:rPr>
              <w:t>Deferred:</w:t>
            </w:r>
          </w:p>
        </w:tc>
        <w:tc>
          <w:tcPr>
            <w:tcW w:w="24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r>
      <w:tr>
        <w:trPr>
          <w:trHeight w:val="299"/>
        </w:trPr>
        <w:tc>
          <w:tcPr>
            <w:tcW w:w="6600" w:type="dxa"/>
            <w:vAlign w:val="bottom"/>
          </w:tcPr>
          <w:p>
            <w:pPr>
              <w:ind w:left="180"/>
              <w:spacing w:after="0"/>
              <w:rPr>
                <w:sz w:val="20"/>
                <w:szCs w:val="20"/>
                <w:color w:val="auto"/>
              </w:rPr>
            </w:pPr>
            <w:r>
              <w:rPr>
                <w:rFonts w:ascii="Arial" w:cs="Arial" w:eastAsia="Arial" w:hAnsi="Arial"/>
                <w:sz w:val="19"/>
                <w:szCs w:val="19"/>
                <w:color w:val="auto"/>
              </w:rPr>
              <w:t>US Federal</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866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898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726</w:t>
            </w:r>
          </w:p>
        </w:tc>
      </w:tr>
      <w:tr>
        <w:trPr>
          <w:trHeight w:val="321"/>
        </w:trPr>
        <w:tc>
          <w:tcPr>
            <w:tcW w:w="66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9"/>
                <w:szCs w:val="19"/>
                <w:color w:val="auto"/>
              </w:rPr>
              <w:t>US State and Local</w:t>
            </w:r>
          </w:p>
        </w:tc>
        <w:tc>
          <w:tcPr>
            <w:tcW w:w="240" w:type="dxa"/>
            <w:vAlign w:val="bottom"/>
            <w:tcBorders>
              <w:bottom w:val="single" w:sz="8" w:color="auto"/>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58</w:t>
            </w:r>
          </w:p>
        </w:tc>
        <w:tc>
          <w:tcPr>
            <w:tcW w:w="2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37</w:t>
            </w:r>
          </w:p>
        </w:tc>
        <w:tc>
          <w:tcPr>
            <w:tcW w:w="2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30</w:t>
            </w:r>
          </w:p>
        </w:tc>
      </w:tr>
      <w:tr>
        <w:trPr>
          <w:trHeight w:val="267"/>
        </w:trPr>
        <w:tc>
          <w:tcPr>
            <w:tcW w:w="6600" w:type="dxa"/>
            <w:vAlign w:val="bottom"/>
            <w:tcBorders>
              <w:bottom w:val="single" w:sz="8" w:color="E6E6E6"/>
            </w:tcBorders>
          </w:tcPr>
          <w:p>
            <w:pPr>
              <w:ind w:left="280"/>
              <w:spacing w:after="0"/>
              <w:rPr>
                <w:sz w:val="20"/>
                <w:szCs w:val="20"/>
                <w:color w:val="auto"/>
              </w:rPr>
            </w:pPr>
            <w:r>
              <w:rPr>
                <w:rFonts w:ascii="Arial" w:cs="Arial" w:eastAsia="Arial" w:hAnsi="Arial"/>
                <w:sz w:val="19"/>
                <w:szCs w:val="19"/>
                <w:color w:val="auto"/>
              </w:rPr>
              <w:t>Total Deferred</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925</w:t>
            </w:r>
          </w:p>
        </w:tc>
        <w:tc>
          <w:tcPr>
            <w:tcW w:w="20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935</w:t>
            </w:r>
          </w:p>
        </w:tc>
        <w:tc>
          <w:tcPr>
            <w:tcW w:w="20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756</w:t>
            </w:r>
          </w:p>
        </w:tc>
      </w:tr>
      <w:tr>
        <w:trPr>
          <w:trHeight w:val="276"/>
        </w:trPr>
        <w:tc>
          <w:tcPr>
            <w:tcW w:w="66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Total income tax expense:</w:t>
            </w:r>
          </w:p>
        </w:tc>
        <w:tc>
          <w:tcPr>
            <w:tcW w:w="240" w:type="dxa"/>
            <w:vAlign w:val="bottom"/>
            <w:tcBorders>
              <w:bottom w:val="single" w:sz="8" w:color="E6E6E6"/>
            </w:tcBorders>
            <w:shd w:val="clear" w:color="auto" w:fill="E6E6E6"/>
          </w:tcPr>
          <w:p>
            <w:pPr>
              <w:spacing w:after="0"/>
              <w:rPr>
                <w:sz w:val="23"/>
                <w:szCs w:val="23"/>
                <w:color w:val="auto"/>
              </w:rPr>
            </w:pPr>
          </w:p>
        </w:tc>
        <w:tc>
          <w:tcPr>
            <w:tcW w:w="74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E6E6E6"/>
            </w:tcBorders>
            <w:shd w:val="clear" w:color="auto" w:fill="E6E6E6"/>
          </w:tcPr>
          <w:p>
            <w:pPr>
              <w:spacing w:after="0"/>
              <w:rPr>
                <w:sz w:val="23"/>
                <w:szCs w:val="23"/>
                <w:color w:val="auto"/>
              </w:rPr>
            </w:pPr>
          </w:p>
        </w:tc>
        <w:tc>
          <w:tcPr>
            <w:tcW w:w="74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E6E6E6"/>
            </w:tcBorders>
            <w:shd w:val="clear" w:color="auto" w:fill="E6E6E6"/>
          </w:tcPr>
          <w:p>
            <w:pPr>
              <w:spacing w:after="0"/>
              <w:rPr>
                <w:sz w:val="23"/>
                <w:szCs w:val="23"/>
                <w:color w:val="auto"/>
              </w:rPr>
            </w:pPr>
          </w:p>
        </w:tc>
        <w:tc>
          <w:tcPr>
            <w:tcW w:w="760" w:type="dxa"/>
            <w:vAlign w:val="bottom"/>
            <w:tcBorders>
              <w:bottom w:val="single" w:sz="8" w:color="E6E6E6"/>
            </w:tcBorders>
            <w:shd w:val="clear" w:color="auto" w:fill="E6E6E6"/>
          </w:tcPr>
          <w:p>
            <w:pPr>
              <w:spacing w:after="0"/>
              <w:rPr>
                <w:sz w:val="23"/>
                <w:szCs w:val="23"/>
                <w:color w:val="auto"/>
              </w:rPr>
            </w:pPr>
          </w:p>
        </w:tc>
      </w:tr>
      <w:tr>
        <w:trPr>
          <w:trHeight w:val="299"/>
        </w:trPr>
        <w:tc>
          <w:tcPr>
            <w:tcW w:w="6600" w:type="dxa"/>
            <w:vAlign w:val="bottom"/>
          </w:tcPr>
          <w:p>
            <w:pPr>
              <w:ind w:left="180"/>
              <w:spacing w:after="0"/>
              <w:rPr>
                <w:sz w:val="20"/>
                <w:szCs w:val="20"/>
                <w:color w:val="auto"/>
              </w:rPr>
            </w:pPr>
            <w:r>
              <w:rPr>
                <w:rFonts w:ascii="Arial" w:cs="Arial" w:eastAsia="Arial" w:hAnsi="Arial"/>
                <w:sz w:val="19"/>
                <w:szCs w:val="19"/>
                <w:color w:val="auto"/>
              </w:rPr>
              <w:t>US Federal</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862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948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726</w:t>
            </w:r>
          </w:p>
        </w:tc>
      </w:tr>
      <w:tr>
        <w:trPr>
          <w:trHeight w:val="312"/>
        </w:trPr>
        <w:tc>
          <w:tcPr>
            <w:tcW w:w="6600" w:type="dxa"/>
            <w:vAlign w:val="bottom"/>
            <w:shd w:val="clear" w:color="auto" w:fill="E6E6E6"/>
          </w:tcPr>
          <w:p>
            <w:pPr>
              <w:ind w:left="180"/>
              <w:spacing w:after="0"/>
              <w:rPr>
                <w:sz w:val="20"/>
                <w:szCs w:val="20"/>
                <w:color w:val="auto"/>
              </w:rPr>
            </w:pPr>
            <w:r>
              <w:rPr>
                <w:rFonts w:ascii="Arial" w:cs="Arial" w:eastAsia="Arial" w:hAnsi="Arial"/>
                <w:sz w:val="19"/>
                <w:szCs w:val="19"/>
                <w:color w:val="auto"/>
              </w:rPr>
              <w:t>US State and Local</w:t>
            </w:r>
          </w:p>
        </w:tc>
        <w:tc>
          <w:tcPr>
            <w:tcW w:w="24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79</w:t>
            </w:r>
          </w:p>
        </w:tc>
        <w:tc>
          <w:tcPr>
            <w:tcW w:w="2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65</w:t>
            </w:r>
          </w:p>
        </w:tc>
        <w:tc>
          <w:tcPr>
            <w:tcW w:w="2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38</w:t>
            </w:r>
          </w:p>
        </w:tc>
      </w:tr>
      <w:tr>
        <w:trPr>
          <w:trHeight w:val="295"/>
        </w:trPr>
        <w:tc>
          <w:tcPr>
            <w:tcW w:w="6600" w:type="dxa"/>
            <w:vAlign w:val="bottom"/>
            <w:tcBorders>
              <w:bottom w:val="single" w:sz="8" w:color="E6E6E6"/>
            </w:tcBorders>
          </w:tcPr>
          <w:p>
            <w:pPr>
              <w:ind w:left="180"/>
              <w:spacing w:after="0"/>
              <w:rPr>
                <w:sz w:val="20"/>
                <w:szCs w:val="20"/>
                <w:color w:val="auto"/>
              </w:rPr>
            </w:pPr>
            <w:r>
              <w:rPr>
                <w:rFonts w:ascii="Arial" w:cs="Arial" w:eastAsia="Arial" w:hAnsi="Arial"/>
                <w:sz w:val="19"/>
                <w:szCs w:val="19"/>
                <w:color w:val="auto"/>
              </w:rPr>
              <w:t>Foreign</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20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w:t>
            </w:r>
          </w:p>
        </w:tc>
        <w:tc>
          <w:tcPr>
            <w:tcW w:w="20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r>
      <w:tr>
        <w:trPr>
          <w:trHeight w:val="305"/>
        </w:trPr>
        <w:tc>
          <w:tcPr>
            <w:tcW w:w="66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9"/>
                <w:szCs w:val="19"/>
                <w:color w:val="auto"/>
              </w:rPr>
              <w:t>Total Income Tax Expense</w:t>
            </w:r>
          </w:p>
        </w:tc>
        <w:tc>
          <w:tcPr>
            <w:tcW w:w="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953</w:t>
            </w:r>
          </w:p>
        </w:tc>
        <w:tc>
          <w:tcPr>
            <w:tcW w:w="2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1,019</w:t>
            </w:r>
          </w:p>
        </w:tc>
        <w:tc>
          <w:tcPr>
            <w:tcW w:w="2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-1971040</wp:posOffset>
            </wp:positionV>
            <wp:extent cx="212344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71">
                      <a:extLst>
                        <a:ext uri="{28A0092B-C50C-407E-A947-70E740481C1C}"/>
                      </a:extLst>
                    </a:blip>
                    <a:srcRect/>
                    <a:stretch>
                      <a:fillRect/>
                    </a:stretch>
                  </pic:blipFill>
                  <pic:spPr bwMode="auto">
                    <a:xfrm>
                      <a:off x="0" y="0"/>
                      <a:ext cx="2123440" cy="25400"/>
                    </a:xfrm>
                    <a:prstGeom prst="rect">
                      <a:avLst/>
                    </a:prstGeom>
                    <a:noFill/>
                  </pic:spPr>
                </pic:pic>
              </a:graphicData>
            </a:graphic>
          </wp:anchor>
        </w:drawing>
        <w:drawing>
          <wp:anchor simplePos="0" relativeHeight="251657728" behindDoc="1" locked="0" layoutInCell="0" allowOverlap="1">
            <wp:simplePos x="0" y="0"/>
            <wp:positionH relativeFrom="column">
              <wp:posOffset>4184650</wp:posOffset>
            </wp:positionH>
            <wp:positionV relativeFrom="paragraph">
              <wp:posOffset>-1777365</wp:posOffset>
            </wp:positionV>
            <wp:extent cx="212344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72">
                      <a:extLst>
                        <a:ext uri="{28A0092B-C50C-407E-A947-70E740481C1C}"/>
                      </a:extLst>
                    </a:blip>
                    <a:srcRect/>
                    <a:stretch>
                      <a:fillRect/>
                    </a:stretch>
                  </pic:blipFill>
                  <pic:spPr bwMode="auto">
                    <a:xfrm>
                      <a:off x="0" y="0"/>
                      <a:ext cx="2123440" cy="25400"/>
                    </a:xfrm>
                    <a:prstGeom prst="rect">
                      <a:avLst/>
                    </a:prstGeom>
                    <a:noFill/>
                  </pic:spPr>
                </pic:pic>
              </a:graphicData>
            </a:graphic>
          </wp:anchor>
        </w:drawing>
        <w:drawing>
          <wp:anchor simplePos="0" relativeHeight="251657728" behindDoc="1" locked="0" layoutInCell="0" allowOverlap="1">
            <wp:simplePos x="0" y="0"/>
            <wp:positionH relativeFrom="column">
              <wp:posOffset>4184650</wp:posOffset>
            </wp:positionH>
            <wp:positionV relativeFrom="paragraph">
              <wp:posOffset>-1195070</wp:posOffset>
            </wp:positionV>
            <wp:extent cx="212344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73">
                      <a:extLst>
                        <a:ext uri="{28A0092B-C50C-407E-A947-70E740481C1C}"/>
                      </a:extLst>
                    </a:blip>
                    <a:srcRect/>
                    <a:stretch>
                      <a:fillRect/>
                    </a:stretch>
                  </pic:blipFill>
                  <pic:spPr bwMode="auto">
                    <a:xfrm>
                      <a:off x="0" y="0"/>
                      <a:ext cx="2123440" cy="25400"/>
                    </a:xfrm>
                    <a:prstGeom prst="rect">
                      <a:avLst/>
                    </a:prstGeom>
                    <a:noFill/>
                  </pic:spPr>
                </pic:pic>
              </a:graphicData>
            </a:graphic>
          </wp:anchor>
        </w:drawing>
        <w:drawing>
          <wp:anchor simplePos="0" relativeHeight="251657728" behindDoc="1" locked="0" layoutInCell="0" allowOverlap="1">
            <wp:simplePos x="0" y="0"/>
            <wp:positionH relativeFrom="column">
              <wp:posOffset>4184650</wp:posOffset>
            </wp:positionH>
            <wp:positionV relativeFrom="paragraph">
              <wp:posOffset>-1000760</wp:posOffset>
            </wp:positionV>
            <wp:extent cx="212344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74">
                      <a:extLst>
                        <a:ext uri="{28A0092B-C50C-407E-A947-70E740481C1C}"/>
                      </a:extLst>
                    </a:blip>
                    <a:srcRect/>
                    <a:stretch>
                      <a:fillRect/>
                    </a:stretch>
                  </pic:blipFill>
                  <pic:spPr bwMode="auto">
                    <a:xfrm>
                      <a:off x="0" y="0"/>
                      <a:ext cx="2123440" cy="25400"/>
                    </a:xfrm>
                    <a:prstGeom prst="rect">
                      <a:avLst/>
                    </a:prstGeom>
                    <a:noFill/>
                  </pic:spPr>
                </pic:pic>
              </a:graphicData>
            </a:graphic>
          </wp:anchor>
        </w:drawing>
        <w:drawing>
          <wp:anchor simplePos="0" relativeHeight="251657728" behindDoc="1" locked="0" layoutInCell="0" allowOverlap="1">
            <wp:simplePos x="0" y="0"/>
            <wp:positionH relativeFrom="column">
              <wp:posOffset>4184650</wp:posOffset>
            </wp:positionH>
            <wp:positionV relativeFrom="paragraph">
              <wp:posOffset>-224790</wp:posOffset>
            </wp:positionV>
            <wp:extent cx="212344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75">
                      <a:extLst>
                        <a:ext uri="{28A0092B-C50C-407E-A947-70E740481C1C}"/>
                      </a:extLst>
                    </a:blip>
                    <a:srcRect/>
                    <a:stretch>
                      <a:fillRect/>
                    </a:stretch>
                  </pic:blipFill>
                  <pic:spPr bwMode="auto">
                    <a:xfrm>
                      <a:off x="0" y="0"/>
                      <a:ext cx="2123440" cy="25400"/>
                    </a:xfrm>
                    <a:prstGeom prst="rect">
                      <a:avLst/>
                    </a:prstGeom>
                    <a:noFill/>
                  </pic:spPr>
                </pic:pic>
              </a:graphicData>
            </a:graphic>
          </wp:anchor>
        </w:drawing>
        <w:drawing>
          <wp:anchor simplePos="0" relativeHeight="251657728" behindDoc="1" locked="0" layoutInCell="0" allowOverlap="1">
            <wp:simplePos x="0" y="0"/>
            <wp:positionH relativeFrom="column">
              <wp:posOffset>4184650</wp:posOffset>
            </wp:positionH>
            <wp:positionV relativeFrom="paragraph">
              <wp:posOffset>-42545</wp:posOffset>
            </wp:positionV>
            <wp:extent cx="2123440" cy="501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76">
                      <a:extLst>
                        <a:ext uri="{28A0092B-C50C-407E-A947-70E740481C1C}"/>
                      </a:extLst>
                    </a:blip>
                    <a:srcRect/>
                    <a:stretch>
                      <a:fillRect/>
                    </a:stretch>
                  </pic:blipFill>
                  <pic:spPr bwMode="auto">
                    <a:xfrm>
                      <a:off x="0" y="0"/>
                      <a:ext cx="2123440" cy="5016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tax payment, net of refunds, by jurisdiction for the years ended December 31 (in million):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740" w:type="dxa"/>
            <w:vAlign w:val="bottom"/>
            <w:tcBorders>
              <w:bottom w:val="single" w:sz="8" w:color="E6E6E6"/>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2025</w:t>
            </w:r>
          </w:p>
        </w:tc>
        <w:tc>
          <w:tcPr>
            <w:tcW w:w="280" w:type="dxa"/>
            <w:vAlign w:val="bottom"/>
            <w:tcBorders>
              <w:bottom w:val="single" w:sz="8" w:color="auto"/>
            </w:tcBorders>
          </w:tcPr>
          <w:p>
            <w:pPr>
              <w:spacing w:after="0"/>
              <w:rPr>
                <w:sz w:val="22"/>
                <w:szCs w:val="22"/>
                <w:color w:val="auto"/>
              </w:rPr>
            </w:pPr>
          </w:p>
        </w:tc>
        <w:tc>
          <w:tcPr>
            <w:tcW w:w="14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3"/>
              <w:spacing w:after="0"/>
              <w:rPr>
                <w:sz w:val="20"/>
                <w:szCs w:val="20"/>
                <w:color w:val="auto"/>
              </w:rPr>
            </w:pPr>
            <w:r>
              <w:rPr>
                <w:rFonts w:ascii="Arial" w:cs="Arial" w:eastAsia="Arial" w:hAnsi="Arial"/>
                <w:sz w:val="19"/>
                <w:szCs w:val="19"/>
                <w:b w:val="1"/>
                <w:bCs w:val="1"/>
                <w:color w:val="auto"/>
              </w:rPr>
              <w:t>2024</w:t>
            </w:r>
          </w:p>
        </w:tc>
        <w:tc>
          <w:tcPr>
            <w:tcW w:w="14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3"/>
              <w:spacing w:after="0"/>
              <w:rPr>
                <w:sz w:val="20"/>
                <w:szCs w:val="20"/>
                <w:color w:val="auto"/>
              </w:rPr>
            </w:pPr>
            <w:r>
              <w:rPr>
                <w:rFonts w:ascii="Arial" w:cs="Arial" w:eastAsia="Arial" w:hAnsi="Arial"/>
                <w:sz w:val="19"/>
                <w:szCs w:val="19"/>
                <w:b w:val="1"/>
                <w:bCs w:val="1"/>
                <w:color w:val="auto"/>
              </w:rPr>
              <w:t>2023</w:t>
            </w:r>
          </w:p>
        </w:tc>
      </w:tr>
      <w:tr>
        <w:trPr>
          <w:trHeight w:val="296"/>
        </w:trPr>
        <w:tc>
          <w:tcPr>
            <w:tcW w:w="6740" w:type="dxa"/>
            <w:vAlign w:val="bottom"/>
            <w:shd w:val="clear" w:color="auto" w:fill="E6E6E6"/>
          </w:tcPr>
          <w:p>
            <w:pPr>
              <w:ind w:left="60"/>
              <w:spacing w:after="0"/>
              <w:rPr>
                <w:sz w:val="20"/>
                <w:szCs w:val="20"/>
                <w:color w:val="auto"/>
              </w:rPr>
            </w:pPr>
            <w:r>
              <w:rPr>
                <w:rFonts w:ascii="Arial" w:cs="Arial" w:eastAsia="Arial" w:hAnsi="Arial"/>
                <w:sz w:val="19"/>
                <w:szCs w:val="19"/>
                <w:color w:val="auto"/>
              </w:rPr>
              <w:t>Federal</w:t>
            </w:r>
          </w:p>
        </w:tc>
        <w:tc>
          <w:tcPr>
            <w:tcW w:w="700" w:type="dxa"/>
            <w:vAlign w:val="bottom"/>
            <w:shd w:val="clear" w:color="auto" w:fill="E6E6E6"/>
          </w:tcPr>
          <w:p>
            <w:pPr>
              <w:jc w:val="right"/>
              <w:ind w:right="463"/>
              <w:spacing w:after="0"/>
              <w:rPr>
                <w:sz w:val="20"/>
                <w:szCs w:val="20"/>
                <w:color w:val="auto"/>
              </w:rPr>
            </w:pPr>
            <w:r>
              <w:rPr>
                <w:rFonts w:ascii="Arial" w:cs="Arial" w:eastAsia="Arial" w:hAnsi="Arial"/>
                <w:sz w:val="19"/>
                <w:szCs w:val="19"/>
                <w:color w:val="auto"/>
              </w:rPr>
              <w:t>$</w:t>
            </w:r>
          </w:p>
        </w:tc>
        <w:tc>
          <w:tcPr>
            <w:tcW w:w="280" w:type="dxa"/>
            <w:vAlign w:val="bottom"/>
            <w:shd w:val="clear" w:color="auto" w:fill="E6E6E6"/>
          </w:tcPr>
          <w:p>
            <w:pPr>
              <w:jc w:val="right"/>
              <w:spacing w:after="0"/>
              <w:rPr>
                <w:sz w:val="20"/>
                <w:szCs w:val="20"/>
                <w:color w:val="auto"/>
              </w:rPr>
            </w:pPr>
            <w:r>
              <w:rPr>
                <w:rFonts w:ascii="Arial" w:cs="Arial" w:eastAsia="Arial" w:hAnsi="Arial"/>
                <w:sz w:val="19"/>
                <w:szCs w:val="19"/>
                <w:color w:val="auto"/>
                <w:w w:val="84"/>
              </w:rPr>
              <w:t>33</w:t>
            </w:r>
          </w:p>
        </w:tc>
        <w:tc>
          <w:tcPr>
            <w:tcW w:w="36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47</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w:t>
            </w:r>
          </w:p>
        </w:tc>
      </w:tr>
      <w:tr>
        <w:trPr>
          <w:trHeight w:val="299"/>
        </w:trPr>
        <w:tc>
          <w:tcPr>
            <w:tcW w:w="6740" w:type="dxa"/>
            <w:vAlign w:val="bottom"/>
          </w:tcPr>
          <w:p>
            <w:pPr>
              <w:ind w:left="60"/>
              <w:spacing w:after="0"/>
              <w:rPr>
                <w:sz w:val="20"/>
                <w:szCs w:val="20"/>
                <w:color w:val="auto"/>
              </w:rPr>
            </w:pPr>
            <w:r>
              <w:rPr>
                <w:rFonts w:ascii="Arial" w:cs="Arial" w:eastAsia="Arial" w:hAnsi="Arial"/>
                <w:sz w:val="19"/>
                <w:szCs w:val="19"/>
                <w:color w:val="auto"/>
              </w:rPr>
              <w:t>State</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12"/>
        </w:trPr>
        <w:tc>
          <w:tcPr>
            <w:tcW w:w="6740" w:type="dxa"/>
            <w:vAlign w:val="bottom"/>
            <w:shd w:val="clear" w:color="auto" w:fill="E6E6E6"/>
          </w:tcPr>
          <w:p>
            <w:pPr>
              <w:ind w:left="180"/>
              <w:spacing w:after="0"/>
              <w:rPr>
                <w:sz w:val="20"/>
                <w:szCs w:val="20"/>
                <w:color w:val="auto"/>
              </w:rPr>
            </w:pPr>
            <w:r>
              <w:rPr>
                <w:rFonts w:ascii="Arial" w:cs="Arial" w:eastAsia="Arial" w:hAnsi="Arial"/>
                <w:sz w:val="19"/>
                <w:szCs w:val="19"/>
                <w:color w:val="auto"/>
              </w:rPr>
              <w:t>California</w:t>
            </w:r>
          </w:p>
        </w:tc>
        <w:tc>
          <w:tcPr>
            <w:tcW w:w="700" w:type="dxa"/>
            <w:vAlign w:val="bottom"/>
            <w:shd w:val="clear" w:color="auto" w:fill="E6E6E6"/>
          </w:tcPr>
          <w:p>
            <w:pPr>
              <w:spacing w:after="0"/>
              <w:rPr>
                <w:sz w:val="24"/>
                <w:szCs w:val="24"/>
                <w:color w:val="auto"/>
              </w:rPr>
            </w:pPr>
          </w:p>
        </w:tc>
        <w:tc>
          <w:tcPr>
            <w:tcW w:w="280" w:type="dxa"/>
            <w:vAlign w:val="bottom"/>
            <w:shd w:val="clear" w:color="auto" w:fill="E6E6E6"/>
          </w:tcPr>
          <w:p>
            <w:pPr>
              <w:jc w:val="right"/>
              <w:spacing w:after="0"/>
              <w:rPr>
                <w:sz w:val="20"/>
                <w:szCs w:val="20"/>
                <w:color w:val="auto"/>
              </w:rPr>
            </w:pPr>
            <w:r>
              <w:rPr>
                <w:rFonts w:ascii="Arial" w:cs="Arial" w:eastAsia="Arial" w:hAnsi="Arial"/>
                <w:sz w:val="19"/>
                <w:szCs w:val="19"/>
                <w:color w:val="auto"/>
                <w:w w:val="84"/>
              </w:rPr>
              <w:t>13</w:t>
            </w:r>
          </w:p>
        </w:tc>
        <w:tc>
          <w:tcPr>
            <w:tcW w:w="1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25</w:t>
            </w:r>
          </w:p>
        </w:tc>
        <w:tc>
          <w:tcPr>
            <w:tcW w:w="1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w:t>
            </w:r>
          </w:p>
        </w:tc>
      </w:tr>
      <w:tr>
        <w:trPr>
          <w:trHeight w:val="299"/>
        </w:trPr>
        <w:tc>
          <w:tcPr>
            <w:tcW w:w="6740" w:type="dxa"/>
            <w:vAlign w:val="bottom"/>
          </w:tcPr>
          <w:p>
            <w:pPr>
              <w:ind w:left="180"/>
              <w:spacing w:after="0"/>
              <w:rPr>
                <w:sz w:val="20"/>
                <w:szCs w:val="20"/>
                <w:color w:val="auto"/>
              </w:rPr>
            </w:pPr>
            <w:r>
              <w:rPr>
                <w:rFonts w:ascii="Arial" w:cs="Arial" w:eastAsia="Arial" w:hAnsi="Arial"/>
                <w:sz w:val="19"/>
                <w:szCs w:val="19"/>
                <w:color w:val="auto"/>
              </w:rPr>
              <w:t>Illinois</w:t>
            </w:r>
          </w:p>
        </w:tc>
        <w:tc>
          <w:tcPr>
            <w:tcW w:w="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9"/>
                <w:szCs w:val="19"/>
                <w:color w:val="auto"/>
              </w:rPr>
              <w:t>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312"/>
        </w:trPr>
        <w:tc>
          <w:tcPr>
            <w:tcW w:w="6740" w:type="dxa"/>
            <w:vAlign w:val="bottom"/>
            <w:shd w:val="clear" w:color="auto" w:fill="E6E6E6"/>
          </w:tcPr>
          <w:p>
            <w:pPr>
              <w:ind w:left="180"/>
              <w:spacing w:after="0"/>
              <w:rPr>
                <w:sz w:val="20"/>
                <w:szCs w:val="20"/>
                <w:color w:val="auto"/>
              </w:rPr>
            </w:pPr>
            <w:r>
              <w:rPr>
                <w:rFonts w:ascii="Arial" w:cs="Arial" w:eastAsia="Arial" w:hAnsi="Arial"/>
                <w:sz w:val="19"/>
                <w:szCs w:val="19"/>
                <w:color w:val="auto"/>
              </w:rPr>
              <w:t>All other state</w:t>
            </w:r>
          </w:p>
        </w:tc>
        <w:tc>
          <w:tcPr>
            <w:tcW w:w="700" w:type="dxa"/>
            <w:vAlign w:val="bottom"/>
            <w:shd w:val="clear" w:color="auto" w:fill="E6E6E6"/>
          </w:tcPr>
          <w:p>
            <w:pPr>
              <w:spacing w:after="0"/>
              <w:rPr>
                <w:sz w:val="24"/>
                <w:szCs w:val="24"/>
                <w:color w:val="auto"/>
              </w:rPr>
            </w:pPr>
          </w:p>
        </w:tc>
        <w:tc>
          <w:tcPr>
            <w:tcW w:w="2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w:t>
            </w:r>
          </w:p>
        </w:tc>
        <w:tc>
          <w:tcPr>
            <w:tcW w:w="1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w:t>
            </w:r>
          </w:p>
        </w:tc>
        <w:tc>
          <w:tcPr>
            <w:tcW w:w="1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w:t>
            </w:r>
          </w:p>
        </w:tc>
      </w:tr>
      <w:tr>
        <w:trPr>
          <w:trHeight w:val="299"/>
        </w:trPr>
        <w:tc>
          <w:tcPr>
            <w:tcW w:w="6740" w:type="dxa"/>
            <w:vAlign w:val="bottom"/>
          </w:tcPr>
          <w:p>
            <w:pPr>
              <w:ind w:left="60"/>
              <w:spacing w:after="0"/>
              <w:rPr>
                <w:sz w:val="20"/>
                <w:szCs w:val="20"/>
                <w:color w:val="auto"/>
              </w:rPr>
            </w:pPr>
            <w:r>
              <w:rPr>
                <w:rFonts w:ascii="Arial" w:cs="Arial" w:eastAsia="Arial" w:hAnsi="Arial"/>
                <w:sz w:val="19"/>
                <w:szCs w:val="19"/>
                <w:color w:val="auto"/>
              </w:rPr>
              <w:t>Foreign</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12"/>
        </w:trPr>
        <w:tc>
          <w:tcPr>
            <w:tcW w:w="6740" w:type="dxa"/>
            <w:vAlign w:val="bottom"/>
            <w:shd w:val="clear" w:color="auto" w:fill="E6E6E6"/>
          </w:tcPr>
          <w:p>
            <w:pPr>
              <w:ind w:left="180"/>
              <w:spacing w:after="0"/>
              <w:rPr>
                <w:sz w:val="20"/>
                <w:szCs w:val="20"/>
                <w:color w:val="auto"/>
              </w:rPr>
            </w:pPr>
            <w:r>
              <w:rPr>
                <w:rFonts w:ascii="Arial" w:cs="Arial" w:eastAsia="Arial" w:hAnsi="Arial"/>
                <w:sz w:val="19"/>
                <w:szCs w:val="19"/>
                <w:color w:val="auto"/>
              </w:rPr>
              <w:t>Guatemala</w:t>
            </w:r>
          </w:p>
        </w:tc>
        <w:tc>
          <w:tcPr>
            <w:tcW w:w="700" w:type="dxa"/>
            <w:vAlign w:val="bottom"/>
            <w:shd w:val="clear" w:color="auto" w:fill="E6E6E6"/>
          </w:tcPr>
          <w:p>
            <w:pPr>
              <w:spacing w:after="0"/>
              <w:rPr>
                <w:sz w:val="24"/>
                <w:szCs w:val="24"/>
                <w:color w:val="auto"/>
              </w:rPr>
            </w:pPr>
          </w:p>
        </w:tc>
        <w:tc>
          <w:tcPr>
            <w:tcW w:w="2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w:t>
            </w:r>
          </w:p>
        </w:tc>
        <w:tc>
          <w:tcPr>
            <w:tcW w:w="1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w:t>
            </w:r>
          </w:p>
        </w:tc>
        <w:tc>
          <w:tcPr>
            <w:tcW w:w="1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w:t>
            </w:r>
          </w:p>
        </w:tc>
      </w:tr>
      <w:tr>
        <w:trPr>
          <w:trHeight w:val="299"/>
        </w:trPr>
        <w:tc>
          <w:tcPr>
            <w:tcW w:w="6740" w:type="dxa"/>
            <w:vAlign w:val="bottom"/>
          </w:tcPr>
          <w:p>
            <w:pPr>
              <w:ind w:left="180"/>
              <w:spacing w:after="0"/>
              <w:rPr>
                <w:sz w:val="20"/>
                <w:szCs w:val="20"/>
                <w:color w:val="auto"/>
              </w:rPr>
            </w:pPr>
            <w:r>
              <w:rPr>
                <w:rFonts w:ascii="Arial" w:cs="Arial" w:eastAsia="Arial" w:hAnsi="Arial"/>
                <w:sz w:val="19"/>
                <w:szCs w:val="19"/>
                <w:color w:val="auto"/>
              </w:rPr>
              <w:t>India</w:t>
            </w:r>
          </w:p>
        </w:tc>
        <w:tc>
          <w:tcPr>
            <w:tcW w:w="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9"/>
                <w:szCs w:val="19"/>
                <w:color w:val="auto"/>
              </w:rPr>
              <w:t>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302"/>
        </w:trPr>
        <w:tc>
          <w:tcPr>
            <w:tcW w:w="674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9"/>
                <w:szCs w:val="19"/>
                <w:color w:val="auto"/>
              </w:rPr>
              <w:t>All other foreign</w:t>
            </w:r>
          </w:p>
        </w:tc>
        <w:tc>
          <w:tcPr>
            <w:tcW w:w="700" w:type="dxa"/>
            <w:vAlign w:val="bottom"/>
            <w:tcBorders>
              <w:bottom w:val="single" w:sz="8" w:color="auto"/>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6</w:t>
            </w:r>
          </w:p>
        </w:tc>
        <w:tc>
          <w:tcPr>
            <w:tcW w:w="14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w:t>
            </w:r>
          </w:p>
        </w:tc>
        <w:tc>
          <w:tcPr>
            <w:tcW w:w="14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w:t>
            </w:r>
          </w:p>
        </w:tc>
      </w:tr>
      <w:tr>
        <w:trPr>
          <w:trHeight w:val="267"/>
        </w:trPr>
        <w:tc>
          <w:tcPr>
            <w:tcW w:w="6740" w:type="dxa"/>
            <w:vAlign w:val="bottom"/>
          </w:tcPr>
          <w:p>
            <w:pPr>
              <w:ind w:left="180"/>
              <w:spacing w:after="0"/>
              <w:rPr>
                <w:sz w:val="20"/>
                <w:szCs w:val="20"/>
                <w:color w:val="auto"/>
              </w:rPr>
            </w:pPr>
            <w:r>
              <w:rPr>
                <w:rFonts w:ascii="Arial" w:cs="Arial" w:eastAsia="Arial" w:hAnsi="Arial"/>
                <w:sz w:val="19"/>
                <w:szCs w:val="19"/>
                <w:color w:val="auto"/>
              </w:rPr>
              <w:t>Total</w:t>
            </w:r>
          </w:p>
        </w:tc>
        <w:tc>
          <w:tcPr>
            <w:tcW w:w="700" w:type="dxa"/>
            <w:vAlign w:val="bottom"/>
          </w:tcPr>
          <w:p>
            <w:pPr>
              <w:jc w:val="right"/>
              <w:ind w:right="463"/>
              <w:spacing w:after="0"/>
              <w:rPr>
                <w:sz w:val="20"/>
                <w:szCs w:val="20"/>
                <w:color w:val="auto"/>
              </w:rPr>
            </w:pPr>
            <w:r>
              <w:rPr>
                <w:rFonts w:ascii="Arial" w:cs="Arial" w:eastAsia="Arial" w:hAnsi="Arial"/>
                <w:sz w:val="19"/>
                <w:szCs w:val="19"/>
                <w:color w:val="auto"/>
              </w:rPr>
              <w:t>$</w:t>
            </w:r>
          </w:p>
        </w:tc>
        <w:tc>
          <w:tcPr>
            <w:tcW w:w="280" w:type="dxa"/>
            <w:vAlign w:val="bottom"/>
          </w:tcPr>
          <w:p>
            <w:pPr>
              <w:jc w:val="right"/>
              <w:spacing w:after="0"/>
              <w:rPr>
                <w:sz w:val="20"/>
                <w:szCs w:val="20"/>
                <w:color w:val="auto"/>
              </w:rPr>
            </w:pPr>
            <w:r>
              <w:rPr>
                <w:rFonts w:ascii="Arial" w:cs="Arial" w:eastAsia="Arial" w:hAnsi="Arial"/>
                <w:sz w:val="19"/>
                <w:szCs w:val="19"/>
                <w:color w:val="auto"/>
                <w:w w:val="84"/>
              </w:rPr>
              <w:t>62</w:t>
            </w:r>
          </w:p>
        </w:tc>
        <w:tc>
          <w:tcPr>
            <w:tcW w:w="36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88</w:t>
            </w:r>
          </w:p>
        </w:tc>
        <w:tc>
          <w:tcPr>
            <w:tcW w:w="3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0"/>
        </w:trPr>
        <w:tc>
          <w:tcPr>
            <w:tcW w:w="6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-1971040</wp:posOffset>
            </wp:positionV>
            <wp:extent cx="206756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77">
                      <a:extLst>
                        <a:ext uri="{28A0092B-C50C-407E-A947-70E740481C1C}"/>
                      </a:extLst>
                    </a:blip>
                    <a:srcRect/>
                    <a:stretch>
                      <a:fillRect/>
                    </a:stretch>
                  </pic:blipFill>
                  <pic:spPr bwMode="auto">
                    <a:xfrm>
                      <a:off x="0" y="0"/>
                      <a:ext cx="2067560" cy="25400"/>
                    </a:xfrm>
                    <a:prstGeom prst="rect">
                      <a:avLst/>
                    </a:prstGeom>
                    <a:noFill/>
                  </pic:spPr>
                </pic:pic>
              </a:graphicData>
            </a:graphic>
          </wp:anchor>
        </w:drawing>
        <w:drawing>
          <wp:anchor simplePos="0" relativeHeight="251657728" behindDoc="1" locked="0" layoutInCell="0" allowOverlap="1">
            <wp:simplePos x="0" y="0"/>
            <wp:positionH relativeFrom="column">
              <wp:posOffset>4267835</wp:posOffset>
            </wp:positionH>
            <wp:positionV relativeFrom="paragraph">
              <wp:posOffset>-224790</wp:posOffset>
            </wp:positionV>
            <wp:extent cx="206756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78">
                      <a:extLst>
                        <a:ext uri="{28A0092B-C50C-407E-A947-70E740481C1C}"/>
                      </a:extLst>
                    </a:blip>
                    <a:srcRect/>
                    <a:stretch>
                      <a:fillRect/>
                    </a:stretch>
                  </pic:blipFill>
                  <pic:spPr bwMode="auto">
                    <a:xfrm>
                      <a:off x="0" y="0"/>
                      <a:ext cx="2067560" cy="25400"/>
                    </a:xfrm>
                    <a:prstGeom prst="rect">
                      <a:avLst/>
                    </a:prstGeom>
                    <a:noFill/>
                  </pic:spPr>
                </pic:pic>
              </a:graphicData>
            </a:graphic>
          </wp:anchor>
        </w:drawing>
      </w:r>
    </w:p>
    <w:p>
      <w:pPr>
        <w:sectPr>
          <w:pgSz w:w="11880" w:h="15480" w:orient="portrait"/>
          <w:cols w:equalWidth="0" w:num="1">
            <w:col w:w="9960"/>
          </w:cols>
          <w:pgMar w:left="960" w:top="586"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9960"/>
          </w:cols>
          <w:pgMar w:left="960" w:top="586" w:right="960" w:bottom="33" w:gutter="0" w:footer="0" w:header="0"/>
          <w:type w:val="continuous"/>
        </w:sectPr>
      </w:pPr>
    </w:p>
    <w:bookmarkStart w:id="79" w:name="page80"/>
    <w:bookmarkEnd w:id="79"/>
    <w:p>
      <w:pPr>
        <w:ind w:right="100"/>
        <w:spacing w:after="0" w:line="294" w:lineRule="auto"/>
        <w:rPr>
          <w:sz w:val="20"/>
          <w:szCs w:val="20"/>
          <w:color w:val="auto"/>
        </w:rPr>
      </w:pPr>
      <w:r>
        <w:rPr>
          <w:rFonts w:ascii="Arial" w:cs="Arial" w:eastAsia="Arial" w:hAnsi="Arial"/>
          <w:sz w:val="19"/>
          <w:szCs w:val="19"/>
          <w:color w:val="auto"/>
        </w:rPr>
        <w:t>Temporary differences and carryforwards that give rise to deferred tax assets and liabilities as of December 31 were as follows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2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b w:val="1"/>
                <w:bCs w:val="1"/>
                <w:color w:val="auto"/>
              </w:rPr>
              <w:t>UAL</w:t>
            </w:r>
          </w:p>
        </w:tc>
        <w:tc>
          <w:tcPr>
            <w:tcW w:w="6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b w:val="1"/>
                <w:bCs w:val="1"/>
                <w:color w:val="auto"/>
              </w:rPr>
              <w:t>United</w:t>
            </w:r>
          </w:p>
        </w:tc>
        <w:tc>
          <w:tcPr>
            <w:tcW w:w="6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62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9"/>
                <w:szCs w:val="19"/>
                <w:b w:val="1"/>
                <w:bCs w:val="1"/>
                <w:color w:val="auto"/>
                <w:w w:val="99"/>
              </w:rPr>
              <w:t>2025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19"/>
                <w:szCs w:val="19"/>
                <w:b w:val="1"/>
                <w:bCs w:val="1"/>
                <w:color w:val="auto"/>
                <w:w w:val="94"/>
              </w:rPr>
              <w:t>2024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9"/>
                <w:szCs w:val="19"/>
                <w:b w:val="1"/>
                <w:bCs w:val="1"/>
                <w:color w:val="auto"/>
                <w:w w:val="99"/>
              </w:rPr>
              <w:t>2025</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3"/>
              <w:spacing w:after="0"/>
              <w:rPr>
                <w:sz w:val="20"/>
                <w:szCs w:val="20"/>
                <w:color w:val="auto"/>
              </w:rPr>
            </w:pPr>
            <w:r>
              <w:rPr>
                <w:rFonts w:ascii="Arial" w:cs="Arial" w:eastAsia="Arial" w:hAnsi="Arial"/>
                <w:sz w:val="19"/>
                <w:szCs w:val="19"/>
                <w:b w:val="1"/>
                <w:bCs w:val="1"/>
                <w:color w:val="auto"/>
                <w:w w:val="89"/>
              </w:rPr>
              <w:t>2024</w:t>
            </w:r>
          </w:p>
        </w:tc>
        <w:tc>
          <w:tcPr>
            <w:tcW w:w="20" w:type="dxa"/>
            <w:vAlign w:val="bottom"/>
            <w:tcBorders>
              <w:bottom w:val="single" w:sz="8" w:color="auto"/>
            </w:tcBorders>
          </w:tcPr>
          <w:p>
            <w:pPr>
              <w:spacing w:after="0"/>
              <w:rPr>
                <w:sz w:val="22"/>
                <w:szCs w:val="22"/>
                <w:color w:val="auto"/>
              </w:rPr>
            </w:pPr>
          </w:p>
        </w:tc>
      </w:tr>
      <w:tr>
        <w:trPr>
          <w:trHeight w:val="243"/>
        </w:trPr>
        <w:tc>
          <w:tcPr>
            <w:tcW w:w="6200" w:type="dxa"/>
            <w:vAlign w:val="bottom"/>
          </w:tcPr>
          <w:p>
            <w:pPr>
              <w:ind w:left="60"/>
              <w:spacing w:after="0"/>
              <w:rPr>
                <w:sz w:val="20"/>
                <w:szCs w:val="20"/>
                <w:color w:val="auto"/>
              </w:rPr>
            </w:pPr>
            <w:r>
              <w:rPr>
                <w:rFonts w:ascii="Arial" w:cs="Arial" w:eastAsia="Arial" w:hAnsi="Arial"/>
                <w:sz w:val="19"/>
                <w:szCs w:val="19"/>
                <w:color w:val="auto"/>
              </w:rPr>
              <w:t>Deferred income tax asset (liability):</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1"/>
        </w:trPr>
        <w:tc>
          <w:tcPr>
            <w:tcW w:w="6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Federal and state net operating loss ("NOL") carryforwards</w:t>
            </w:r>
          </w:p>
        </w:tc>
        <w:tc>
          <w:tcPr>
            <w:tcW w:w="20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2,326</w:t>
            </w:r>
          </w:p>
        </w:tc>
        <w:tc>
          <w:tcPr>
            <w:tcW w:w="28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2,149</w:t>
            </w:r>
          </w:p>
        </w:tc>
        <w:tc>
          <w:tcPr>
            <w:tcW w:w="26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2,298</w:t>
            </w:r>
          </w:p>
        </w:tc>
        <w:tc>
          <w:tcPr>
            <w:tcW w:w="320" w:type="dxa"/>
            <w:vAlign w:val="bottom"/>
            <w:tcBorders>
              <w:bottom w:val="single" w:sz="8" w:color="E6E6E6"/>
            </w:tcBorders>
            <w:gridSpan w:val="3"/>
            <w:shd w:val="clear" w:color="auto" w:fill="E6E6E6"/>
          </w:tcPr>
          <w:p>
            <w:pPr>
              <w:jc w:val="right"/>
              <w:ind w:right="3"/>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2,119</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54"/>
        </w:trPr>
        <w:tc>
          <w:tcPr>
            <w:tcW w:w="6200" w:type="dxa"/>
            <w:vAlign w:val="bottom"/>
          </w:tcPr>
          <w:p>
            <w:pPr>
              <w:ind w:left="60"/>
              <w:spacing w:after="0"/>
              <w:rPr>
                <w:sz w:val="20"/>
                <w:szCs w:val="20"/>
                <w:color w:val="auto"/>
              </w:rPr>
            </w:pPr>
            <w:r>
              <w:rPr>
                <w:rFonts w:ascii="Arial" w:cs="Arial" w:eastAsia="Arial" w:hAnsi="Arial"/>
                <w:sz w:val="19"/>
                <w:szCs w:val="19"/>
                <w:color w:val="auto"/>
              </w:rPr>
              <w:t>Deferred revenue</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1,894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1,865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1,894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1,865</w:t>
            </w:r>
          </w:p>
        </w:tc>
        <w:tc>
          <w:tcPr>
            <w:tcW w:w="20" w:type="dxa"/>
            <w:vAlign w:val="bottom"/>
          </w:tcPr>
          <w:p>
            <w:pPr>
              <w:spacing w:after="0"/>
              <w:rPr>
                <w:sz w:val="22"/>
                <w:szCs w:val="22"/>
                <w:color w:val="auto"/>
              </w:rPr>
            </w:pPr>
          </w:p>
        </w:tc>
      </w:tr>
      <w:tr>
        <w:trPr>
          <w:trHeight w:val="23"/>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1"/>
        </w:trPr>
        <w:tc>
          <w:tcPr>
            <w:tcW w:w="6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Operating lease liabilities</w:t>
            </w:r>
          </w:p>
        </w:tc>
        <w:tc>
          <w:tcPr>
            <w:tcW w:w="2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1,349</w:t>
            </w:r>
          </w:p>
        </w:tc>
        <w:tc>
          <w:tcPr>
            <w:tcW w:w="20" w:type="dxa"/>
            <w:vAlign w:val="bottom"/>
            <w:tcBorders>
              <w:bottom w:val="single" w:sz="8" w:color="E6E6E6"/>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E6E6E6"/>
            </w:tcBorders>
            <w:shd w:val="clear" w:color="auto" w:fill="E6E6E6"/>
          </w:tcPr>
          <w:p>
            <w:pPr>
              <w:spacing w:after="0"/>
              <w:rPr>
                <w:sz w:val="23"/>
                <w:szCs w:val="23"/>
                <w:color w:val="auto"/>
              </w:rPr>
            </w:pPr>
          </w:p>
        </w:tc>
        <w:tc>
          <w:tcPr>
            <w:tcW w:w="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1,110</w:t>
            </w:r>
          </w:p>
        </w:tc>
        <w:tc>
          <w:tcPr>
            <w:tcW w:w="2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1,349</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E6E6E6"/>
            </w:tcBorders>
            <w:shd w:val="clear" w:color="auto" w:fill="E6E6E6"/>
          </w:tcPr>
          <w:p>
            <w:pPr>
              <w:spacing w:after="0"/>
              <w:rPr>
                <w:sz w:val="23"/>
                <w:szCs w:val="23"/>
                <w:color w:val="auto"/>
              </w:rPr>
            </w:pPr>
          </w:p>
        </w:tc>
        <w:tc>
          <w:tcPr>
            <w:tcW w:w="6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1,110</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54"/>
        </w:trPr>
        <w:tc>
          <w:tcPr>
            <w:tcW w:w="6200" w:type="dxa"/>
            <w:vAlign w:val="bottom"/>
          </w:tcPr>
          <w:p>
            <w:pPr>
              <w:ind w:left="60"/>
              <w:spacing w:after="0"/>
              <w:rPr>
                <w:sz w:val="20"/>
                <w:szCs w:val="20"/>
                <w:color w:val="auto"/>
              </w:rPr>
            </w:pPr>
            <w:r>
              <w:rPr>
                <w:rFonts w:ascii="Arial" w:cs="Arial" w:eastAsia="Arial" w:hAnsi="Arial"/>
                <w:sz w:val="19"/>
                <w:szCs w:val="19"/>
                <w:color w:val="auto"/>
              </w:rPr>
              <w:t>Employee benefits, including pension, postretirement and medical</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701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608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701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608</w:t>
            </w:r>
          </w:p>
        </w:tc>
        <w:tc>
          <w:tcPr>
            <w:tcW w:w="20" w:type="dxa"/>
            <w:vAlign w:val="bottom"/>
          </w:tcPr>
          <w:p>
            <w:pPr>
              <w:spacing w:after="0"/>
              <w:rPr>
                <w:sz w:val="22"/>
                <w:szCs w:val="22"/>
                <w:color w:val="auto"/>
              </w:rPr>
            </w:pPr>
          </w:p>
        </w:tc>
      </w:tr>
      <w:tr>
        <w:trPr>
          <w:trHeight w:val="23"/>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6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Other financial liabilities</w:t>
            </w:r>
          </w:p>
        </w:tc>
        <w:tc>
          <w:tcPr>
            <w:tcW w:w="2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478</w:t>
            </w:r>
          </w:p>
        </w:tc>
        <w:tc>
          <w:tcPr>
            <w:tcW w:w="20" w:type="dxa"/>
            <w:vAlign w:val="bottom"/>
            <w:tcBorders>
              <w:bottom w:val="single" w:sz="8" w:color="E6E6E6"/>
            </w:tcBorders>
            <w:shd w:val="clear" w:color="auto" w:fill="E6E6E6"/>
          </w:tcPr>
          <w:p>
            <w:pPr>
              <w:spacing w:after="0"/>
              <w:rPr>
                <w:sz w:val="22"/>
                <w:szCs w:val="22"/>
                <w:color w:val="auto"/>
              </w:rPr>
            </w:pPr>
          </w:p>
        </w:tc>
        <w:tc>
          <w:tcPr>
            <w:tcW w:w="4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E6E6E6"/>
            </w:tcBorders>
            <w:shd w:val="clear" w:color="auto" w:fill="E6E6E6"/>
          </w:tcPr>
          <w:p>
            <w:pPr>
              <w:spacing w:after="0"/>
              <w:rPr>
                <w:sz w:val="22"/>
                <w:szCs w:val="22"/>
                <w:color w:val="auto"/>
              </w:rPr>
            </w:pPr>
          </w:p>
        </w:tc>
        <w:tc>
          <w:tcPr>
            <w:tcW w:w="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517</w:t>
            </w:r>
          </w:p>
        </w:tc>
        <w:tc>
          <w:tcPr>
            <w:tcW w:w="20" w:type="dxa"/>
            <w:vAlign w:val="bottom"/>
            <w:tcBorders>
              <w:bottom w:val="single" w:sz="8" w:color="E6E6E6"/>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478</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E6E6E6"/>
            </w:tcBorders>
            <w:shd w:val="clear" w:color="auto" w:fill="E6E6E6"/>
          </w:tcPr>
          <w:p>
            <w:pPr>
              <w:spacing w:after="0"/>
              <w:rPr>
                <w:sz w:val="22"/>
                <w:szCs w:val="22"/>
                <w:color w:val="auto"/>
              </w:rPr>
            </w:pPr>
          </w:p>
        </w:tc>
        <w:tc>
          <w:tcPr>
            <w:tcW w:w="6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517</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54"/>
        </w:trPr>
        <w:tc>
          <w:tcPr>
            <w:tcW w:w="6200" w:type="dxa"/>
            <w:vAlign w:val="bottom"/>
          </w:tcPr>
          <w:p>
            <w:pPr>
              <w:ind w:left="60"/>
              <w:spacing w:after="0"/>
              <w:rPr>
                <w:sz w:val="20"/>
                <w:szCs w:val="20"/>
                <w:color w:val="auto"/>
              </w:rPr>
            </w:pPr>
            <w:r>
              <w:rPr>
                <w:rFonts w:ascii="Arial" w:cs="Arial" w:eastAsia="Arial" w:hAnsi="Arial"/>
                <w:sz w:val="19"/>
                <w:szCs w:val="19"/>
                <w:color w:val="auto"/>
              </w:rPr>
              <w:t>Interest expense carryforward</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109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467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109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467</w:t>
            </w:r>
          </w:p>
        </w:tc>
        <w:tc>
          <w:tcPr>
            <w:tcW w:w="20" w:type="dxa"/>
            <w:vAlign w:val="bottom"/>
          </w:tcPr>
          <w:p>
            <w:pPr>
              <w:spacing w:after="0"/>
              <w:rPr>
                <w:sz w:val="22"/>
                <w:szCs w:val="22"/>
                <w:color w:val="auto"/>
              </w:rPr>
            </w:pPr>
          </w:p>
        </w:tc>
      </w:tr>
      <w:tr>
        <w:trPr>
          <w:trHeight w:val="23"/>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6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Other</w:t>
            </w:r>
          </w:p>
        </w:tc>
        <w:tc>
          <w:tcPr>
            <w:tcW w:w="2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377</w:t>
            </w:r>
          </w:p>
        </w:tc>
        <w:tc>
          <w:tcPr>
            <w:tcW w:w="20" w:type="dxa"/>
            <w:vAlign w:val="bottom"/>
            <w:tcBorders>
              <w:bottom w:val="single" w:sz="8" w:color="E6E6E6"/>
            </w:tcBorders>
            <w:shd w:val="clear" w:color="auto" w:fill="E6E6E6"/>
          </w:tcPr>
          <w:p>
            <w:pPr>
              <w:spacing w:after="0"/>
              <w:rPr>
                <w:sz w:val="22"/>
                <w:szCs w:val="22"/>
                <w:color w:val="auto"/>
              </w:rPr>
            </w:pPr>
          </w:p>
        </w:tc>
        <w:tc>
          <w:tcPr>
            <w:tcW w:w="4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E6E6E6"/>
            </w:tcBorders>
            <w:shd w:val="clear" w:color="auto" w:fill="E6E6E6"/>
          </w:tcPr>
          <w:p>
            <w:pPr>
              <w:spacing w:after="0"/>
              <w:rPr>
                <w:sz w:val="22"/>
                <w:szCs w:val="22"/>
                <w:color w:val="auto"/>
              </w:rPr>
            </w:pPr>
          </w:p>
        </w:tc>
        <w:tc>
          <w:tcPr>
            <w:tcW w:w="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565</w:t>
            </w:r>
          </w:p>
        </w:tc>
        <w:tc>
          <w:tcPr>
            <w:tcW w:w="20" w:type="dxa"/>
            <w:vAlign w:val="bottom"/>
            <w:tcBorders>
              <w:bottom w:val="single" w:sz="8" w:color="E6E6E6"/>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375</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E6E6E6"/>
            </w:tcBorders>
            <w:shd w:val="clear" w:color="auto" w:fill="E6E6E6"/>
          </w:tcPr>
          <w:p>
            <w:pPr>
              <w:spacing w:after="0"/>
              <w:rPr>
                <w:sz w:val="22"/>
                <w:szCs w:val="22"/>
                <w:color w:val="auto"/>
              </w:rPr>
            </w:pPr>
          </w:p>
        </w:tc>
        <w:tc>
          <w:tcPr>
            <w:tcW w:w="6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565</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66"/>
        </w:trPr>
        <w:tc>
          <w:tcPr>
            <w:tcW w:w="6200" w:type="dxa"/>
            <w:vAlign w:val="bottom"/>
            <w:tcBorders>
              <w:bottom w:val="single" w:sz="8" w:color="E6E6E6"/>
            </w:tcBorders>
          </w:tcPr>
          <w:p>
            <w:pPr>
              <w:ind w:left="540"/>
              <w:spacing w:after="0"/>
              <w:rPr>
                <w:sz w:val="20"/>
                <w:szCs w:val="20"/>
                <w:color w:val="auto"/>
              </w:rPr>
            </w:pPr>
            <w:r>
              <w:rPr>
                <w:rFonts w:ascii="Arial" w:cs="Arial" w:eastAsia="Arial" w:hAnsi="Arial"/>
                <w:sz w:val="19"/>
                <w:szCs w:val="19"/>
                <w:color w:val="auto"/>
              </w:rPr>
              <w:t>Less: Valuation allowance</w:t>
            </w: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(151)</w:t>
            </w:r>
          </w:p>
        </w:tc>
        <w:tc>
          <w:tcPr>
            <w:tcW w:w="20" w:type="dxa"/>
            <w:vAlign w:val="bottom"/>
            <w:tcBorders>
              <w:bottom w:val="single" w:sz="8" w:color="E6E6E6"/>
            </w:tcBorders>
          </w:tcPr>
          <w:p>
            <w:pPr>
              <w:spacing w:after="0"/>
              <w:rPr>
                <w:sz w:val="23"/>
                <w:szCs w:val="23"/>
                <w:color w:val="auto"/>
              </w:rPr>
            </w:pPr>
          </w:p>
        </w:tc>
        <w:tc>
          <w:tcPr>
            <w:tcW w:w="4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(208)</w:t>
            </w:r>
          </w:p>
        </w:tc>
        <w:tc>
          <w:tcPr>
            <w:tcW w:w="20" w:type="dxa"/>
            <w:vAlign w:val="bottom"/>
            <w:tcBorders>
              <w:bottom w:val="single" w:sz="8" w:color="E6E6E6"/>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(151)</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(208)</w:t>
            </w:r>
          </w:p>
        </w:tc>
        <w:tc>
          <w:tcPr>
            <w:tcW w:w="20" w:type="dxa"/>
            <w:vAlign w:val="bottom"/>
            <w:tcBorders>
              <w:bottom w:val="single" w:sz="8" w:color="auto"/>
            </w:tcBorders>
          </w:tcPr>
          <w:p>
            <w:pPr>
              <w:spacing w:after="0"/>
              <w:rPr>
                <w:sz w:val="23"/>
                <w:szCs w:val="23"/>
                <w:color w:val="auto"/>
              </w:rPr>
            </w:pPr>
          </w:p>
        </w:tc>
      </w:tr>
      <w:tr>
        <w:trPr>
          <w:trHeight w:val="276"/>
        </w:trPr>
        <w:tc>
          <w:tcPr>
            <w:tcW w:w="6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Total deferred tax assets</w:t>
            </w:r>
          </w:p>
        </w:tc>
        <w:tc>
          <w:tcPr>
            <w:tcW w:w="20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7,083</w:t>
            </w:r>
          </w:p>
        </w:tc>
        <w:tc>
          <w:tcPr>
            <w:tcW w:w="20" w:type="dxa"/>
            <w:vAlign w:val="bottom"/>
            <w:tcBorders>
              <w:bottom w:val="single" w:sz="8" w:color="E6E6E6"/>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7,073</w:t>
            </w:r>
          </w:p>
        </w:tc>
        <w:tc>
          <w:tcPr>
            <w:tcW w:w="2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7,053</w:t>
            </w:r>
          </w:p>
        </w:tc>
        <w:tc>
          <w:tcPr>
            <w:tcW w:w="8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gridSpan w:val="2"/>
            <w:shd w:val="clear" w:color="auto" w:fill="E6E6E6"/>
          </w:tcPr>
          <w:p>
            <w:pPr>
              <w:jc w:val="right"/>
              <w:ind w:right="3"/>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7,043</w:t>
            </w:r>
          </w:p>
        </w:tc>
        <w:tc>
          <w:tcPr>
            <w:tcW w:w="20" w:type="dxa"/>
            <w:vAlign w:val="bottom"/>
            <w:tcBorders>
              <w:bottom w:val="single" w:sz="8" w:color="auto"/>
            </w:tcBorders>
            <w:shd w:val="clear" w:color="auto" w:fill="E6E6E6"/>
          </w:tcPr>
          <w:p>
            <w:pPr>
              <w:spacing w:after="0"/>
              <w:rPr>
                <w:sz w:val="23"/>
                <w:szCs w:val="23"/>
                <w:color w:val="auto"/>
              </w:rPr>
            </w:pPr>
          </w:p>
        </w:tc>
      </w:tr>
      <w:tr>
        <w:trPr>
          <w:trHeight w:val="247"/>
        </w:trPr>
        <w:tc>
          <w:tcPr>
            <w:tcW w:w="6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1"/>
        </w:trPr>
        <w:tc>
          <w:tcPr>
            <w:tcW w:w="6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Depreciation</w:t>
            </w:r>
          </w:p>
        </w:tc>
        <w:tc>
          <w:tcPr>
            <w:tcW w:w="20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(7,814)</w:t>
            </w:r>
          </w:p>
        </w:tc>
        <w:tc>
          <w:tcPr>
            <w:tcW w:w="28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(7,171)</w:t>
            </w:r>
          </w:p>
        </w:tc>
        <w:tc>
          <w:tcPr>
            <w:tcW w:w="26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(7,814)</w:t>
            </w:r>
          </w:p>
        </w:tc>
        <w:tc>
          <w:tcPr>
            <w:tcW w:w="320" w:type="dxa"/>
            <w:vAlign w:val="bottom"/>
            <w:tcBorders>
              <w:bottom w:val="single" w:sz="8" w:color="E6E6E6"/>
            </w:tcBorders>
            <w:gridSpan w:val="3"/>
            <w:shd w:val="clear" w:color="auto" w:fill="E6E6E6"/>
          </w:tcPr>
          <w:p>
            <w:pPr>
              <w:jc w:val="right"/>
              <w:ind w:right="3"/>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w w:val="99"/>
              </w:rPr>
              <w:t>(7,171)</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68"/>
        </w:trPr>
        <w:tc>
          <w:tcPr>
            <w:tcW w:w="6200" w:type="dxa"/>
            <w:vAlign w:val="bottom"/>
          </w:tcPr>
          <w:p>
            <w:pPr>
              <w:ind w:left="60"/>
              <w:spacing w:after="0"/>
              <w:rPr>
                <w:sz w:val="20"/>
                <w:szCs w:val="20"/>
                <w:color w:val="auto"/>
              </w:rPr>
            </w:pPr>
            <w:r>
              <w:rPr>
                <w:rFonts w:ascii="Arial" w:cs="Arial" w:eastAsia="Arial" w:hAnsi="Arial"/>
                <w:sz w:val="19"/>
                <w:szCs w:val="19"/>
                <w:color w:val="auto"/>
              </w:rPr>
              <w:t>Operating lease right-of-use asset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(1,116)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(863)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(1,116)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(863)</w:t>
            </w:r>
          </w:p>
        </w:tc>
        <w:tc>
          <w:tcPr>
            <w:tcW w:w="20" w:type="dxa"/>
            <w:vAlign w:val="bottom"/>
          </w:tcPr>
          <w:p>
            <w:pPr>
              <w:spacing w:after="0"/>
              <w:rPr>
                <w:sz w:val="23"/>
                <w:szCs w:val="23"/>
                <w:color w:val="auto"/>
              </w:rPr>
            </w:pPr>
          </w:p>
        </w:tc>
      </w:tr>
      <w:tr>
        <w:trPr>
          <w:trHeight w:val="37"/>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21"/>
        </w:trPr>
        <w:tc>
          <w:tcPr>
            <w:tcW w:w="6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Intangible assets</w:t>
            </w:r>
          </w:p>
        </w:tc>
        <w:tc>
          <w:tcPr>
            <w:tcW w:w="2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(616)</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(619)</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(616)</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6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(619)</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55"/>
        </w:trPr>
        <w:tc>
          <w:tcPr>
            <w:tcW w:w="6200" w:type="dxa"/>
            <w:vAlign w:val="bottom"/>
            <w:tcBorders>
              <w:top w:val="single" w:sz="8" w:color="E6E6E6"/>
            </w:tcBorders>
          </w:tcPr>
          <w:p>
            <w:pPr>
              <w:ind w:left="60"/>
              <w:spacing w:after="0" w:line="217" w:lineRule="exact"/>
              <w:rPr>
                <w:sz w:val="20"/>
                <w:szCs w:val="20"/>
                <w:color w:val="auto"/>
              </w:rPr>
            </w:pPr>
            <w:r>
              <w:rPr>
                <w:rFonts w:ascii="Arial" w:cs="Arial" w:eastAsia="Arial" w:hAnsi="Arial"/>
                <w:sz w:val="19"/>
                <w:szCs w:val="19"/>
                <w:color w:val="auto"/>
              </w:rPr>
              <w:t>Total deferred tax liabilities</w:t>
            </w:r>
          </w:p>
        </w:tc>
        <w:tc>
          <w:tcPr>
            <w:tcW w:w="200" w:type="dxa"/>
            <w:vAlign w:val="bottom"/>
            <w:tcBorders>
              <w:top w:val="single" w:sz="8" w:color="auto"/>
            </w:tcBorders>
            <w:gridSpan w:val="2"/>
          </w:tcPr>
          <w:p>
            <w:pPr>
              <w:jc w:val="right"/>
              <w:spacing w:after="0" w:line="217" w:lineRule="exact"/>
              <w:rPr>
                <w:sz w:val="20"/>
                <w:szCs w:val="20"/>
                <w:color w:val="auto"/>
              </w:rPr>
            </w:pPr>
            <w:r>
              <w:rPr>
                <w:rFonts w:ascii="Arial" w:cs="Arial" w:eastAsia="Arial" w:hAnsi="Arial"/>
                <w:sz w:val="19"/>
                <w:szCs w:val="19"/>
                <w:color w:val="auto"/>
              </w:rPr>
              <w:t>$</w:t>
            </w:r>
          </w:p>
        </w:tc>
        <w:tc>
          <w:tcPr>
            <w:tcW w:w="68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19"/>
                <w:szCs w:val="19"/>
                <w:color w:val="auto"/>
              </w:rPr>
              <w:t>(9,546)</w:t>
            </w: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E6E6E6"/>
            </w:tcBorders>
          </w:tcPr>
          <w:p>
            <w:pPr>
              <w:spacing w:after="0"/>
              <w:rPr>
                <w:sz w:val="22"/>
                <w:szCs w:val="22"/>
                <w:color w:val="auto"/>
              </w:rPr>
            </w:pPr>
          </w:p>
        </w:tc>
        <w:tc>
          <w:tcPr>
            <w:tcW w:w="22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19"/>
                <w:szCs w:val="19"/>
                <w:color w:val="auto"/>
              </w:rPr>
              <w:t>$</w:t>
            </w:r>
          </w:p>
        </w:tc>
        <w:tc>
          <w:tcPr>
            <w:tcW w:w="66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19"/>
                <w:szCs w:val="19"/>
                <w:color w:val="auto"/>
              </w:rPr>
              <w:t>(8,653)</w:t>
            </w:r>
          </w:p>
        </w:tc>
        <w:tc>
          <w:tcPr>
            <w:tcW w:w="20" w:type="dxa"/>
            <w:vAlign w:val="bottom"/>
            <w:tcBorders>
              <w:top w:val="single" w:sz="8" w:color="E6E6E6"/>
            </w:tcBorders>
          </w:tcPr>
          <w:p>
            <w:pPr>
              <w:spacing w:after="0"/>
              <w:rPr>
                <w:sz w:val="22"/>
                <w:szCs w:val="22"/>
                <w:color w:val="auto"/>
              </w:rPr>
            </w:pPr>
          </w:p>
        </w:tc>
        <w:tc>
          <w:tcPr>
            <w:tcW w:w="60" w:type="dxa"/>
            <w:vAlign w:val="bottom"/>
            <w:tcBorders>
              <w:top w:val="single" w:sz="8" w:color="E6E6E6"/>
            </w:tcBorders>
          </w:tcPr>
          <w:p>
            <w:pPr>
              <w:spacing w:after="0"/>
              <w:rPr>
                <w:sz w:val="22"/>
                <w:szCs w:val="22"/>
                <w:color w:val="auto"/>
              </w:rPr>
            </w:pPr>
          </w:p>
        </w:tc>
        <w:tc>
          <w:tcPr>
            <w:tcW w:w="18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19"/>
                <w:szCs w:val="19"/>
                <w:color w:val="auto"/>
              </w:rPr>
              <w:t>$</w:t>
            </w:r>
          </w:p>
        </w:tc>
        <w:tc>
          <w:tcPr>
            <w:tcW w:w="68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19"/>
                <w:szCs w:val="19"/>
                <w:color w:val="auto"/>
              </w:rPr>
              <w:t>(9,546)</w:t>
            </w:r>
          </w:p>
        </w:tc>
        <w:tc>
          <w:tcPr>
            <w:tcW w:w="100" w:type="dxa"/>
            <w:vAlign w:val="bottom"/>
            <w:tcBorders>
              <w:top w:val="single" w:sz="8" w:color="E6E6E6"/>
            </w:tcBorders>
            <w:gridSpan w:val="2"/>
          </w:tcPr>
          <w:p>
            <w:pPr>
              <w:spacing w:after="0"/>
              <w:rPr>
                <w:sz w:val="22"/>
                <w:szCs w:val="22"/>
                <w:color w:val="auto"/>
              </w:rPr>
            </w:pPr>
          </w:p>
        </w:tc>
        <w:tc>
          <w:tcPr>
            <w:tcW w:w="220" w:type="dxa"/>
            <w:vAlign w:val="bottom"/>
            <w:tcBorders>
              <w:top w:val="single" w:sz="8" w:color="auto"/>
            </w:tcBorders>
          </w:tcPr>
          <w:p>
            <w:pPr>
              <w:jc w:val="right"/>
              <w:ind w:right="3"/>
              <w:spacing w:after="0" w:line="217" w:lineRule="exact"/>
              <w:rPr>
                <w:sz w:val="20"/>
                <w:szCs w:val="20"/>
                <w:color w:val="auto"/>
              </w:rPr>
            </w:pPr>
            <w:r>
              <w:rPr>
                <w:rFonts w:ascii="Arial" w:cs="Arial" w:eastAsia="Arial" w:hAnsi="Arial"/>
                <w:sz w:val="19"/>
                <w:szCs w:val="19"/>
                <w:color w:val="auto"/>
                <w:w w:val="94"/>
              </w:rPr>
              <w:t>$</w:t>
            </w:r>
          </w:p>
        </w:tc>
        <w:tc>
          <w:tcPr>
            <w:tcW w:w="64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19"/>
                <w:szCs w:val="19"/>
                <w:color w:val="auto"/>
                <w:w w:val="99"/>
              </w:rPr>
              <w:t>(8,653)</w:t>
            </w:r>
          </w:p>
        </w:tc>
        <w:tc>
          <w:tcPr>
            <w:tcW w:w="20" w:type="dxa"/>
            <w:vAlign w:val="bottom"/>
            <w:tcBorders>
              <w:top w:val="single" w:sz="8" w:color="auto"/>
            </w:tcBorders>
          </w:tcPr>
          <w:p>
            <w:pPr>
              <w:spacing w:after="0"/>
              <w:rPr>
                <w:sz w:val="22"/>
                <w:szCs w:val="22"/>
                <w:color w:val="auto"/>
              </w:rPr>
            </w:pPr>
          </w:p>
        </w:tc>
      </w:tr>
      <w:tr>
        <w:trPr>
          <w:trHeight w:val="286"/>
        </w:trPr>
        <w:tc>
          <w:tcPr>
            <w:tcW w:w="620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Net deferred tax asset (liability)</w:t>
            </w: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1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(2,463)</w:t>
            </w: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40" w:type="dxa"/>
            <w:vAlign w:val="bottom"/>
            <w:tcBorders>
              <w:top w:val="single" w:sz="8" w:color="E6E6E6"/>
              <w:bottom w:val="single" w:sz="8" w:color="E6E6E6"/>
            </w:tcBorders>
            <w:shd w:val="clear" w:color="auto" w:fill="E6E6E6"/>
          </w:tcPr>
          <w:p>
            <w:pPr>
              <w:spacing w:after="0"/>
              <w:rPr>
                <w:sz w:val="24"/>
                <w:szCs w:val="24"/>
                <w:color w:val="auto"/>
              </w:rPr>
            </w:pPr>
          </w:p>
        </w:tc>
        <w:tc>
          <w:tcPr>
            <w:tcW w:w="2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(1,580)</w:t>
            </w: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60" w:type="dxa"/>
            <w:vAlign w:val="bottom"/>
            <w:tcBorders>
              <w:top w:val="single" w:sz="8" w:color="E6E6E6"/>
              <w:bottom w:val="single" w:sz="8" w:color="E6E6E6"/>
            </w:tcBorders>
            <w:shd w:val="clear" w:color="auto" w:fill="E6E6E6"/>
          </w:tcPr>
          <w:p>
            <w:pPr>
              <w:spacing w:after="0"/>
              <w:rPr>
                <w:sz w:val="24"/>
                <w:szCs w:val="24"/>
                <w:color w:val="auto"/>
              </w:rPr>
            </w:pPr>
          </w:p>
        </w:tc>
        <w:tc>
          <w:tcPr>
            <w:tcW w:w="1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(2,493)</w:t>
            </w:r>
          </w:p>
        </w:tc>
        <w:tc>
          <w:tcPr>
            <w:tcW w:w="100" w:type="dxa"/>
            <w:vAlign w:val="bottom"/>
            <w:tcBorders>
              <w:top w:val="single" w:sz="8" w:color="E6E6E6"/>
              <w:bottom w:val="single" w:sz="8" w:color="E6E6E6"/>
            </w:tcBorders>
            <w:gridSpan w:val="2"/>
            <w:shd w:val="clear" w:color="auto" w:fill="E6E6E6"/>
          </w:tcPr>
          <w:p>
            <w:pPr>
              <w:spacing w:after="0"/>
              <w:rPr>
                <w:sz w:val="24"/>
                <w:szCs w:val="24"/>
                <w:color w:val="auto"/>
              </w:rPr>
            </w:pPr>
          </w:p>
        </w:tc>
        <w:tc>
          <w:tcPr>
            <w:tcW w:w="220" w:type="dxa"/>
            <w:vAlign w:val="bottom"/>
            <w:tcBorders>
              <w:top w:val="single" w:sz="8" w:color="auto"/>
              <w:bottom w:val="single" w:sz="8" w:color="auto"/>
            </w:tcBorders>
            <w:shd w:val="clear" w:color="auto" w:fill="E6E6E6"/>
          </w:tcPr>
          <w:p>
            <w:pPr>
              <w:jc w:val="right"/>
              <w:ind w:right="3"/>
              <w:spacing w:after="0"/>
              <w:rPr>
                <w:sz w:val="20"/>
                <w:szCs w:val="20"/>
                <w:color w:val="auto"/>
              </w:rPr>
            </w:pPr>
            <w:r>
              <w:rPr>
                <w:rFonts w:ascii="Arial" w:cs="Arial" w:eastAsia="Arial" w:hAnsi="Arial"/>
                <w:sz w:val="19"/>
                <w:szCs w:val="19"/>
                <w:color w:val="auto"/>
                <w:w w:val="94"/>
              </w:rPr>
              <w:t>$</w:t>
            </w:r>
          </w:p>
        </w:tc>
        <w:tc>
          <w:tcPr>
            <w:tcW w:w="6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9"/>
              </w:rPr>
              <w:t>(1,610)</w:t>
            </w:r>
          </w:p>
        </w:tc>
        <w:tc>
          <w:tcPr>
            <w:tcW w:w="20" w:type="dxa"/>
            <w:vAlign w:val="bottom"/>
            <w:tcBorders>
              <w:top w:val="single" w:sz="8" w:color="auto"/>
              <w:bottom w:val="single" w:sz="8" w:color="auto"/>
            </w:tcBorders>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-1324610</wp:posOffset>
            </wp:positionV>
            <wp:extent cx="238188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79">
                      <a:extLst>
                        <a:ext uri="{28A0092B-C50C-407E-A947-70E740481C1C}"/>
                      </a:extLst>
                    </a:blip>
                    <a:srcRect/>
                    <a:stretch>
                      <a:fillRect/>
                    </a:stretch>
                  </pic:blipFill>
                  <pic:spPr bwMode="auto">
                    <a:xfrm>
                      <a:off x="0" y="0"/>
                      <a:ext cx="2381885" cy="254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-1160780</wp:posOffset>
            </wp:positionV>
            <wp:extent cx="2381885" cy="501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80">
                      <a:extLst>
                        <a:ext uri="{28A0092B-C50C-407E-A947-70E740481C1C}"/>
                      </a:extLst>
                    </a:blip>
                    <a:srcRect/>
                    <a:stretch>
                      <a:fillRect/>
                    </a:stretch>
                  </pic:blipFill>
                  <pic:spPr bwMode="auto">
                    <a:xfrm>
                      <a:off x="0" y="0"/>
                      <a:ext cx="2381885" cy="5016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-400050</wp:posOffset>
            </wp:positionV>
            <wp:extent cx="238188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81">
                      <a:extLst>
                        <a:ext uri="{28A0092B-C50C-407E-A947-70E740481C1C}"/>
                      </a:extLst>
                    </a:blip>
                    <a:srcRect/>
                    <a:stretch>
                      <a:fillRect/>
                    </a:stretch>
                  </pic:blipFill>
                  <pic:spPr bwMode="auto">
                    <a:xfrm>
                      <a:off x="0" y="0"/>
                      <a:ext cx="2381885" cy="254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-236855</wp:posOffset>
            </wp:positionV>
            <wp:extent cx="2381885" cy="501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82">
                      <a:extLst>
                        <a:ext uri="{28A0092B-C50C-407E-A947-70E740481C1C}"/>
                      </a:extLst>
                    </a:blip>
                    <a:srcRect/>
                    <a:stretch>
                      <a:fillRect/>
                    </a:stretch>
                  </pic:blipFill>
                  <pic:spPr bwMode="auto">
                    <a:xfrm>
                      <a:off x="0" y="0"/>
                      <a:ext cx="2381885" cy="5016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-42545</wp:posOffset>
            </wp:positionV>
            <wp:extent cx="2381885" cy="501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83">
                      <a:extLst>
                        <a:ext uri="{28A0092B-C50C-407E-A947-70E740481C1C}"/>
                      </a:extLst>
                    </a:blip>
                    <a:srcRect/>
                    <a:stretch>
                      <a:fillRect/>
                    </a:stretch>
                  </pic:blipFill>
                  <pic:spPr bwMode="auto">
                    <a:xfrm>
                      <a:off x="0" y="0"/>
                      <a:ext cx="2381885" cy="50165"/>
                    </a:xfrm>
                    <a:prstGeom prst="rect">
                      <a:avLst/>
                    </a:prstGeom>
                    <a:noFill/>
                  </pic:spPr>
                </pic:pic>
              </a:graphicData>
            </a:graphic>
          </wp:anchor>
        </w:drawing>
      </w:r>
    </w:p>
    <w:p>
      <w:pPr>
        <w:spacing w:after="0" w:line="162"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United and its domestic consolidated subsidiaries file a consolidated federal income tax return with UAL. Under an intercompany tax allocation policy, United and its subsidiaries compute, record and pay UAL for their own tax liabilities as if they were separate companies filing separate returns. In determining their own tax liabilities, United and each of its subsidiaries take into account all tax credits or benefits generated and utilized as separate companies and they are each compensated for the aforementioned tax benefits on an annual basis.</w:t>
      </w:r>
    </w:p>
    <w:p>
      <w:pPr>
        <w:spacing w:after="0" w:line="133"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The Company's federal and state NOL and tax credit carryforwards relate to prior years' NOLs and credits, which may be used to reduce tax liabilities in future years. These tax benefits are mostly attributable to federal pre-tax NOL carryforwards of $10.6 billion ($2.2 billion tax effected) for UAL as of December 31, 2025. If not utilized, $0.1 billion of these federal pre-tax NOLs will expire in 2029. The remaining $10.5 billion of NOLs have no expiration date. State pre-tax NOLs of $2.8 billion ($0.2 billion tax effected) as of December 31, 2025 expire over a 1 to 20-year period. As of December 31, 2025, state tax credits were $57 million. These credits will expire over a 1 to 15-year period, and an additional $5.5 million of state tax credits have no expiration date.</w:t>
      </w:r>
    </w:p>
    <w:p>
      <w:pPr>
        <w:spacing w:after="0" w:line="135" w:lineRule="exact"/>
        <w:rPr>
          <w:sz w:val="20"/>
          <w:szCs w:val="20"/>
          <w:color w:val="auto"/>
        </w:rPr>
      </w:pPr>
    </w:p>
    <w:p>
      <w:pPr>
        <w:ind w:right="180"/>
        <w:spacing w:after="0" w:line="303" w:lineRule="auto"/>
        <w:rPr>
          <w:sz w:val="20"/>
          <w:szCs w:val="20"/>
          <w:color w:val="auto"/>
        </w:rPr>
      </w:pPr>
      <w:r>
        <w:rPr>
          <w:rFonts w:ascii="Arial" w:cs="Arial" w:eastAsia="Arial" w:hAnsi="Arial"/>
          <w:sz w:val="17"/>
          <w:szCs w:val="17"/>
          <w:color w:val="auto"/>
        </w:rPr>
        <w:t>As of December 31, 2025, the Company has recorded $108 million of valuation allowance against its capital loss deferred tax assets. Capital losses have a limited carryforward period of five years, and they can be utilized only to the extent of capital gains. The Company does not anticipate generating sufficient capital gains to utilize the losses before they expire, therefore, a valuation allowance is necessary as of December 31, 2025. Additionally, the Company recorded a valuation allowance of $44 million on certain state deferred tax assets primarily due to state NOLs that have short expiration periods.</w:t>
      </w:r>
    </w:p>
    <w:p>
      <w:pPr>
        <w:spacing w:after="0" w:line="105" w:lineRule="exact"/>
        <w:rPr>
          <w:sz w:val="20"/>
          <w:szCs w:val="20"/>
          <w:color w:val="auto"/>
        </w:rPr>
      </w:pPr>
    </w:p>
    <w:p>
      <w:pPr>
        <w:jc w:val="both"/>
        <w:ind w:right="260"/>
        <w:spacing w:after="0" w:line="283" w:lineRule="auto"/>
        <w:rPr>
          <w:sz w:val="20"/>
          <w:szCs w:val="20"/>
          <w:color w:val="auto"/>
        </w:rPr>
      </w:pPr>
      <w:r>
        <w:rPr>
          <w:rFonts w:ascii="Arial" w:cs="Arial" w:eastAsia="Arial" w:hAnsi="Arial"/>
          <w:sz w:val="18"/>
          <w:szCs w:val="18"/>
          <w:color w:val="auto"/>
        </w:rPr>
        <w:t>The Company's unrecognized tax benefits related to uncertain tax positions were $74 million, $70 million and $66 million at December 31, 2025, 2024 and 2023, respectively. All of the uncertain tax positions would affect the Company's effective tax rate if recognized. Changes in unrecognized tax benefits were immaterial during 2025, 2024 and 2023. There are no material amounts included in the balance at December 31, 2025 for tax positions for which the ultimate deductibility is highly certain but for which there is uncertainty about the timing of such deductibility.</w:t>
      </w:r>
    </w:p>
    <w:p>
      <w:pPr>
        <w:spacing w:after="0" w:line="119" w:lineRule="exact"/>
        <w:rPr>
          <w:sz w:val="20"/>
          <w:szCs w:val="20"/>
          <w:color w:val="auto"/>
        </w:rPr>
      </w:pPr>
    </w:p>
    <w:p>
      <w:pPr>
        <w:ind w:right="500"/>
        <w:spacing w:after="0" w:line="294" w:lineRule="auto"/>
        <w:rPr>
          <w:sz w:val="20"/>
          <w:szCs w:val="20"/>
          <w:color w:val="auto"/>
        </w:rPr>
      </w:pPr>
      <w:r>
        <w:rPr>
          <w:rFonts w:ascii="Arial" w:cs="Arial" w:eastAsia="Arial" w:hAnsi="Arial"/>
          <w:sz w:val="19"/>
          <w:szCs w:val="19"/>
          <w:color w:val="auto"/>
        </w:rPr>
        <w:t>The Company's federal income tax returns for tax years after 2000 remain subject to examination by the Internal Revenue Service and state taxing jurisdictions.</w:t>
      </w:r>
    </w:p>
    <w:p>
      <w:pPr>
        <w:spacing w:after="0" w:line="98" w:lineRule="exact"/>
        <w:rPr>
          <w:sz w:val="20"/>
          <w:szCs w:val="20"/>
          <w:color w:val="auto"/>
        </w:rPr>
      </w:pPr>
    </w:p>
    <w:p>
      <w:pPr>
        <w:ind w:right="2340"/>
        <w:spacing w:after="0" w:line="473" w:lineRule="auto"/>
        <w:rPr>
          <w:sz w:val="20"/>
          <w:szCs w:val="20"/>
          <w:color w:val="auto"/>
        </w:rPr>
      </w:pPr>
      <w:r>
        <w:rPr>
          <w:rFonts w:ascii="Arial" w:cs="Arial" w:eastAsia="Arial" w:hAnsi="Arial"/>
          <w:sz w:val="18"/>
          <w:szCs w:val="18"/>
          <w:b w:val="1"/>
          <w:bCs w:val="1"/>
          <w:color w:val="auto"/>
        </w:rPr>
        <w:t xml:space="preserve">NOTE 8 - PENSION, POSTRETIREMENT AND OTHER EMPLOYEE BENEFIT PLANS </w:t>
      </w:r>
      <w:r>
        <w:rPr>
          <w:rFonts w:ascii="Arial" w:cs="Arial" w:eastAsia="Arial" w:hAnsi="Arial"/>
          <w:sz w:val="18"/>
          <w:szCs w:val="18"/>
          <w:color w:val="auto"/>
        </w:rPr>
        <w:t>The following summarizes the significant pension and other postretirement plans of United:</w:t>
      </w:r>
    </w:p>
    <w:p>
      <w:pPr>
        <w:spacing w:after="0" w:line="1" w:lineRule="exact"/>
        <w:rPr>
          <w:sz w:val="20"/>
          <w:szCs w:val="20"/>
          <w:color w:val="auto"/>
        </w:rPr>
      </w:pPr>
    </w:p>
    <w:p>
      <w:pPr>
        <w:ind w:right="120"/>
        <w:spacing w:after="0" w:line="362" w:lineRule="auto"/>
        <w:rPr>
          <w:sz w:val="20"/>
          <w:szCs w:val="20"/>
          <w:color w:val="auto"/>
        </w:rPr>
      </w:pPr>
      <w:r>
        <w:rPr>
          <w:rFonts w:ascii="Arial" w:cs="Arial" w:eastAsia="Arial" w:hAnsi="Arial"/>
          <w:sz w:val="17"/>
          <w:szCs w:val="17"/>
          <w:b w:val="1"/>
          <w:bCs w:val="1"/>
          <w:i w:val="1"/>
          <w:iCs w:val="1"/>
          <w:color w:val="auto"/>
        </w:rPr>
        <w:t xml:space="preserve">Pension Plans. </w:t>
      </w:r>
      <w:r>
        <w:rPr>
          <w:rFonts w:ascii="Arial" w:cs="Arial" w:eastAsia="Arial" w:hAnsi="Arial"/>
          <w:sz w:val="17"/>
          <w:szCs w:val="17"/>
          <w:color w:val="auto"/>
        </w:rPr>
        <w:t>United maintains two primary defined benefit pension plans, one covering certain pilot employees and another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covering certain U.S. non-pilot employees. Each of these plans provides benefits based on a combination of years of benefit</w:t>
      </w:r>
    </w:p>
    <w:p>
      <w:pPr>
        <w:sectPr>
          <w:pgSz w:w="11880" w:h="15480" w:orient="portrait"/>
          <w:cols w:equalWidth="0" w:num="1">
            <w:col w:w="9940"/>
          </w:cols>
          <w:pgMar w:left="960" w:top="586" w:right="980" w:bottom="33"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9940"/>
          </w:cols>
          <w:pgMar w:left="960" w:top="586" w:right="980" w:bottom="33" w:gutter="0" w:footer="0" w:header="0"/>
          <w:type w:val="continuous"/>
        </w:sectPr>
      </w:pPr>
    </w:p>
    <w:bookmarkStart w:id="80" w:name="page81"/>
    <w:bookmarkEnd w:id="80"/>
    <w:p>
      <w:pPr>
        <w:ind w:right="160"/>
        <w:spacing w:after="0" w:line="268" w:lineRule="auto"/>
        <w:rPr>
          <w:sz w:val="20"/>
          <w:szCs w:val="20"/>
          <w:color w:val="auto"/>
        </w:rPr>
      </w:pPr>
      <w:r>
        <w:rPr>
          <w:rFonts w:ascii="Arial" w:cs="Arial" w:eastAsia="Arial" w:hAnsi="Arial"/>
          <w:sz w:val="19"/>
          <w:szCs w:val="19"/>
          <w:color w:val="auto"/>
        </w:rPr>
        <w:t>accruals service and an employee's final average compensation. Additional benefit accruals are frozen under the plan covering certain pilot employees and for management and administrative employees covered under the non-pilot plan. Benefit accruals for certain non-pilot employees continue. United maintains additional defined benefit pension plans, which cover certain international employees.</w:t>
      </w:r>
    </w:p>
    <w:p>
      <w:pPr>
        <w:spacing w:after="0" w:line="125"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b w:val="1"/>
          <w:bCs w:val="1"/>
          <w:i w:val="1"/>
          <w:iCs w:val="1"/>
          <w:color w:val="auto"/>
        </w:rPr>
        <w:t xml:space="preserve">Other Postretirement Plans. </w:t>
      </w:r>
      <w:r>
        <w:rPr>
          <w:rFonts w:ascii="Arial" w:cs="Arial" w:eastAsia="Arial" w:hAnsi="Arial"/>
          <w:sz w:val="19"/>
          <w:szCs w:val="19"/>
          <w:color w:val="auto"/>
        </w:rPr>
        <w:t>United maintains postretirement medical programs which provide medical benefits to certain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retirees and eligible dependents, as well as life insurance benefits to certain retirees participating in the plan. Benefits provided are subject to applicable contributions, co-payments, deductibles and other limits as described in the specific plan documentation.</w:t>
      </w:r>
    </w:p>
    <w:p>
      <w:pPr>
        <w:spacing w:after="0" w:line="128" w:lineRule="exact"/>
        <w:rPr>
          <w:sz w:val="20"/>
          <w:szCs w:val="20"/>
          <w:color w:val="auto"/>
        </w:rPr>
      </w:pPr>
    </w:p>
    <w:p>
      <w:pPr>
        <w:ind w:right="260"/>
        <w:spacing w:after="0" w:line="296" w:lineRule="auto"/>
        <w:rPr>
          <w:sz w:val="20"/>
          <w:szCs w:val="20"/>
          <w:color w:val="auto"/>
        </w:rPr>
      </w:pPr>
      <w:r>
        <w:rPr>
          <w:rFonts w:ascii="Arial" w:cs="Arial" w:eastAsia="Arial" w:hAnsi="Arial"/>
          <w:sz w:val="18"/>
          <w:szCs w:val="18"/>
          <w:color w:val="auto"/>
        </w:rPr>
        <w:t>Actuarial assumption changes are reflected as a component of the net actuarial (gain) loss. The 2025 actuarial losses were primarily related to expected pay increases for certain represented employees partially offset by asset performance. Actuarial (gains) losses are amortized over the average remaining service life of active covered employees.</w:t>
      </w:r>
    </w:p>
    <w:p>
      <w:pPr>
        <w:spacing w:after="0" w:line="107"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The following tables set forth the reconciliation of the beginning and ending balances of the benefit obligation and plan assets, the funded status and the amounts recognized in these financial statements for the defined benefit and other postretirement plans (in millions):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60" w:type="dxa"/>
            <w:vAlign w:val="bottom"/>
            <w:gridSpan w:val="5"/>
          </w:tcPr>
          <w:p>
            <w:pPr>
              <w:ind w:left="1060"/>
              <w:spacing w:after="0"/>
              <w:rPr>
                <w:sz w:val="20"/>
                <w:szCs w:val="20"/>
                <w:color w:val="auto"/>
              </w:rPr>
            </w:pPr>
            <w:r>
              <w:rPr>
                <w:rFonts w:ascii="Arial" w:cs="Arial" w:eastAsia="Arial" w:hAnsi="Arial"/>
                <w:sz w:val="19"/>
                <w:szCs w:val="19"/>
                <w:b w:val="1"/>
                <w:bCs w:val="1"/>
                <w:color w:val="auto"/>
              </w:rPr>
              <w:t>Pension Benefits</w:t>
            </w:r>
          </w:p>
        </w:tc>
      </w:tr>
      <w:tr>
        <w:trPr>
          <w:trHeight w:val="177"/>
        </w:trPr>
        <w:tc>
          <w:tcPr>
            <w:tcW w:w="59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ind w:right="323"/>
              <w:spacing w:after="0" w:line="176" w:lineRule="exact"/>
              <w:rPr>
                <w:sz w:val="20"/>
                <w:szCs w:val="20"/>
                <w:color w:val="auto"/>
              </w:rPr>
            </w:pPr>
            <w:r>
              <w:rPr>
                <w:rFonts w:ascii="Arial" w:cs="Arial" w:eastAsia="Arial" w:hAnsi="Arial"/>
                <w:sz w:val="19"/>
                <w:szCs w:val="19"/>
                <w:b w:val="1"/>
                <w:bCs w:val="1"/>
                <w:color w:val="auto"/>
              </w:rPr>
              <w:t>Year Ended</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ind w:right="343"/>
              <w:spacing w:after="0" w:line="176" w:lineRule="exact"/>
              <w:rPr>
                <w:sz w:val="20"/>
                <w:szCs w:val="20"/>
                <w:color w:val="auto"/>
              </w:rPr>
            </w:pPr>
            <w:r>
              <w:rPr>
                <w:rFonts w:ascii="Arial" w:cs="Arial" w:eastAsia="Arial" w:hAnsi="Arial"/>
                <w:sz w:val="19"/>
                <w:szCs w:val="19"/>
                <w:b w:val="1"/>
                <w:bCs w:val="1"/>
                <w:color w:val="auto"/>
              </w:rPr>
              <w:t>Year Ended</w:t>
            </w:r>
          </w:p>
        </w:tc>
        <w:tc>
          <w:tcPr>
            <w:tcW w:w="20" w:type="dxa"/>
            <w:vAlign w:val="bottom"/>
          </w:tcPr>
          <w:p>
            <w:pPr>
              <w:spacing w:after="0"/>
              <w:rPr>
                <w:sz w:val="15"/>
                <w:szCs w:val="15"/>
                <w:color w:val="auto"/>
              </w:rPr>
            </w:pPr>
          </w:p>
        </w:tc>
      </w:tr>
      <w:tr>
        <w:trPr>
          <w:trHeight w:val="255"/>
        </w:trPr>
        <w:tc>
          <w:tcPr>
            <w:tcW w:w="598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b w:val="1"/>
                <w:bCs w:val="1"/>
                <w:color w:val="auto"/>
                <w:w w:val="89"/>
              </w:rPr>
              <w:t>December 31, 2025</w:t>
            </w:r>
          </w:p>
        </w:tc>
        <w:tc>
          <w:tcPr>
            <w:tcW w:w="8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b w:val="1"/>
                <w:bCs w:val="1"/>
                <w:color w:val="auto"/>
                <w:w w:val="91"/>
              </w:rPr>
              <w:t>December 31, 2024</w:t>
            </w:r>
          </w:p>
        </w:tc>
        <w:tc>
          <w:tcPr>
            <w:tcW w:w="20" w:type="dxa"/>
            <w:vAlign w:val="bottom"/>
            <w:tcBorders>
              <w:bottom w:val="single" w:sz="8" w:color="E6E6E6"/>
            </w:tcBorders>
          </w:tcPr>
          <w:p>
            <w:pPr>
              <w:spacing w:after="0"/>
              <w:rPr>
                <w:sz w:val="22"/>
                <w:szCs w:val="22"/>
                <w:color w:val="auto"/>
              </w:rPr>
            </w:pPr>
          </w:p>
        </w:tc>
      </w:tr>
      <w:tr>
        <w:trPr>
          <w:trHeight w:val="275"/>
        </w:trPr>
        <w:tc>
          <w:tcPr>
            <w:tcW w:w="5980" w:type="dxa"/>
            <w:vAlign w:val="bottom"/>
            <w:shd w:val="clear" w:color="auto" w:fill="E6E6E6"/>
          </w:tcPr>
          <w:p>
            <w:pPr>
              <w:ind w:left="60"/>
              <w:spacing w:after="0"/>
              <w:rPr>
                <w:sz w:val="20"/>
                <w:szCs w:val="20"/>
                <w:color w:val="auto"/>
              </w:rPr>
            </w:pPr>
            <w:r>
              <w:rPr>
                <w:rFonts w:ascii="Arial" w:cs="Arial" w:eastAsia="Arial" w:hAnsi="Arial"/>
                <w:sz w:val="19"/>
                <w:szCs w:val="19"/>
                <w:color w:val="auto"/>
              </w:rPr>
              <w:t>Accumulated benefit obligation:</w:t>
            </w:r>
          </w:p>
        </w:tc>
        <w:tc>
          <w:tcPr>
            <w:tcW w:w="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3,959</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3,752</w:t>
            </w:r>
          </w:p>
        </w:tc>
        <w:tc>
          <w:tcPr>
            <w:tcW w:w="20" w:type="dxa"/>
            <w:vAlign w:val="bottom"/>
            <w:shd w:val="clear" w:color="auto" w:fill="E6E6E6"/>
          </w:tcPr>
          <w:p>
            <w:pPr>
              <w:spacing w:after="0"/>
              <w:rPr>
                <w:sz w:val="23"/>
                <w:szCs w:val="23"/>
                <w:color w:val="auto"/>
              </w:rPr>
            </w:pPr>
          </w:p>
        </w:tc>
      </w:tr>
      <w:tr>
        <w:trPr>
          <w:trHeight w:val="401"/>
        </w:trPr>
        <w:tc>
          <w:tcPr>
            <w:tcW w:w="5980" w:type="dxa"/>
            <w:vAlign w:val="bottom"/>
            <w:tcBorders>
              <w:top w:val="single" w:sz="8" w:color="E6E6E6"/>
            </w:tcBorders>
          </w:tcPr>
          <w:p>
            <w:pPr>
              <w:ind w:left="60"/>
              <w:spacing w:after="0"/>
              <w:rPr>
                <w:sz w:val="20"/>
                <w:szCs w:val="20"/>
                <w:color w:val="auto"/>
              </w:rPr>
            </w:pPr>
            <w:r>
              <w:rPr>
                <w:rFonts w:ascii="Arial" w:cs="Arial" w:eastAsia="Arial" w:hAnsi="Arial"/>
                <w:sz w:val="19"/>
                <w:szCs w:val="19"/>
                <w:color w:val="auto"/>
              </w:rPr>
              <w:t>Change in projected benefit obligation:</w:t>
            </w:r>
          </w:p>
        </w:tc>
        <w:tc>
          <w:tcPr>
            <w:tcW w:w="1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r>
      <w:tr>
        <w:trPr>
          <w:trHeight w:val="283"/>
        </w:trPr>
        <w:tc>
          <w:tcPr>
            <w:tcW w:w="5980" w:type="dxa"/>
            <w:vAlign w:val="bottom"/>
            <w:shd w:val="clear" w:color="auto" w:fill="E6E6E6"/>
          </w:tcPr>
          <w:p>
            <w:pPr>
              <w:ind w:left="60"/>
              <w:spacing w:after="0"/>
              <w:rPr>
                <w:sz w:val="20"/>
                <w:szCs w:val="20"/>
                <w:color w:val="auto"/>
              </w:rPr>
            </w:pPr>
            <w:r>
              <w:rPr>
                <w:rFonts w:ascii="Arial" w:cs="Arial" w:eastAsia="Arial" w:hAnsi="Arial"/>
                <w:sz w:val="19"/>
                <w:szCs w:val="19"/>
                <w:color w:val="auto"/>
              </w:rPr>
              <w:t>Projected benefit obligation at beginning of year</w:t>
            </w:r>
          </w:p>
        </w:tc>
        <w:tc>
          <w:tcPr>
            <w:tcW w:w="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4,315</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4,550</w:t>
            </w:r>
          </w:p>
        </w:tc>
        <w:tc>
          <w:tcPr>
            <w:tcW w:w="20" w:type="dxa"/>
            <w:vAlign w:val="bottom"/>
            <w:shd w:val="clear" w:color="auto" w:fill="E6E6E6"/>
          </w:tcPr>
          <w:p>
            <w:pPr>
              <w:spacing w:after="0"/>
              <w:rPr>
                <w:sz w:val="24"/>
                <w:szCs w:val="24"/>
                <w:color w:val="auto"/>
              </w:rPr>
            </w:pPr>
          </w:p>
        </w:tc>
      </w:tr>
      <w:tr>
        <w:trPr>
          <w:trHeight w:val="270"/>
        </w:trPr>
        <w:tc>
          <w:tcPr>
            <w:tcW w:w="5980" w:type="dxa"/>
            <w:vAlign w:val="bottom"/>
          </w:tcPr>
          <w:p>
            <w:pPr>
              <w:ind w:left="60"/>
              <w:spacing w:after="0"/>
              <w:rPr>
                <w:sz w:val="20"/>
                <w:szCs w:val="20"/>
                <w:color w:val="auto"/>
              </w:rPr>
            </w:pPr>
            <w:r>
              <w:rPr>
                <w:rFonts w:ascii="Arial" w:cs="Arial" w:eastAsia="Arial" w:hAnsi="Arial"/>
                <w:sz w:val="19"/>
                <w:szCs w:val="19"/>
                <w:color w:val="auto"/>
              </w:rPr>
              <w:t>Service cost</w:t>
            </w:r>
          </w:p>
        </w:tc>
        <w:tc>
          <w:tcPr>
            <w:tcW w:w="1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9"/>
                <w:szCs w:val="19"/>
                <w:color w:val="auto"/>
              </w:rPr>
              <w:t>127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135</w:t>
            </w:r>
          </w:p>
        </w:tc>
        <w:tc>
          <w:tcPr>
            <w:tcW w:w="20" w:type="dxa"/>
            <w:vAlign w:val="bottom"/>
          </w:tcPr>
          <w:p>
            <w:pPr>
              <w:spacing w:after="0"/>
              <w:rPr>
                <w:sz w:val="23"/>
                <w:szCs w:val="23"/>
                <w:color w:val="auto"/>
              </w:rPr>
            </w:pPr>
          </w:p>
        </w:tc>
      </w:tr>
      <w:tr>
        <w:trPr>
          <w:trHeight w:val="283"/>
        </w:trPr>
        <w:tc>
          <w:tcPr>
            <w:tcW w:w="5980" w:type="dxa"/>
            <w:vAlign w:val="bottom"/>
            <w:shd w:val="clear" w:color="auto" w:fill="E6E6E6"/>
          </w:tcPr>
          <w:p>
            <w:pPr>
              <w:ind w:left="60"/>
              <w:spacing w:after="0"/>
              <w:rPr>
                <w:sz w:val="20"/>
                <w:szCs w:val="20"/>
                <w:color w:val="auto"/>
              </w:rPr>
            </w:pPr>
            <w:r>
              <w:rPr>
                <w:rFonts w:ascii="Arial" w:cs="Arial" w:eastAsia="Arial" w:hAnsi="Arial"/>
                <w:sz w:val="19"/>
                <w:szCs w:val="19"/>
                <w:color w:val="auto"/>
              </w:rPr>
              <w:t>Interest cost</w:t>
            </w:r>
          </w:p>
        </w:tc>
        <w:tc>
          <w:tcPr>
            <w:tcW w:w="160" w:type="dxa"/>
            <w:vAlign w:val="bottom"/>
            <w:shd w:val="clear" w:color="auto" w:fill="E6E6E6"/>
          </w:tcPr>
          <w:p>
            <w:pPr>
              <w:spacing w:after="0"/>
              <w:rPr>
                <w:sz w:val="24"/>
                <w:szCs w:val="24"/>
                <w:color w:val="auto"/>
              </w:rPr>
            </w:pPr>
          </w:p>
        </w:tc>
        <w:tc>
          <w:tcPr>
            <w:tcW w:w="1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243</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229</w:t>
            </w:r>
          </w:p>
        </w:tc>
        <w:tc>
          <w:tcPr>
            <w:tcW w:w="20" w:type="dxa"/>
            <w:vAlign w:val="bottom"/>
            <w:shd w:val="clear" w:color="auto" w:fill="E6E6E6"/>
          </w:tcPr>
          <w:p>
            <w:pPr>
              <w:spacing w:after="0"/>
              <w:rPr>
                <w:sz w:val="24"/>
                <w:szCs w:val="24"/>
                <w:color w:val="auto"/>
              </w:rPr>
            </w:pPr>
          </w:p>
        </w:tc>
      </w:tr>
      <w:tr>
        <w:trPr>
          <w:trHeight w:val="270"/>
        </w:trPr>
        <w:tc>
          <w:tcPr>
            <w:tcW w:w="5980" w:type="dxa"/>
            <w:vAlign w:val="bottom"/>
          </w:tcPr>
          <w:p>
            <w:pPr>
              <w:ind w:left="60"/>
              <w:spacing w:after="0"/>
              <w:rPr>
                <w:sz w:val="20"/>
                <w:szCs w:val="20"/>
                <w:color w:val="auto"/>
              </w:rPr>
            </w:pPr>
            <w:r>
              <w:rPr>
                <w:rFonts w:ascii="Arial" w:cs="Arial" w:eastAsia="Arial" w:hAnsi="Arial"/>
                <w:sz w:val="19"/>
                <w:szCs w:val="19"/>
                <w:color w:val="auto"/>
              </w:rPr>
              <w:t>Actuarial (gain) loss</w:t>
            </w:r>
          </w:p>
        </w:tc>
        <w:tc>
          <w:tcPr>
            <w:tcW w:w="1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9"/>
                <w:szCs w:val="19"/>
                <w:color w:val="auto"/>
              </w:rPr>
              <w:t>149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(460)</w:t>
            </w:r>
          </w:p>
        </w:tc>
        <w:tc>
          <w:tcPr>
            <w:tcW w:w="20" w:type="dxa"/>
            <w:vAlign w:val="bottom"/>
          </w:tcPr>
          <w:p>
            <w:pPr>
              <w:spacing w:after="0"/>
              <w:rPr>
                <w:sz w:val="23"/>
                <w:szCs w:val="23"/>
                <w:color w:val="auto"/>
              </w:rPr>
            </w:pPr>
          </w:p>
        </w:tc>
      </w:tr>
      <w:tr>
        <w:trPr>
          <w:trHeight w:val="283"/>
        </w:trPr>
        <w:tc>
          <w:tcPr>
            <w:tcW w:w="5980" w:type="dxa"/>
            <w:vAlign w:val="bottom"/>
            <w:shd w:val="clear" w:color="auto" w:fill="E6E6E6"/>
          </w:tcPr>
          <w:p>
            <w:pPr>
              <w:ind w:left="60"/>
              <w:spacing w:after="0"/>
              <w:rPr>
                <w:sz w:val="20"/>
                <w:szCs w:val="20"/>
                <w:color w:val="auto"/>
              </w:rPr>
            </w:pPr>
            <w:r>
              <w:rPr>
                <w:rFonts w:ascii="Arial" w:cs="Arial" w:eastAsia="Arial" w:hAnsi="Arial"/>
                <w:sz w:val="19"/>
                <w:szCs w:val="19"/>
                <w:color w:val="auto"/>
              </w:rPr>
              <w:t>Benefits paid</w:t>
            </w:r>
          </w:p>
        </w:tc>
        <w:tc>
          <w:tcPr>
            <w:tcW w:w="160" w:type="dxa"/>
            <w:vAlign w:val="bottom"/>
            <w:shd w:val="clear" w:color="auto" w:fill="E6E6E6"/>
          </w:tcPr>
          <w:p>
            <w:pPr>
              <w:spacing w:after="0"/>
              <w:rPr>
                <w:sz w:val="24"/>
                <w:szCs w:val="24"/>
                <w:color w:val="auto"/>
              </w:rPr>
            </w:pPr>
          </w:p>
        </w:tc>
        <w:tc>
          <w:tcPr>
            <w:tcW w:w="1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(217)</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(135)</w:t>
            </w:r>
          </w:p>
        </w:tc>
        <w:tc>
          <w:tcPr>
            <w:tcW w:w="20" w:type="dxa"/>
            <w:vAlign w:val="bottom"/>
            <w:shd w:val="clear" w:color="auto" w:fill="E6E6E6"/>
          </w:tcPr>
          <w:p>
            <w:pPr>
              <w:spacing w:after="0"/>
              <w:rPr>
                <w:sz w:val="24"/>
                <w:szCs w:val="24"/>
                <w:color w:val="auto"/>
              </w:rPr>
            </w:pPr>
          </w:p>
        </w:tc>
      </w:tr>
      <w:tr>
        <w:trPr>
          <w:trHeight w:val="266"/>
        </w:trPr>
        <w:tc>
          <w:tcPr>
            <w:tcW w:w="598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20" w:type="dxa"/>
            <w:vAlign w:val="bottom"/>
            <w:tcBorders>
              <w:bottom w:val="single" w:sz="8" w:color="E6E6E6"/>
            </w:tcBorders>
          </w:tcPr>
          <w:p>
            <w:pPr>
              <w:spacing w:after="0"/>
              <w:rPr>
                <w:sz w:val="23"/>
                <w:szCs w:val="23"/>
                <w:color w:val="auto"/>
              </w:rPr>
            </w:pPr>
          </w:p>
        </w:tc>
      </w:tr>
      <w:tr>
        <w:trPr>
          <w:trHeight w:val="276"/>
        </w:trPr>
        <w:tc>
          <w:tcPr>
            <w:tcW w:w="5980" w:type="dxa"/>
            <w:vAlign w:val="bottom"/>
            <w:shd w:val="clear" w:color="auto" w:fill="E6E6E6"/>
          </w:tcPr>
          <w:p>
            <w:pPr>
              <w:ind w:left="60"/>
              <w:spacing w:after="0"/>
              <w:rPr>
                <w:sz w:val="20"/>
                <w:szCs w:val="20"/>
                <w:color w:val="auto"/>
              </w:rPr>
            </w:pPr>
            <w:r>
              <w:rPr>
                <w:rFonts w:ascii="Arial" w:cs="Arial" w:eastAsia="Arial" w:hAnsi="Arial"/>
                <w:sz w:val="19"/>
                <w:szCs w:val="19"/>
                <w:color w:val="auto"/>
              </w:rPr>
              <w:t>Projected benefit obligation at end of year</w:t>
            </w:r>
          </w:p>
        </w:tc>
        <w:tc>
          <w:tcPr>
            <w:tcW w:w="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4,624</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4,315</w:t>
            </w:r>
          </w:p>
        </w:tc>
        <w:tc>
          <w:tcPr>
            <w:tcW w:w="20" w:type="dxa"/>
            <w:vAlign w:val="bottom"/>
            <w:shd w:val="clear" w:color="auto" w:fill="E6E6E6"/>
          </w:tcPr>
          <w:p>
            <w:pPr>
              <w:spacing w:after="0"/>
              <w:rPr>
                <w:sz w:val="23"/>
                <w:szCs w:val="23"/>
                <w:color w:val="auto"/>
              </w:rPr>
            </w:pPr>
          </w:p>
        </w:tc>
      </w:tr>
      <w:tr>
        <w:trPr>
          <w:trHeight w:val="372"/>
        </w:trPr>
        <w:tc>
          <w:tcPr>
            <w:tcW w:w="5980" w:type="dxa"/>
            <w:vAlign w:val="bottom"/>
            <w:tcBorders>
              <w:top w:val="single" w:sz="8" w:color="E6E6E6"/>
            </w:tcBorders>
          </w:tcPr>
          <w:p>
            <w:pPr>
              <w:ind w:left="60"/>
              <w:spacing w:after="0"/>
              <w:rPr>
                <w:sz w:val="20"/>
                <w:szCs w:val="20"/>
                <w:color w:val="auto"/>
              </w:rPr>
            </w:pPr>
            <w:r>
              <w:rPr>
                <w:rFonts w:ascii="Arial" w:cs="Arial" w:eastAsia="Arial" w:hAnsi="Arial"/>
                <w:sz w:val="19"/>
                <w:szCs w:val="19"/>
                <w:color w:val="auto"/>
              </w:rPr>
              <w:t>Change in plan assets:</w:t>
            </w:r>
          </w:p>
        </w:tc>
        <w:tc>
          <w:tcPr>
            <w:tcW w:w="1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r>
      <w:tr>
        <w:trPr>
          <w:trHeight w:val="283"/>
        </w:trPr>
        <w:tc>
          <w:tcPr>
            <w:tcW w:w="5980" w:type="dxa"/>
            <w:vAlign w:val="bottom"/>
            <w:shd w:val="clear" w:color="auto" w:fill="E6E6E6"/>
          </w:tcPr>
          <w:p>
            <w:pPr>
              <w:ind w:left="60"/>
              <w:spacing w:after="0"/>
              <w:rPr>
                <w:sz w:val="20"/>
                <w:szCs w:val="20"/>
                <w:color w:val="auto"/>
              </w:rPr>
            </w:pPr>
            <w:r>
              <w:rPr>
                <w:rFonts w:ascii="Arial" w:cs="Arial" w:eastAsia="Arial" w:hAnsi="Arial"/>
                <w:sz w:val="19"/>
                <w:szCs w:val="19"/>
                <w:color w:val="auto"/>
              </w:rPr>
              <w:t>Fair value of plan assets at beginning of year</w:t>
            </w:r>
          </w:p>
        </w:tc>
        <w:tc>
          <w:tcPr>
            <w:tcW w:w="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3,601</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3,599</w:t>
            </w:r>
          </w:p>
        </w:tc>
        <w:tc>
          <w:tcPr>
            <w:tcW w:w="20" w:type="dxa"/>
            <w:vAlign w:val="bottom"/>
            <w:shd w:val="clear" w:color="auto" w:fill="E6E6E6"/>
          </w:tcPr>
          <w:p>
            <w:pPr>
              <w:spacing w:after="0"/>
              <w:rPr>
                <w:sz w:val="24"/>
                <w:szCs w:val="24"/>
                <w:color w:val="auto"/>
              </w:rPr>
            </w:pPr>
          </w:p>
        </w:tc>
      </w:tr>
      <w:tr>
        <w:trPr>
          <w:trHeight w:val="270"/>
        </w:trPr>
        <w:tc>
          <w:tcPr>
            <w:tcW w:w="5980" w:type="dxa"/>
            <w:vAlign w:val="bottom"/>
          </w:tcPr>
          <w:p>
            <w:pPr>
              <w:ind w:left="60"/>
              <w:spacing w:after="0"/>
              <w:rPr>
                <w:sz w:val="20"/>
                <w:szCs w:val="20"/>
                <w:color w:val="auto"/>
              </w:rPr>
            </w:pPr>
            <w:r>
              <w:rPr>
                <w:rFonts w:ascii="Arial" w:cs="Arial" w:eastAsia="Arial" w:hAnsi="Arial"/>
                <w:sz w:val="19"/>
                <w:szCs w:val="19"/>
                <w:color w:val="auto"/>
              </w:rPr>
              <w:t>Actual return on plan assets</w:t>
            </w:r>
          </w:p>
        </w:tc>
        <w:tc>
          <w:tcPr>
            <w:tcW w:w="1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9"/>
                <w:szCs w:val="19"/>
                <w:color w:val="auto"/>
              </w:rPr>
              <w:t>357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132</w:t>
            </w:r>
          </w:p>
        </w:tc>
        <w:tc>
          <w:tcPr>
            <w:tcW w:w="20" w:type="dxa"/>
            <w:vAlign w:val="bottom"/>
          </w:tcPr>
          <w:p>
            <w:pPr>
              <w:spacing w:after="0"/>
              <w:rPr>
                <w:sz w:val="23"/>
                <w:szCs w:val="23"/>
                <w:color w:val="auto"/>
              </w:rPr>
            </w:pPr>
          </w:p>
        </w:tc>
      </w:tr>
      <w:tr>
        <w:trPr>
          <w:trHeight w:val="283"/>
        </w:trPr>
        <w:tc>
          <w:tcPr>
            <w:tcW w:w="5980" w:type="dxa"/>
            <w:vAlign w:val="bottom"/>
            <w:shd w:val="clear" w:color="auto" w:fill="E6E6E6"/>
          </w:tcPr>
          <w:p>
            <w:pPr>
              <w:ind w:left="60"/>
              <w:spacing w:after="0"/>
              <w:rPr>
                <w:sz w:val="20"/>
                <w:szCs w:val="20"/>
                <w:color w:val="auto"/>
              </w:rPr>
            </w:pPr>
            <w:r>
              <w:rPr>
                <w:rFonts w:ascii="Arial" w:cs="Arial" w:eastAsia="Arial" w:hAnsi="Arial"/>
                <w:sz w:val="19"/>
                <w:szCs w:val="19"/>
                <w:color w:val="auto"/>
              </w:rPr>
              <w:t>Employer contributions</w:t>
            </w:r>
          </w:p>
        </w:tc>
        <w:tc>
          <w:tcPr>
            <w:tcW w:w="160" w:type="dxa"/>
            <w:vAlign w:val="bottom"/>
            <w:shd w:val="clear" w:color="auto" w:fill="E6E6E6"/>
          </w:tcPr>
          <w:p>
            <w:pPr>
              <w:spacing w:after="0"/>
              <w:rPr>
                <w:sz w:val="24"/>
                <w:szCs w:val="24"/>
                <w:color w:val="auto"/>
              </w:rPr>
            </w:pPr>
          </w:p>
        </w:tc>
        <w:tc>
          <w:tcPr>
            <w:tcW w:w="1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298</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w:t>
            </w:r>
          </w:p>
        </w:tc>
        <w:tc>
          <w:tcPr>
            <w:tcW w:w="20" w:type="dxa"/>
            <w:vAlign w:val="bottom"/>
            <w:shd w:val="clear" w:color="auto" w:fill="E6E6E6"/>
          </w:tcPr>
          <w:p>
            <w:pPr>
              <w:spacing w:after="0"/>
              <w:rPr>
                <w:sz w:val="24"/>
                <w:szCs w:val="24"/>
                <w:color w:val="auto"/>
              </w:rPr>
            </w:pPr>
          </w:p>
        </w:tc>
      </w:tr>
      <w:tr>
        <w:trPr>
          <w:trHeight w:val="270"/>
        </w:trPr>
        <w:tc>
          <w:tcPr>
            <w:tcW w:w="5980" w:type="dxa"/>
            <w:vAlign w:val="bottom"/>
          </w:tcPr>
          <w:p>
            <w:pPr>
              <w:ind w:left="60"/>
              <w:spacing w:after="0"/>
              <w:rPr>
                <w:sz w:val="20"/>
                <w:szCs w:val="20"/>
                <w:color w:val="auto"/>
              </w:rPr>
            </w:pPr>
            <w:r>
              <w:rPr>
                <w:rFonts w:ascii="Arial" w:cs="Arial" w:eastAsia="Arial" w:hAnsi="Arial"/>
                <w:sz w:val="19"/>
                <w:szCs w:val="19"/>
                <w:color w:val="auto"/>
              </w:rPr>
              <w:t>Benefits paid</w:t>
            </w:r>
          </w:p>
        </w:tc>
        <w:tc>
          <w:tcPr>
            <w:tcW w:w="1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9"/>
                <w:szCs w:val="19"/>
                <w:color w:val="auto"/>
              </w:rPr>
              <w:t>(217)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(135)</w:t>
            </w:r>
          </w:p>
        </w:tc>
        <w:tc>
          <w:tcPr>
            <w:tcW w:w="20" w:type="dxa"/>
            <w:vAlign w:val="bottom"/>
          </w:tcPr>
          <w:p>
            <w:pPr>
              <w:spacing w:after="0"/>
              <w:rPr>
                <w:sz w:val="23"/>
                <w:szCs w:val="23"/>
                <w:color w:val="auto"/>
              </w:rPr>
            </w:pPr>
          </w:p>
        </w:tc>
      </w:tr>
      <w:tr>
        <w:trPr>
          <w:trHeight w:val="292"/>
        </w:trPr>
        <w:tc>
          <w:tcPr>
            <w:tcW w:w="59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shd w:val="clear" w:color="auto" w:fill="E6E6E6"/>
          </w:tcPr>
          <w:p>
            <w:pPr>
              <w:spacing w:after="0"/>
              <w:rPr>
                <w:sz w:val="24"/>
                <w:szCs w:val="24"/>
                <w:color w:val="auto"/>
              </w:rPr>
            </w:pPr>
          </w:p>
        </w:tc>
        <w:tc>
          <w:tcPr>
            <w:tcW w:w="1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8</w:t>
            </w: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1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5980" w:type="dxa"/>
            <w:vAlign w:val="bottom"/>
          </w:tcPr>
          <w:p>
            <w:pPr>
              <w:ind w:left="60"/>
              <w:spacing w:after="0"/>
              <w:rPr>
                <w:sz w:val="20"/>
                <w:szCs w:val="20"/>
                <w:color w:val="auto"/>
              </w:rPr>
            </w:pPr>
            <w:r>
              <w:rPr>
                <w:rFonts w:ascii="Arial" w:cs="Arial" w:eastAsia="Arial" w:hAnsi="Arial"/>
                <w:sz w:val="19"/>
                <w:szCs w:val="19"/>
                <w:color w:val="auto"/>
              </w:rPr>
              <w:t>Fair value of plan assets at end of year</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700" w:type="dxa"/>
            <w:vAlign w:val="bottom"/>
          </w:tcPr>
          <w:p>
            <w:pPr>
              <w:jc w:val="right"/>
              <w:spacing w:after="0"/>
              <w:rPr>
                <w:sz w:val="20"/>
                <w:szCs w:val="20"/>
                <w:color w:val="auto"/>
              </w:rPr>
            </w:pPr>
            <w:r>
              <w:rPr>
                <w:rFonts w:ascii="Arial" w:cs="Arial" w:eastAsia="Arial" w:hAnsi="Arial"/>
                <w:sz w:val="19"/>
                <w:szCs w:val="19"/>
                <w:color w:val="auto"/>
              </w:rPr>
              <w:t>4,047</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720" w:type="dxa"/>
            <w:vAlign w:val="bottom"/>
          </w:tcPr>
          <w:p>
            <w:pPr>
              <w:jc w:val="right"/>
              <w:spacing w:after="0"/>
              <w:rPr>
                <w:sz w:val="20"/>
                <w:szCs w:val="20"/>
                <w:color w:val="auto"/>
              </w:rPr>
            </w:pPr>
            <w:r>
              <w:rPr>
                <w:rFonts w:ascii="Arial" w:cs="Arial" w:eastAsia="Arial" w:hAnsi="Arial"/>
                <w:sz w:val="19"/>
                <w:szCs w:val="19"/>
                <w:color w:val="auto"/>
              </w:rPr>
              <w:t>3,601</w:t>
            </w:r>
          </w:p>
        </w:tc>
        <w:tc>
          <w:tcPr>
            <w:tcW w:w="20" w:type="dxa"/>
            <w:vAlign w:val="bottom"/>
          </w:tcPr>
          <w:p>
            <w:pPr>
              <w:spacing w:after="0"/>
              <w:rPr>
                <w:sz w:val="23"/>
                <w:szCs w:val="23"/>
                <w:color w:val="auto"/>
              </w:rPr>
            </w:pPr>
          </w:p>
        </w:tc>
      </w:tr>
      <w:tr>
        <w:trPr>
          <w:trHeight w:val="246"/>
        </w:trPr>
        <w:tc>
          <w:tcPr>
            <w:tcW w:w="5980" w:type="dxa"/>
            <w:vAlign w:val="bottom"/>
            <w:tcBorders>
              <w:top w:val="single" w:sz="8" w:color="E6E6E6"/>
              <w:bottom w:val="single" w:sz="8" w:color="E6E6E6"/>
            </w:tcBorders>
            <w:shd w:val="clear" w:color="auto" w:fill="E6E6E6"/>
          </w:tcPr>
          <w:p>
            <w:pPr>
              <w:ind w:left="60"/>
              <w:spacing w:after="0" w:line="207" w:lineRule="exact"/>
              <w:rPr>
                <w:sz w:val="20"/>
                <w:szCs w:val="20"/>
                <w:color w:val="auto"/>
              </w:rPr>
            </w:pPr>
            <w:r>
              <w:rPr>
                <w:rFonts w:ascii="Arial" w:cs="Arial" w:eastAsia="Arial" w:hAnsi="Arial"/>
                <w:sz w:val="19"/>
                <w:szCs w:val="19"/>
                <w:color w:val="auto"/>
              </w:rPr>
              <w:t>Funded status—Net amount recognized</w:t>
            </w:r>
          </w:p>
        </w:tc>
        <w:tc>
          <w:tcPr>
            <w:tcW w:w="160" w:type="dxa"/>
            <w:vAlign w:val="bottom"/>
            <w:tcBorders>
              <w:top w:val="single" w:sz="8" w:color="auto"/>
              <w:bottom w:val="single" w:sz="8" w:color="auto"/>
            </w:tcBorders>
            <w:shd w:val="clear" w:color="auto" w:fill="E6E6E6"/>
          </w:tcPr>
          <w:p>
            <w:pPr>
              <w:jc w:val="right"/>
              <w:spacing w:after="0" w:line="207" w:lineRule="exact"/>
              <w:rPr>
                <w:sz w:val="20"/>
                <w:szCs w:val="20"/>
                <w:color w:val="auto"/>
              </w:rPr>
            </w:pPr>
            <w:r>
              <w:rPr>
                <w:rFonts w:ascii="Arial" w:cs="Arial" w:eastAsia="Arial" w:hAnsi="Arial"/>
                <w:sz w:val="19"/>
                <w:szCs w:val="19"/>
                <w:color w:val="auto"/>
              </w:rPr>
              <w:t>$</w:t>
            </w:r>
          </w:p>
        </w:tc>
        <w:tc>
          <w:tcPr>
            <w:tcW w:w="1700" w:type="dxa"/>
            <w:vAlign w:val="bottom"/>
            <w:tcBorders>
              <w:top w:val="single" w:sz="8" w:color="auto"/>
              <w:bottom w:val="single" w:sz="8" w:color="auto"/>
            </w:tcBorders>
            <w:shd w:val="clear" w:color="auto" w:fill="E6E6E6"/>
          </w:tcPr>
          <w:p>
            <w:pPr>
              <w:jc w:val="right"/>
              <w:spacing w:after="0" w:line="207" w:lineRule="exact"/>
              <w:rPr>
                <w:sz w:val="20"/>
                <w:szCs w:val="20"/>
                <w:color w:val="auto"/>
              </w:rPr>
            </w:pPr>
            <w:r>
              <w:rPr>
                <w:rFonts w:ascii="Arial" w:cs="Arial" w:eastAsia="Arial" w:hAnsi="Arial"/>
                <w:sz w:val="19"/>
                <w:szCs w:val="19"/>
                <w:color w:val="auto"/>
              </w:rPr>
              <w:t>(577)</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140" w:type="dxa"/>
            <w:vAlign w:val="bottom"/>
            <w:tcBorders>
              <w:top w:val="single" w:sz="8" w:color="auto"/>
              <w:bottom w:val="single" w:sz="8" w:color="auto"/>
            </w:tcBorders>
            <w:shd w:val="clear" w:color="auto" w:fill="E6E6E6"/>
          </w:tcPr>
          <w:p>
            <w:pPr>
              <w:jc w:val="right"/>
              <w:spacing w:after="0" w:line="207" w:lineRule="exact"/>
              <w:rPr>
                <w:sz w:val="20"/>
                <w:szCs w:val="20"/>
                <w:color w:val="auto"/>
              </w:rPr>
            </w:pPr>
            <w:r>
              <w:rPr>
                <w:rFonts w:ascii="Arial" w:cs="Arial" w:eastAsia="Arial" w:hAnsi="Arial"/>
                <w:sz w:val="19"/>
                <w:szCs w:val="19"/>
                <w:color w:val="auto"/>
              </w:rPr>
              <w:t>$</w:t>
            </w:r>
          </w:p>
        </w:tc>
        <w:tc>
          <w:tcPr>
            <w:tcW w:w="1720" w:type="dxa"/>
            <w:vAlign w:val="bottom"/>
            <w:tcBorders>
              <w:top w:val="single" w:sz="8" w:color="auto"/>
              <w:bottom w:val="single" w:sz="8" w:color="auto"/>
            </w:tcBorders>
            <w:shd w:val="clear" w:color="auto" w:fill="E6E6E6"/>
          </w:tcPr>
          <w:p>
            <w:pPr>
              <w:jc w:val="right"/>
              <w:spacing w:after="0" w:line="207" w:lineRule="exact"/>
              <w:rPr>
                <w:sz w:val="20"/>
                <w:szCs w:val="20"/>
                <w:color w:val="auto"/>
              </w:rPr>
            </w:pPr>
            <w:r>
              <w:rPr>
                <w:rFonts w:ascii="Arial" w:cs="Arial" w:eastAsia="Arial" w:hAnsi="Arial"/>
                <w:sz w:val="19"/>
                <w:szCs w:val="19"/>
                <w:color w:val="auto"/>
              </w:rPr>
              <w:t>(714)</w:t>
            </w:r>
          </w:p>
        </w:tc>
        <w:tc>
          <w:tcPr>
            <w:tcW w:w="20" w:type="dxa"/>
            <w:vAlign w:val="bottom"/>
            <w:tcBorders>
              <w:top w:val="single" w:sz="8" w:color="E6E6E6"/>
              <w:bottom w:val="single" w:sz="8" w:color="E6E6E6"/>
            </w:tcBorders>
            <w:shd w:val="clear" w:color="auto" w:fill="E6E6E6"/>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-3200400</wp:posOffset>
            </wp:positionV>
            <wp:extent cx="243713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84">
                      <a:extLst>
                        <a:ext uri="{28A0092B-C50C-407E-A947-70E740481C1C}"/>
                      </a:extLst>
                    </a:blip>
                    <a:srcRect/>
                    <a:stretch>
                      <a:fillRect/>
                    </a:stretch>
                  </pic:blipFill>
                  <pic:spPr bwMode="auto">
                    <a:xfrm>
                      <a:off x="0" y="0"/>
                      <a:ext cx="2437130" cy="2540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-3037205</wp:posOffset>
            </wp:positionV>
            <wp:extent cx="2437130" cy="501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85">
                      <a:extLst>
                        <a:ext uri="{28A0092B-C50C-407E-A947-70E740481C1C}"/>
                      </a:extLst>
                    </a:blip>
                    <a:srcRect/>
                    <a:stretch>
                      <a:fillRect/>
                    </a:stretch>
                  </pic:blipFill>
                  <pic:spPr bwMode="auto">
                    <a:xfrm>
                      <a:off x="0" y="0"/>
                      <a:ext cx="2437130" cy="50165"/>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-1694180</wp:posOffset>
            </wp:positionV>
            <wp:extent cx="243713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86">
                      <a:extLst>
                        <a:ext uri="{28A0092B-C50C-407E-A947-70E740481C1C}"/>
                      </a:extLst>
                    </a:blip>
                    <a:srcRect/>
                    <a:stretch>
                      <a:fillRect/>
                    </a:stretch>
                  </pic:blipFill>
                  <pic:spPr bwMode="auto">
                    <a:xfrm>
                      <a:off x="0" y="0"/>
                      <a:ext cx="2437130" cy="2540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-1530985</wp:posOffset>
            </wp:positionV>
            <wp:extent cx="2437130" cy="501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87">
                      <a:extLst>
                        <a:ext uri="{28A0092B-C50C-407E-A947-70E740481C1C}"/>
                      </a:extLst>
                    </a:blip>
                    <a:srcRect/>
                    <a:stretch>
                      <a:fillRect/>
                    </a:stretch>
                  </pic:blipFill>
                  <pic:spPr bwMode="auto">
                    <a:xfrm>
                      <a:off x="0" y="0"/>
                      <a:ext cx="2437130" cy="50165"/>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-381635</wp:posOffset>
            </wp:positionV>
            <wp:extent cx="243713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88">
                      <a:extLst>
                        <a:ext uri="{28A0092B-C50C-407E-A947-70E740481C1C}"/>
                      </a:extLst>
                    </a:blip>
                    <a:srcRect/>
                    <a:stretch>
                      <a:fillRect/>
                    </a:stretch>
                  </pic:blipFill>
                  <pic:spPr bwMode="auto">
                    <a:xfrm>
                      <a:off x="0" y="0"/>
                      <a:ext cx="2437130" cy="2540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-218440</wp:posOffset>
            </wp:positionV>
            <wp:extent cx="2437130" cy="501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89">
                      <a:extLst>
                        <a:ext uri="{28A0092B-C50C-407E-A947-70E740481C1C}"/>
                      </a:extLst>
                    </a:blip>
                    <a:srcRect/>
                    <a:stretch>
                      <a:fillRect/>
                    </a:stretch>
                  </pic:blipFill>
                  <pic:spPr bwMode="auto">
                    <a:xfrm>
                      <a:off x="0" y="0"/>
                      <a:ext cx="2437130" cy="50165"/>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-42545</wp:posOffset>
            </wp:positionV>
            <wp:extent cx="2437130" cy="501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90">
                      <a:extLst>
                        <a:ext uri="{28A0092B-C50C-407E-A947-70E740481C1C}"/>
                      </a:extLst>
                    </a:blip>
                    <a:srcRect/>
                    <a:stretch>
                      <a:fillRect/>
                    </a:stretch>
                  </pic:blipFill>
                  <pic:spPr bwMode="auto">
                    <a:xfrm>
                      <a:off x="0" y="0"/>
                      <a:ext cx="2437130" cy="5016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60" w:type="dxa"/>
            <w:vAlign w:val="bottom"/>
            <w:gridSpan w:val="5"/>
          </w:tcPr>
          <w:p>
            <w:pPr>
              <w:ind w:left="1060"/>
              <w:spacing w:after="0"/>
              <w:rPr>
                <w:sz w:val="20"/>
                <w:szCs w:val="20"/>
                <w:color w:val="auto"/>
              </w:rPr>
            </w:pPr>
            <w:r>
              <w:rPr>
                <w:rFonts w:ascii="Arial" w:cs="Arial" w:eastAsia="Arial" w:hAnsi="Arial"/>
                <w:sz w:val="19"/>
                <w:szCs w:val="19"/>
                <w:b w:val="1"/>
                <w:bCs w:val="1"/>
                <w:color w:val="auto"/>
              </w:rPr>
              <w:t>Pension Benefits</w:t>
            </w:r>
          </w:p>
        </w:tc>
      </w:tr>
      <w:tr>
        <w:trPr>
          <w:trHeight w:val="257"/>
        </w:trPr>
        <w:tc>
          <w:tcPr>
            <w:tcW w:w="59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9"/>
                <w:szCs w:val="19"/>
                <w:b w:val="1"/>
                <w:bCs w:val="1"/>
                <w:color w:val="auto"/>
                <w:w w:val="89"/>
              </w:rPr>
              <w:t>December 31, 2025</w:t>
            </w: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9"/>
                <w:szCs w:val="19"/>
                <w:b w:val="1"/>
                <w:bCs w:val="1"/>
                <w:color w:val="auto"/>
                <w:w w:val="91"/>
              </w:rPr>
              <w:t>December 31, 2024</w:t>
            </w:r>
          </w:p>
        </w:tc>
        <w:tc>
          <w:tcPr>
            <w:tcW w:w="20" w:type="dxa"/>
            <w:vAlign w:val="bottom"/>
          </w:tcPr>
          <w:p>
            <w:pPr>
              <w:spacing w:after="0"/>
              <w:rPr>
                <w:sz w:val="22"/>
                <w:szCs w:val="22"/>
                <w:color w:val="auto"/>
              </w:rPr>
            </w:pPr>
          </w:p>
        </w:tc>
      </w:tr>
      <w:tr>
        <w:trPr>
          <w:trHeight w:val="260"/>
        </w:trPr>
        <w:tc>
          <w:tcPr>
            <w:tcW w:w="5980" w:type="dxa"/>
            <w:vAlign w:val="bottom"/>
          </w:tcPr>
          <w:p>
            <w:pPr>
              <w:ind w:left="60"/>
              <w:spacing w:after="0"/>
              <w:rPr>
                <w:sz w:val="20"/>
                <w:szCs w:val="20"/>
                <w:color w:val="auto"/>
              </w:rPr>
            </w:pPr>
            <w:r>
              <w:rPr>
                <w:rFonts w:ascii="Arial" w:cs="Arial" w:eastAsia="Arial" w:hAnsi="Arial"/>
                <w:sz w:val="19"/>
                <w:szCs w:val="19"/>
                <w:color w:val="auto"/>
              </w:rPr>
              <w:t>Amounts recognized in the consolidated balance sheets consist of:</w:t>
            </w:r>
          </w:p>
        </w:tc>
        <w:tc>
          <w:tcPr>
            <w:tcW w:w="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3"/>
        </w:trPr>
        <w:tc>
          <w:tcPr>
            <w:tcW w:w="5980" w:type="dxa"/>
            <w:vAlign w:val="bottom"/>
            <w:shd w:val="clear" w:color="auto" w:fill="E6E6E6"/>
          </w:tcPr>
          <w:p>
            <w:pPr>
              <w:ind w:left="60"/>
              <w:spacing w:after="0"/>
              <w:rPr>
                <w:sz w:val="20"/>
                <w:szCs w:val="20"/>
                <w:color w:val="auto"/>
              </w:rPr>
            </w:pPr>
            <w:r>
              <w:rPr>
                <w:rFonts w:ascii="Arial" w:cs="Arial" w:eastAsia="Arial" w:hAnsi="Arial"/>
                <w:sz w:val="19"/>
                <w:szCs w:val="19"/>
                <w:color w:val="auto"/>
              </w:rPr>
              <w:t>Noncurrent asset</w:t>
            </w:r>
          </w:p>
        </w:tc>
        <w:tc>
          <w:tcPr>
            <w:tcW w:w="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23</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22</w:t>
            </w:r>
          </w:p>
        </w:tc>
        <w:tc>
          <w:tcPr>
            <w:tcW w:w="20" w:type="dxa"/>
            <w:vAlign w:val="bottom"/>
            <w:shd w:val="clear" w:color="auto" w:fill="E6E6E6"/>
          </w:tcPr>
          <w:p>
            <w:pPr>
              <w:spacing w:after="0"/>
              <w:rPr>
                <w:sz w:val="24"/>
                <w:szCs w:val="24"/>
                <w:color w:val="auto"/>
              </w:rPr>
            </w:pPr>
          </w:p>
        </w:tc>
      </w:tr>
      <w:tr>
        <w:trPr>
          <w:trHeight w:val="270"/>
        </w:trPr>
        <w:tc>
          <w:tcPr>
            <w:tcW w:w="5980" w:type="dxa"/>
            <w:vAlign w:val="bottom"/>
          </w:tcPr>
          <w:p>
            <w:pPr>
              <w:ind w:left="60"/>
              <w:spacing w:after="0"/>
              <w:rPr>
                <w:sz w:val="20"/>
                <w:szCs w:val="20"/>
                <w:color w:val="auto"/>
              </w:rPr>
            </w:pPr>
            <w:r>
              <w:rPr>
                <w:rFonts w:ascii="Arial" w:cs="Arial" w:eastAsia="Arial" w:hAnsi="Arial"/>
                <w:sz w:val="19"/>
                <w:szCs w:val="19"/>
                <w:color w:val="auto"/>
              </w:rPr>
              <w:t>Current liability</w:t>
            </w:r>
          </w:p>
        </w:tc>
        <w:tc>
          <w:tcPr>
            <w:tcW w:w="1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9"/>
                <w:szCs w:val="19"/>
                <w:color w:val="auto"/>
              </w:rPr>
              <w:t>(6)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(7)</w:t>
            </w:r>
          </w:p>
        </w:tc>
        <w:tc>
          <w:tcPr>
            <w:tcW w:w="20" w:type="dxa"/>
            <w:vAlign w:val="bottom"/>
          </w:tcPr>
          <w:p>
            <w:pPr>
              <w:spacing w:after="0"/>
              <w:rPr>
                <w:sz w:val="23"/>
                <w:szCs w:val="23"/>
                <w:color w:val="auto"/>
              </w:rPr>
            </w:pPr>
          </w:p>
        </w:tc>
      </w:tr>
      <w:tr>
        <w:trPr>
          <w:trHeight w:val="292"/>
        </w:trPr>
        <w:tc>
          <w:tcPr>
            <w:tcW w:w="59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Noncurrent liability</w:t>
            </w:r>
          </w:p>
        </w:tc>
        <w:tc>
          <w:tcPr>
            <w:tcW w:w="160" w:type="dxa"/>
            <w:vAlign w:val="bottom"/>
            <w:tcBorders>
              <w:bottom w:val="single" w:sz="8" w:color="auto"/>
            </w:tcBorders>
            <w:shd w:val="clear" w:color="auto" w:fill="E6E6E6"/>
          </w:tcPr>
          <w:p>
            <w:pPr>
              <w:spacing w:after="0"/>
              <w:rPr>
                <w:sz w:val="24"/>
                <w:szCs w:val="24"/>
                <w:color w:val="auto"/>
              </w:rPr>
            </w:pPr>
          </w:p>
        </w:tc>
        <w:tc>
          <w:tcPr>
            <w:tcW w:w="1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(594)</w:t>
            </w: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1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(729)</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57"/>
        </w:trPr>
        <w:tc>
          <w:tcPr>
            <w:tcW w:w="5980" w:type="dxa"/>
            <w:vAlign w:val="bottom"/>
          </w:tcPr>
          <w:p>
            <w:pPr>
              <w:ind w:left="60"/>
              <w:spacing w:after="0"/>
              <w:rPr>
                <w:sz w:val="20"/>
                <w:szCs w:val="20"/>
                <w:color w:val="auto"/>
              </w:rPr>
            </w:pPr>
            <w:r>
              <w:rPr>
                <w:rFonts w:ascii="Arial" w:cs="Arial" w:eastAsia="Arial" w:hAnsi="Arial"/>
                <w:sz w:val="19"/>
                <w:szCs w:val="19"/>
                <w:color w:val="auto"/>
              </w:rPr>
              <w:t>Total liability</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700" w:type="dxa"/>
            <w:vAlign w:val="bottom"/>
          </w:tcPr>
          <w:p>
            <w:pPr>
              <w:jc w:val="right"/>
              <w:spacing w:after="0"/>
              <w:rPr>
                <w:sz w:val="20"/>
                <w:szCs w:val="20"/>
                <w:color w:val="auto"/>
              </w:rPr>
            </w:pPr>
            <w:r>
              <w:rPr>
                <w:rFonts w:ascii="Arial" w:cs="Arial" w:eastAsia="Arial" w:hAnsi="Arial"/>
                <w:sz w:val="19"/>
                <w:szCs w:val="19"/>
                <w:color w:val="auto"/>
              </w:rPr>
              <w:t>(577)</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720" w:type="dxa"/>
            <w:vAlign w:val="bottom"/>
          </w:tcPr>
          <w:p>
            <w:pPr>
              <w:jc w:val="right"/>
              <w:spacing w:after="0"/>
              <w:rPr>
                <w:sz w:val="20"/>
                <w:szCs w:val="20"/>
                <w:color w:val="auto"/>
              </w:rPr>
            </w:pPr>
            <w:r>
              <w:rPr>
                <w:rFonts w:ascii="Arial" w:cs="Arial" w:eastAsia="Arial" w:hAnsi="Arial"/>
                <w:sz w:val="19"/>
                <w:szCs w:val="19"/>
                <w:color w:val="auto"/>
              </w:rPr>
              <w:t>(714)</w:t>
            </w:r>
          </w:p>
        </w:tc>
        <w:tc>
          <w:tcPr>
            <w:tcW w:w="20" w:type="dxa"/>
            <w:vAlign w:val="bottom"/>
          </w:tcPr>
          <w:p>
            <w:pPr>
              <w:spacing w:after="0"/>
              <w:rPr>
                <w:sz w:val="22"/>
                <w:szCs w:val="22"/>
                <w:color w:val="auto"/>
              </w:rPr>
            </w:pPr>
          </w:p>
        </w:tc>
      </w:tr>
      <w:tr>
        <w:trPr>
          <w:trHeight w:val="247"/>
        </w:trPr>
        <w:tc>
          <w:tcPr>
            <w:tcW w:w="5980" w:type="dxa"/>
            <w:vAlign w:val="bottom"/>
            <w:tcBorders>
              <w:top w:val="single" w:sz="8" w:color="E6E6E6"/>
            </w:tcBorders>
            <w:shd w:val="clear" w:color="auto" w:fill="E6E6E6"/>
          </w:tcPr>
          <w:p>
            <w:pPr>
              <w:spacing w:after="0"/>
              <w:rPr>
                <w:sz w:val="21"/>
                <w:szCs w:val="21"/>
                <w:color w:val="auto"/>
              </w:rPr>
            </w:pPr>
          </w:p>
        </w:tc>
        <w:tc>
          <w:tcPr>
            <w:tcW w:w="160" w:type="dxa"/>
            <w:vAlign w:val="bottom"/>
            <w:tcBorders>
              <w:top w:val="single" w:sz="8" w:color="auto"/>
            </w:tcBorders>
            <w:shd w:val="clear" w:color="auto" w:fill="E6E6E6"/>
          </w:tcPr>
          <w:p>
            <w:pPr>
              <w:spacing w:after="0"/>
              <w:rPr>
                <w:sz w:val="21"/>
                <w:szCs w:val="21"/>
                <w:color w:val="auto"/>
              </w:rPr>
            </w:pPr>
          </w:p>
        </w:tc>
        <w:tc>
          <w:tcPr>
            <w:tcW w:w="170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140" w:type="dxa"/>
            <w:vAlign w:val="bottom"/>
            <w:tcBorders>
              <w:top w:val="single" w:sz="8" w:color="auto"/>
            </w:tcBorders>
            <w:shd w:val="clear" w:color="auto" w:fill="E6E6E6"/>
          </w:tcPr>
          <w:p>
            <w:pPr>
              <w:spacing w:after="0"/>
              <w:rPr>
                <w:sz w:val="21"/>
                <w:szCs w:val="21"/>
                <w:color w:val="auto"/>
              </w:rPr>
            </w:pPr>
          </w:p>
        </w:tc>
        <w:tc>
          <w:tcPr>
            <w:tcW w:w="1720" w:type="dxa"/>
            <w:vAlign w:val="bottom"/>
            <w:tcBorders>
              <w:top w:val="single" w:sz="8" w:color="auto"/>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r>
      <w:tr>
        <w:trPr>
          <w:trHeight w:val="186"/>
        </w:trPr>
        <w:tc>
          <w:tcPr>
            <w:tcW w:w="5980" w:type="dxa"/>
            <w:vAlign w:val="bottom"/>
          </w:tcPr>
          <w:p>
            <w:pPr>
              <w:ind w:left="60"/>
              <w:spacing w:after="0" w:line="185" w:lineRule="exact"/>
              <w:rPr>
                <w:sz w:val="20"/>
                <w:szCs w:val="20"/>
                <w:color w:val="auto"/>
              </w:rPr>
            </w:pPr>
            <w:r>
              <w:rPr>
                <w:rFonts w:ascii="Arial" w:cs="Arial" w:eastAsia="Arial" w:hAnsi="Arial"/>
                <w:sz w:val="19"/>
                <w:szCs w:val="19"/>
                <w:color w:val="auto"/>
                <w:w w:val="95"/>
              </w:rPr>
              <w:t>Amounts recognized in accumulated other comprehensive income consist</w:t>
            </w: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0"/>
        </w:trPr>
        <w:tc>
          <w:tcPr>
            <w:tcW w:w="5980" w:type="dxa"/>
            <w:vAlign w:val="bottom"/>
          </w:tcPr>
          <w:p>
            <w:pPr>
              <w:ind w:left="60"/>
              <w:spacing w:after="0"/>
              <w:rPr>
                <w:sz w:val="20"/>
                <w:szCs w:val="20"/>
                <w:color w:val="auto"/>
              </w:rPr>
            </w:pPr>
            <w:r>
              <w:rPr>
                <w:rFonts w:ascii="Arial" w:cs="Arial" w:eastAsia="Arial" w:hAnsi="Arial"/>
                <w:sz w:val="19"/>
                <w:szCs w:val="19"/>
                <w:color w:val="auto"/>
              </w:rPr>
              <w:t>of:</w:t>
            </w:r>
          </w:p>
        </w:tc>
        <w:tc>
          <w:tcPr>
            <w:tcW w:w="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1"/>
        </w:trPr>
        <w:tc>
          <w:tcPr>
            <w:tcW w:w="59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Net actuarial gain</w:t>
            </w: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21</w:t>
            </w: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95</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19"/>
        </w:trPr>
        <w:tc>
          <w:tcPr>
            <w:tcW w:w="5980" w:type="dxa"/>
            <w:vAlign w:val="bottom"/>
          </w:tcPr>
          <w:p>
            <w:pPr>
              <w:ind w:left="60"/>
              <w:spacing w:after="0"/>
              <w:rPr>
                <w:sz w:val="20"/>
                <w:szCs w:val="20"/>
                <w:color w:val="auto"/>
              </w:rPr>
            </w:pPr>
            <w:r>
              <w:rPr>
                <w:rFonts w:ascii="Arial" w:cs="Arial" w:eastAsia="Arial" w:hAnsi="Arial"/>
                <w:sz w:val="19"/>
                <w:szCs w:val="19"/>
                <w:color w:val="auto"/>
              </w:rPr>
              <w:t>Total accumulated other comprehensive gain</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700" w:type="dxa"/>
            <w:vAlign w:val="bottom"/>
          </w:tcPr>
          <w:p>
            <w:pPr>
              <w:jc w:val="right"/>
              <w:spacing w:after="0"/>
              <w:rPr>
                <w:sz w:val="20"/>
                <w:szCs w:val="20"/>
                <w:color w:val="auto"/>
              </w:rPr>
            </w:pPr>
            <w:r>
              <w:rPr>
                <w:rFonts w:ascii="Arial" w:cs="Arial" w:eastAsia="Arial" w:hAnsi="Arial"/>
                <w:sz w:val="19"/>
                <w:szCs w:val="19"/>
                <w:color w:val="auto"/>
              </w:rPr>
              <w:t>21</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720" w:type="dxa"/>
            <w:vAlign w:val="bottom"/>
          </w:tcPr>
          <w:p>
            <w:pPr>
              <w:jc w:val="right"/>
              <w:spacing w:after="0"/>
              <w:rPr>
                <w:sz w:val="20"/>
                <w:szCs w:val="20"/>
                <w:color w:val="auto"/>
              </w:rPr>
            </w:pPr>
            <w:r>
              <w:rPr>
                <w:rFonts w:ascii="Arial" w:cs="Arial" w:eastAsia="Arial" w:hAnsi="Arial"/>
                <w:sz w:val="19"/>
                <w:szCs w:val="19"/>
                <w:color w:val="auto"/>
              </w:rPr>
              <w:t>95</w:t>
            </w:r>
          </w:p>
        </w:tc>
        <w:tc>
          <w:tcPr>
            <w:tcW w:w="2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-1019175</wp:posOffset>
            </wp:positionV>
            <wp:extent cx="243713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91">
                      <a:extLst>
                        <a:ext uri="{28A0092B-C50C-407E-A947-70E740481C1C}"/>
                      </a:extLst>
                    </a:blip>
                    <a:srcRect/>
                    <a:stretch>
                      <a:fillRect/>
                    </a:stretch>
                  </pic:blipFill>
                  <pic:spPr bwMode="auto">
                    <a:xfrm>
                      <a:off x="0" y="0"/>
                      <a:ext cx="2437130" cy="2540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-855980</wp:posOffset>
            </wp:positionV>
            <wp:extent cx="2437130" cy="501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92">
                      <a:extLst>
                        <a:ext uri="{28A0092B-C50C-407E-A947-70E740481C1C}"/>
                      </a:extLst>
                    </a:blip>
                    <a:srcRect/>
                    <a:stretch>
                      <a:fillRect/>
                    </a:stretch>
                  </pic:blipFill>
                  <pic:spPr bwMode="auto">
                    <a:xfrm>
                      <a:off x="0" y="0"/>
                      <a:ext cx="2437130" cy="50165"/>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-206375</wp:posOffset>
            </wp:positionV>
            <wp:extent cx="243713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93">
                      <a:extLst>
                        <a:ext uri="{28A0092B-C50C-407E-A947-70E740481C1C}"/>
                      </a:extLst>
                    </a:blip>
                    <a:srcRect/>
                    <a:stretch>
                      <a:fillRect/>
                    </a:stretch>
                  </pic:blipFill>
                  <pic:spPr bwMode="auto">
                    <a:xfrm>
                      <a:off x="0" y="0"/>
                      <a:ext cx="2437130" cy="25400"/>
                    </a:xfrm>
                    <a:prstGeom prst="rect">
                      <a:avLst/>
                    </a:prstGeom>
                    <a:noFill/>
                  </pic:spPr>
                </pic:pic>
              </a:graphicData>
            </a:graphic>
          </wp:anchor>
        </w:drawing>
      </w:r>
    </w:p>
    <w:p>
      <w:pPr>
        <w:sectPr>
          <w:pgSz w:w="11880" w:h="15480" w:orient="portrait"/>
          <w:cols w:equalWidth="0" w:num="1">
            <w:col w:w="9960"/>
          </w:cols>
          <w:pgMar w:left="960" w:top="586"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9960"/>
          </w:cols>
          <w:pgMar w:left="960" w:top="586" w:right="960" w:bottom="33" w:gutter="0" w:footer="0" w:header="0"/>
          <w:type w:val="continuous"/>
        </w:sectPr>
      </w:pPr>
    </w:p>
    <w:bookmarkStart w:id="81" w:name="page82"/>
    <w:bookmarkEnd w:id="81"/>
    <w:tbl>
      <w:tblPr>
        <w:tblLayout w:type="fixed"/>
        <w:tblInd w:w="140" w:type="dxa"/>
        <w:tblCellMar>
          <w:top w:w="0" w:type="dxa"/>
          <w:left w:w="0" w:type="dxa"/>
          <w:bottom w:w="0" w:type="dxa"/>
          <w:right w:w="0" w:type="dxa"/>
        </w:tblCellMar>
      </w:tblPr>
      <w:tr>
        <w:trPr>
          <w:trHeight w:val="271"/>
        </w:trPr>
        <w:tc>
          <w:tcPr>
            <w:tcW w:w="5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66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9"/>
                <w:szCs w:val="19"/>
                <w:b w:val="1"/>
                <w:bCs w:val="1"/>
                <w:color w:val="auto"/>
              </w:rPr>
              <w:t>Other Postretirement Benefits</w:t>
            </w:r>
          </w:p>
        </w:tc>
      </w:tr>
      <w:tr>
        <w:trPr>
          <w:trHeight w:val="380"/>
        </w:trPr>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jc w:val="right"/>
              <w:ind w:right="343"/>
              <w:spacing w:after="0"/>
              <w:rPr>
                <w:sz w:val="20"/>
                <w:szCs w:val="20"/>
                <w:color w:val="auto"/>
              </w:rPr>
            </w:pPr>
            <w:r>
              <w:rPr>
                <w:rFonts w:ascii="Arial" w:cs="Arial" w:eastAsia="Arial" w:hAnsi="Arial"/>
                <w:sz w:val="19"/>
                <w:szCs w:val="19"/>
                <w:b w:val="1"/>
                <w:bCs w:val="1"/>
                <w:color w:val="auto"/>
              </w:rPr>
              <w:t>Year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ind w:right="343"/>
              <w:spacing w:after="0"/>
              <w:rPr>
                <w:sz w:val="20"/>
                <w:szCs w:val="20"/>
                <w:color w:val="auto"/>
              </w:rPr>
            </w:pPr>
            <w:r>
              <w:rPr>
                <w:rFonts w:ascii="Arial" w:cs="Arial" w:eastAsia="Arial" w:hAnsi="Arial"/>
                <w:sz w:val="19"/>
                <w:szCs w:val="19"/>
                <w:b w:val="1"/>
                <w:bCs w:val="1"/>
                <w:color w:val="auto"/>
              </w:rPr>
              <w:t>Year Ended</w:t>
            </w:r>
          </w:p>
        </w:tc>
      </w:tr>
      <w:tr>
        <w:trPr>
          <w:trHeight w:val="255"/>
        </w:trPr>
        <w:tc>
          <w:tcPr>
            <w:tcW w:w="5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b w:val="1"/>
                <w:bCs w:val="1"/>
                <w:color w:val="auto"/>
                <w:w w:val="89"/>
              </w:rPr>
              <w:t>December 31, 2025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b w:val="1"/>
                <w:bCs w:val="1"/>
                <w:color w:val="auto"/>
                <w:w w:val="89"/>
              </w:rPr>
              <w:t>December 31, 2024</w:t>
            </w:r>
          </w:p>
        </w:tc>
      </w:tr>
      <w:tr>
        <w:trPr>
          <w:trHeight w:val="274"/>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Change in benefit obligation:</w:t>
            </w: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97"/>
        </w:trPr>
        <w:tc>
          <w:tcPr>
            <w:tcW w:w="590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Benefit obligation at beginning of year</w:t>
            </w:r>
          </w:p>
        </w:tc>
        <w:tc>
          <w:tcPr>
            <w:tcW w:w="12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4"/>
              </w:rPr>
              <w:t>$</w:t>
            </w: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590</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746</w:t>
            </w:r>
          </w:p>
        </w:tc>
      </w:tr>
      <w:tr>
        <w:trPr>
          <w:trHeight w:val="285"/>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Service cost</w:t>
            </w:r>
          </w:p>
        </w:tc>
        <w:tc>
          <w:tcPr>
            <w:tcW w:w="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97"/>
        </w:trPr>
        <w:tc>
          <w:tcPr>
            <w:tcW w:w="590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Interest cost</w:t>
            </w:r>
          </w:p>
        </w:tc>
        <w:tc>
          <w:tcPr>
            <w:tcW w:w="120" w:type="dxa"/>
            <w:vAlign w:val="bottom"/>
            <w:shd w:val="clear" w:color="auto" w:fill="E6E6E6"/>
          </w:tcPr>
          <w:p>
            <w:pPr>
              <w:spacing w:after="0"/>
              <w:rPr>
                <w:sz w:val="24"/>
                <w:szCs w:val="24"/>
                <w:color w:val="auto"/>
              </w:rPr>
            </w:pP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31</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38</w:t>
            </w:r>
          </w:p>
        </w:tc>
      </w:tr>
      <w:tr>
        <w:trPr>
          <w:trHeight w:val="285"/>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Participant contributions</w:t>
            </w:r>
          </w:p>
        </w:tc>
        <w:tc>
          <w:tcPr>
            <w:tcW w:w="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60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65</w:t>
            </w:r>
          </w:p>
        </w:tc>
      </w:tr>
      <w:tr>
        <w:trPr>
          <w:trHeight w:val="297"/>
        </w:trPr>
        <w:tc>
          <w:tcPr>
            <w:tcW w:w="590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Benefits paid</w:t>
            </w:r>
          </w:p>
        </w:tc>
        <w:tc>
          <w:tcPr>
            <w:tcW w:w="120" w:type="dxa"/>
            <w:vAlign w:val="bottom"/>
            <w:shd w:val="clear" w:color="auto" w:fill="E6E6E6"/>
          </w:tcPr>
          <w:p>
            <w:pPr>
              <w:spacing w:after="0"/>
              <w:rPr>
                <w:sz w:val="24"/>
                <w:szCs w:val="24"/>
                <w:color w:val="auto"/>
              </w:rPr>
            </w:pP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(148)</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(163)</w:t>
            </w:r>
          </w:p>
        </w:tc>
      </w:tr>
      <w:tr>
        <w:trPr>
          <w:trHeight w:val="281"/>
        </w:trPr>
        <w:tc>
          <w:tcPr>
            <w:tcW w:w="588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Actuarial (gain) loss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w:t>
            </w:r>
          </w:p>
        </w:tc>
      </w:tr>
      <w:tr>
        <w:trPr>
          <w:trHeight w:val="290"/>
        </w:trPr>
        <w:tc>
          <w:tcPr>
            <w:tcW w:w="58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Benefit obligation at end of year</w:t>
            </w:r>
          </w:p>
        </w:tc>
        <w:tc>
          <w:tcPr>
            <w:tcW w:w="20" w:type="dxa"/>
            <w:vAlign w:val="bottom"/>
            <w:tcBorders>
              <w:bottom w:val="single" w:sz="8" w:color="auto"/>
            </w:tcBorders>
            <w:shd w:val="clear" w:color="auto" w:fill="E6E6E6"/>
          </w:tcPr>
          <w:p>
            <w:pPr>
              <w:spacing w:after="0"/>
              <w:rPr>
                <w:sz w:val="24"/>
                <w:szCs w:val="24"/>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4"/>
              </w:rPr>
              <w:t>$</w:t>
            </w:r>
          </w:p>
        </w:tc>
        <w:tc>
          <w:tcPr>
            <w:tcW w:w="1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538</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590</w:t>
            </w:r>
          </w:p>
        </w:tc>
      </w:tr>
      <w:tr>
        <w:trPr>
          <w:trHeight w:val="547"/>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Change in plan assets:</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97"/>
        </w:trPr>
        <w:tc>
          <w:tcPr>
            <w:tcW w:w="590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Fair value of plan assets at beginning of year</w:t>
            </w:r>
          </w:p>
        </w:tc>
        <w:tc>
          <w:tcPr>
            <w:tcW w:w="12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4"/>
              </w:rPr>
              <w:t>$</w:t>
            </w: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45</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46</w:t>
            </w:r>
          </w:p>
        </w:tc>
      </w:tr>
      <w:tr>
        <w:trPr>
          <w:trHeight w:val="285"/>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Actual return on plan assets</w:t>
            </w:r>
          </w:p>
        </w:tc>
        <w:tc>
          <w:tcPr>
            <w:tcW w:w="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97"/>
        </w:trPr>
        <w:tc>
          <w:tcPr>
            <w:tcW w:w="590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Employer contributions</w:t>
            </w:r>
          </w:p>
        </w:tc>
        <w:tc>
          <w:tcPr>
            <w:tcW w:w="120" w:type="dxa"/>
            <w:vAlign w:val="bottom"/>
            <w:shd w:val="clear" w:color="auto" w:fill="E6E6E6"/>
          </w:tcPr>
          <w:p>
            <w:pPr>
              <w:spacing w:after="0"/>
              <w:rPr>
                <w:sz w:val="24"/>
                <w:szCs w:val="24"/>
                <w:color w:val="auto"/>
              </w:rPr>
            </w:pP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85</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96</w:t>
            </w:r>
          </w:p>
        </w:tc>
      </w:tr>
      <w:tr>
        <w:trPr>
          <w:trHeight w:val="285"/>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Participant contributions</w:t>
            </w:r>
          </w:p>
        </w:tc>
        <w:tc>
          <w:tcPr>
            <w:tcW w:w="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60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65</w:t>
            </w:r>
          </w:p>
        </w:tc>
      </w:tr>
      <w:tr>
        <w:trPr>
          <w:trHeight w:val="287"/>
        </w:trPr>
        <w:tc>
          <w:tcPr>
            <w:tcW w:w="58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Benefits paid</w:t>
            </w:r>
          </w:p>
        </w:tc>
        <w:tc>
          <w:tcPr>
            <w:tcW w:w="20" w:type="dxa"/>
            <w:vAlign w:val="bottom"/>
            <w:tcBorders>
              <w:bottom w:val="single" w:sz="8" w:color="auto"/>
            </w:tcBorders>
            <w:shd w:val="clear" w:color="auto" w:fill="E6E6E6"/>
          </w:tcPr>
          <w:p>
            <w:pPr>
              <w:spacing w:after="0"/>
              <w:rPr>
                <w:sz w:val="24"/>
                <w:szCs w:val="24"/>
                <w:color w:val="auto"/>
              </w:rPr>
            </w:pPr>
          </w:p>
        </w:tc>
        <w:tc>
          <w:tcPr>
            <w:tcW w:w="120" w:type="dxa"/>
            <w:vAlign w:val="bottom"/>
            <w:tcBorders>
              <w:bottom w:val="single" w:sz="8" w:color="auto"/>
            </w:tcBorders>
            <w:shd w:val="clear" w:color="auto" w:fill="E6E6E6"/>
          </w:tcPr>
          <w:p>
            <w:pPr>
              <w:spacing w:after="0"/>
              <w:rPr>
                <w:sz w:val="24"/>
                <w:szCs w:val="24"/>
                <w:color w:val="auto"/>
              </w:rPr>
            </w:pPr>
          </w:p>
        </w:tc>
        <w:tc>
          <w:tcPr>
            <w:tcW w:w="1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(148)</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(163)</w:t>
            </w:r>
          </w:p>
        </w:tc>
      </w:tr>
      <w:tr>
        <w:trPr>
          <w:trHeight w:val="271"/>
        </w:trPr>
        <w:tc>
          <w:tcPr>
            <w:tcW w:w="588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Fair value of plan assets at end of year</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w:t>
            </w: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w:t>
            </w:r>
          </w:p>
        </w:tc>
      </w:tr>
      <w:tr>
        <w:trPr>
          <w:trHeight w:val="290"/>
        </w:trPr>
        <w:tc>
          <w:tcPr>
            <w:tcW w:w="58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Funded status—Net amount recognized</w:t>
            </w:r>
          </w:p>
        </w:tc>
        <w:tc>
          <w:tcPr>
            <w:tcW w:w="20" w:type="dxa"/>
            <w:vAlign w:val="bottom"/>
            <w:tcBorders>
              <w:bottom w:val="single" w:sz="8" w:color="auto"/>
            </w:tcBorders>
            <w:shd w:val="clear" w:color="auto" w:fill="E6E6E6"/>
          </w:tcPr>
          <w:p>
            <w:pPr>
              <w:spacing w:after="0"/>
              <w:rPr>
                <w:sz w:val="24"/>
                <w:szCs w:val="24"/>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4"/>
              </w:rPr>
              <w:t>$</w:t>
            </w:r>
          </w:p>
        </w:tc>
        <w:tc>
          <w:tcPr>
            <w:tcW w:w="1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(495)</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(545)</w:t>
            </w:r>
          </w:p>
        </w:tc>
      </w:tr>
      <w:tr>
        <w:trPr>
          <w:trHeight w:val="431"/>
        </w:trPr>
        <w:tc>
          <w:tcPr>
            <w:tcW w:w="5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9"/>
                <w:szCs w:val="19"/>
                <w:b w:val="1"/>
                <w:bCs w:val="1"/>
                <w:color w:val="auto"/>
              </w:rPr>
              <w:t>Other Postretirement Benefits</w:t>
            </w:r>
          </w:p>
        </w:tc>
      </w:tr>
      <w:tr>
        <w:trPr>
          <w:trHeight w:val="446"/>
        </w:trPr>
        <w:tc>
          <w:tcPr>
            <w:tcW w:w="5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b w:val="1"/>
                <w:bCs w:val="1"/>
                <w:color w:val="auto"/>
                <w:w w:val="89"/>
              </w:rPr>
              <w:t>December 31, 2025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b w:val="1"/>
                <w:bCs w:val="1"/>
                <w:color w:val="auto"/>
                <w:w w:val="89"/>
              </w:rPr>
              <w:t>December 31, 2024</w:t>
            </w:r>
          </w:p>
        </w:tc>
      </w:tr>
      <w:tr>
        <w:trPr>
          <w:trHeight w:val="260"/>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Amounts recognized in the consolidated balance sheets consist of:</w:t>
            </w: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3"/>
        </w:trPr>
        <w:tc>
          <w:tcPr>
            <w:tcW w:w="590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Current liability</w:t>
            </w:r>
          </w:p>
        </w:tc>
        <w:tc>
          <w:tcPr>
            <w:tcW w:w="12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4"/>
              </w:rPr>
              <w:t>$</w:t>
            </w: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(30)</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(41)</w:t>
            </w:r>
          </w:p>
        </w:tc>
      </w:tr>
      <w:tr>
        <w:trPr>
          <w:trHeight w:val="266"/>
        </w:trPr>
        <w:tc>
          <w:tcPr>
            <w:tcW w:w="588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Noncurrent liability</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(465)</w:t>
            </w: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(504)</w:t>
            </w:r>
          </w:p>
        </w:tc>
      </w:tr>
      <w:tr>
        <w:trPr>
          <w:trHeight w:val="276"/>
        </w:trPr>
        <w:tc>
          <w:tcPr>
            <w:tcW w:w="590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Total liability</w:t>
            </w:r>
          </w:p>
        </w:tc>
        <w:tc>
          <w:tcPr>
            <w:tcW w:w="12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4"/>
              </w:rPr>
              <w:t>$</w:t>
            </w: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(495)</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(545)</w:t>
            </w:r>
          </w:p>
        </w:tc>
      </w:tr>
      <w:tr>
        <w:trPr>
          <w:trHeight w:val="247"/>
        </w:trPr>
        <w:tc>
          <w:tcPr>
            <w:tcW w:w="588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60" w:type="dxa"/>
            <w:vAlign w:val="bottom"/>
            <w:tcBorders>
              <w:top w:val="single" w:sz="8" w:color="E6E6E6"/>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186"/>
        </w:trPr>
        <w:tc>
          <w:tcPr>
            <w:tcW w:w="5900" w:type="dxa"/>
            <w:vAlign w:val="bottom"/>
            <w:gridSpan w:val="2"/>
            <w:shd w:val="clear" w:color="auto" w:fill="E6E6E6"/>
          </w:tcPr>
          <w:p>
            <w:pPr>
              <w:ind w:left="60"/>
              <w:spacing w:after="0" w:line="186" w:lineRule="exact"/>
              <w:rPr>
                <w:sz w:val="20"/>
                <w:szCs w:val="20"/>
                <w:color w:val="auto"/>
              </w:rPr>
            </w:pPr>
            <w:r>
              <w:rPr>
                <w:rFonts w:ascii="Arial" w:cs="Arial" w:eastAsia="Arial" w:hAnsi="Arial"/>
                <w:sz w:val="19"/>
                <w:szCs w:val="19"/>
                <w:color w:val="auto"/>
                <w:w w:val="93"/>
              </w:rPr>
              <w:t>Amounts recognized in accumulated other comprehensive income consist</w:t>
            </w:r>
          </w:p>
        </w:tc>
        <w:tc>
          <w:tcPr>
            <w:tcW w:w="120" w:type="dxa"/>
            <w:vAlign w:val="bottom"/>
            <w:shd w:val="clear" w:color="auto" w:fill="E6E6E6"/>
          </w:tcPr>
          <w:p>
            <w:pPr>
              <w:spacing w:after="0"/>
              <w:rPr>
                <w:sz w:val="16"/>
                <w:szCs w:val="16"/>
                <w:color w:val="auto"/>
              </w:rPr>
            </w:pPr>
          </w:p>
        </w:tc>
        <w:tc>
          <w:tcPr>
            <w:tcW w:w="17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1720" w:type="dxa"/>
            <w:vAlign w:val="bottom"/>
            <w:shd w:val="clear" w:color="auto" w:fill="E6E6E6"/>
          </w:tcPr>
          <w:p>
            <w:pPr>
              <w:spacing w:after="0"/>
              <w:rPr>
                <w:sz w:val="16"/>
                <w:szCs w:val="16"/>
                <w:color w:val="auto"/>
              </w:rPr>
            </w:pPr>
          </w:p>
        </w:tc>
      </w:tr>
      <w:tr>
        <w:trPr>
          <w:trHeight w:val="265"/>
        </w:trPr>
        <w:tc>
          <w:tcPr>
            <w:tcW w:w="590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of:</w:t>
            </w:r>
          </w:p>
        </w:tc>
        <w:tc>
          <w:tcPr>
            <w:tcW w:w="120" w:type="dxa"/>
            <w:vAlign w:val="bottom"/>
            <w:shd w:val="clear" w:color="auto" w:fill="E6E6E6"/>
          </w:tcPr>
          <w:p>
            <w:pPr>
              <w:spacing w:after="0"/>
              <w:rPr>
                <w:sz w:val="23"/>
                <w:szCs w:val="23"/>
                <w:color w:val="auto"/>
              </w:rPr>
            </w:pPr>
          </w:p>
        </w:tc>
        <w:tc>
          <w:tcPr>
            <w:tcW w:w="17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720" w:type="dxa"/>
            <w:vAlign w:val="bottom"/>
            <w:shd w:val="clear" w:color="auto" w:fill="E6E6E6"/>
          </w:tcPr>
          <w:p>
            <w:pPr>
              <w:spacing w:after="0"/>
              <w:rPr>
                <w:sz w:val="23"/>
                <w:szCs w:val="23"/>
                <w:color w:val="auto"/>
              </w:rPr>
            </w:pPr>
          </w:p>
        </w:tc>
      </w:tr>
      <w:tr>
        <w:trPr>
          <w:trHeight w:val="270"/>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Net actuarial gain</w:t>
            </w:r>
          </w:p>
        </w:tc>
        <w:tc>
          <w:tcPr>
            <w:tcW w:w="12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720" w:type="dxa"/>
            <w:vAlign w:val="bottom"/>
          </w:tcPr>
          <w:p>
            <w:pPr>
              <w:jc w:val="right"/>
              <w:spacing w:after="0"/>
              <w:rPr>
                <w:sz w:val="20"/>
                <w:szCs w:val="20"/>
                <w:color w:val="auto"/>
              </w:rPr>
            </w:pPr>
            <w:r>
              <w:rPr>
                <w:rFonts w:ascii="Arial" w:cs="Arial" w:eastAsia="Arial" w:hAnsi="Arial"/>
                <w:sz w:val="19"/>
                <w:szCs w:val="19"/>
                <w:color w:val="auto"/>
              </w:rPr>
              <w:t>354</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720" w:type="dxa"/>
            <w:vAlign w:val="bottom"/>
          </w:tcPr>
          <w:p>
            <w:pPr>
              <w:jc w:val="right"/>
              <w:spacing w:after="0"/>
              <w:rPr>
                <w:sz w:val="20"/>
                <w:szCs w:val="20"/>
                <w:color w:val="auto"/>
              </w:rPr>
            </w:pPr>
            <w:r>
              <w:rPr>
                <w:rFonts w:ascii="Arial" w:cs="Arial" w:eastAsia="Arial" w:hAnsi="Arial"/>
                <w:sz w:val="19"/>
                <w:szCs w:val="19"/>
                <w:color w:val="auto"/>
              </w:rPr>
              <w:t>383</w:t>
            </w:r>
          </w:p>
        </w:tc>
      </w:tr>
      <w:tr>
        <w:trPr>
          <w:trHeight w:val="273"/>
        </w:trPr>
        <w:tc>
          <w:tcPr>
            <w:tcW w:w="58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Prior service credit</w:t>
            </w:r>
          </w:p>
        </w:tc>
        <w:tc>
          <w:tcPr>
            <w:tcW w:w="20" w:type="dxa"/>
            <w:vAlign w:val="bottom"/>
            <w:tcBorders>
              <w:bottom w:val="single" w:sz="8" w:color="auto"/>
            </w:tcBorders>
            <w:shd w:val="clear" w:color="auto" w:fill="E6E6E6"/>
          </w:tcPr>
          <w:p>
            <w:pPr>
              <w:spacing w:after="0"/>
              <w:rPr>
                <w:sz w:val="23"/>
                <w:szCs w:val="23"/>
                <w:color w:val="auto"/>
              </w:rPr>
            </w:pPr>
          </w:p>
        </w:tc>
        <w:tc>
          <w:tcPr>
            <w:tcW w:w="120" w:type="dxa"/>
            <w:vAlign w:val="bottom"/>
            <w:tcBorders>
              <w:bottom w:val="single" w:sz="8" w:color="auto"/>
            </w:tcBorders>
            <w:shd w:val="clear" w:color="auto" w:fill="E6E6E6"/>
          </w:tcPr>
          <w:p>
            <w:pPr>
              <w:spacing w:after="0"/>
              <w:rPr>
                <w:sz w:val="23"/>
                <w:szCs w:val="23"/>
                <w:color w:val="auto"/>
              </w:rPr>
            </w:pPr>
          </w:p>
        </w:tc>
        <w:tc>
          <w:tcPr>
            <w:tcW w:w="1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43</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auto"/>
            </w:tcBorders>
            <w:shd w:val="clear" w:color="auto" w:fill="E6E6E6"/>
          </w:tcPr>
          <w:p>
            <w:pPr>
              <w:spacing w:after="0"/>
              <w:rPr>
                <w:sz w:val="23"/>
                <w:szCs w:val="23"/>
                <w:color w:val="auto"/>
              </w:rPr>
            </w:pPr>
          </w:p>
        </w:tc>
        <w:tc>
          <w:tcPr>
            <w:tcW w:w="1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129</w:t>
            </w:r>
          </w:p>
        </w:tc>
      </w:tr>
      <w:tr>
        <w:trPr>
          <w:trHeight w:val="252"/>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Total accumulated other comprehensive income</w:t>
            </w:r>
          </w:p>
        </w:tc>
        <w:tc>
          <w:tcPr>
            <w:tcW w:w="12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720" w:type="dxa"/>
            <w:vAlign w:val="bottom"/>
          </w:tcPr>
          <w:p>
            <w:pPr>
              <w:jc w:val="right"/>
              <w:spacing w:after="0"/>
              <w:rPr>
                <w:sz w:val="20"/>
                <w:szCs w:val="20"/>
                <w:color w:val="auto"/>
              </w:rPr>
            </w:pPr>
            <w:r>
              <w:rPr>
                <w:rFonts w:ascii="Arial" w:cs="Arial" w:eastAsia="Arial" w:hAnsi="Arial"/>
                <w:sz w:val="19"/>
                <w:szCs w:val="19"/>
                <w:color w:val="auto"/>
              </w:rPr>
              <w:t>396</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720" w:type="dxa"/>
            <w:vAlign w:val="bottom"/>
          </w:tcPr>
          <w:p>
            <w:pPr>
              <w:jc w:val="right"/>
              <w:spacing w:after="0"/>
              <w:rPr>
                <w:sz w:val="20"/>
                <w:szCs w:val="20"/>
                <w:color w:val="auto"/>
              </w:rPr>
            </w:pPr>
            <w:r>
              <w:rPr>
                <w:rFonts w:ascii="Arial" w:cs="Arial" w:eastAsia="Arial" w:hAnsi="Arial"/>
                <w:sz w:val="19"/>
                <w:szCs w:val="19"/>
                <w:color w:val="auto"/>
              </w:rPr>
              <w:t>512</w:t>
            </w:r>
          </w:p>
        </w:tc>
      </w:tr>
      <w:tr>
        <w:trPr>
          <w:trHeight w:val="20"/>
        </w:trPr>
        <w:tc>
          <w:tcPr>
            <w:tcW w:w="5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-4173855</wp:posOffset>
            </wp:positionV>
            <wp:extent cx="243713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94">
                      <a:extLst>
                        <a:ext uri="{28A0092B-C50C-407E-A947-70E740481C1C}"/>
                      </a:extLst>
                    </a:blip>
                    <a:srcRect/>
                    <a:stretch>
                      <a:fillRect/>
                    </a:stretch>
                  </pic:blipFill>
                  <pic:spPr bwMode="auto">
                    <a:xfrm>
                      <a:off x="0" y="0"/>
                      <a:ext cx="2437130" cy="25400"/>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-4001135</wp:posOffset>
            </wp:positionV>
            <wp:extent cx="2437130" cy="501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95">
                      <a:extLst>
                        <a:ext uri="{28A0092B-C50C-407E-A947-70E740481C1C}"/>
                      </a:extLst>
                    </a:blip>
                    <a:srcRect/>
                    <a:stretch>
                      <a:fillRect/>
                    </a:stretch>
                  </pic:blipFill>
                  <pic:spPr bwMode="auto">
                    <a:xfrm>
                      <a:off x="0" y="0"/>
                      <a:ext cx="2437130" cy="50165"/>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-2694940</wp:posOffset>
            </wp:positionV>
            <wp:extent cx="243713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96">
                      <a:extLst>
                        <a:ext uri="{28A0092B-C50C-407E-A947-70E740481C1C}"/>
                      </a:extLst>
                    </a:blip>
                    <a:srcRect/>
                    <a:stretch>
                      <a:fillRect/>
                    </a:stretch>
                  </pic:blipFill>
                  <pic:spPr bwMode="auto">
                    <a:xfrm>
                      <a:off x="0" y="0"/>
                      <a:ext cx="2437130" cy="25400"/>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-2510155</wp:posOffset>
            </wp:positionV>
            <wp:extent cx="243713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97">
                      <a:extLst>
                        <a:ext uri="{28A0092B-C50C-407E-A947-70E740481C1C}"/>
                      </a:extLst>
                    </a:blip>
                    <a:srcRect/>
                    <a:stretch>
                      <a:fillRect/>
                    </a:stretch>
                  </pic:blipFill>
                  <pic:spPr bwMode="auto">
                    <a:xfrm>
                      <a:off x="0" y="0"/>
                      <a:ext cx="2437130" cy="25400"/>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-2338070</wp:posOffset>
            </wp:positionV>
            <wp:extent cx="2437130" cy="501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98">
                      <a:extLst>
                        <a:ext uri="{28A0092B-C50C-407E-A947-70E740481C1C}"/>
                      </a:extLst>
                    </a:blip>
                    <a:srcRect/>
                    <a:stretch>
                      <a:fillRect/>
                    </a:stretch>
                  </pic:blipFill>
                  <pic:spPr bwMode="auto">
                    <a:xfrm>
                      <a:off x="0" y="0"/>
                      <a:ext cx="2437130" cy="50165"/>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-1203960</wp:posOffset>
            </wp:positionV>
            <wp:extent cx="243713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99">
                      <a:extLst>
                        <a:ext uri="{28A0092B-C50C-407E-A947-70E740481C1C}"/>
                      </a:extLst>
                    </a:blip>
                    <a:srcRect/>
                    <a:stretch>
                      <a:fillRect/>
                    </a:stretch>
                  </pic:blipFill>
                  <pic:spPr bwMode="auto">
                    <a:xfrm>
                      <a:off x="0" y="0"/>
                      <a:ext cx="2437130" cy="25400"/>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-1040765</wp:posOffset>
            </wp:positionV>
            <wp:extent cx="2437130" cy="501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00">
                      <a:extLst>
                        <a:ext uri="{28A0092B-C50C-407E-A947-70E740481C1C}"/>
                      </a:extLst>
                    </a:blip>
                    <a:srcRect/>
                    <a:stretch>
                      <a:fillRect/>
                    </a:stretch>
                  </pic:blipFill>
                  <pic:spPr bwMode="auto">
                    <a:xfrm>
                      <a:off x="0" y="0"/>
                      <a:ext cx="2437130" cy="50165"/>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-215265</wp:posOffset>
            </wp:positionV>
            <wp:extent cx="243713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01">
                      <a:extLst>
                        <a:ext uri="{28A0092B-C50C-407E-A947-70E740481C1C}"/>
                      </a:extLst>
                    </a:blip>
                    <a:srcRect/>
                    <a:stretch>
                      <a:fillRect/>
                    </a:stretch>
                  </pic:blipFill>
                  <pic:spPr bwMode="auto">
                    <a:xfrm>
                      <a:off x="0" y="0"/>
                      <a:ext cx="2437130" cy="25400"/>
                    </a:xfrm>
                    <a:prstGeom prst="rect">
                      <a:avLst/>
                    </a:prstGeom>
                    <a:noFill/>
                  </pic:spPr>
                </pic:pic>
              </a:graphicData>
            </a:graphic>
          </wp:anchor>
        </w:drawing>
      </w:r>
    </w:p>
    <w:p>
      <w:pPr>
        <w:spacing w:after="0" w:line="162"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The following information relates to all pension plans with an accumulated benefit obligation and a projected benefit obligation in excess of plan assets at December 31 (in millions):</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5880" w:type="dxa"/>
            <w:vAlign w:val="bottom"/>
            <w:tcBorders>
              <w:bottom w:val="single" w:sz="8" w:color="E6E6E6"/>
            </w:tcBorders>
          </w:tcPr>
          <w:p>
            <w:pPr>
              <w:spacing w:after="0"/>
              <w:rPr>
                <w:sz w:val="20"/>
                <w:szCs w:val="20"/>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7"/>
                <w:szCs w:val="17"/>
                <w:b w:val="1"/>
                <w:bCs w:val="1"/>
                <w:color w:val="auto"/>
              </w:rPr>
              <w:t>2025</w:t>
            </w: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65"/>
              <w:spacing w:after="0"/>
              <w:rPr>
                <w:sz w:val="20"/>
                <w:szCs w:val="20"/>
                <w:color w:val="auto"/>
              </w:rPr>
            </w:pPr>
            <w:r>
              <w:rPr>
                <w:rFonts w:ascii="Arial" w:cs="Arial" w:eastAsia="Arial" w:hAnsi="Arial"/>
                <w:sz w:val="17"/>
                <w:szCs w:val="17"/>
                <w:b w:val="1"/>
                <w:bCs w:val="1"/>
                <w:color w:val="auto"/>
              </w:rPr>
              <w:t>2024</w:t>
            </w:r>
          </w:p>
        </w:tc>
      </w:tr>
      <w:tr>
        <w:trPr>
          <w:trHeight w:val="267"/>
        </w:trPr>
        <w:tc>
          <w:tcPr>
            <w:tcW w:w="5880" w:type="dxa"/>
            <w:vAlign w:val="bottom"/>
            <w:shd w:val="clear" w:color="auto" w:fill="E6E6E6"/>
          </w:tcPr>
          <w:p>
            <w:pPr>
              <w:ind w:left="60"/>
              <w:spacing w:after="0"/>
              <w:rPr>
                <w:sz w:val="20"/>
                <w:szCs w:val="20"/>
                <w:color w:val="auto"/>
              </w:rPr>
            </w:pPr>
            <w:r>
              <w:rPr>
                <w:rFonts w:ascii="Arial" w:cs="Arial" w:eastAsia="Arial" w:hAnsi="Arial"/>
                <w:sz w:val="19"/>
                <w:szCs w:val="19"/>
                <w:color w:val="auto"/>
              </w:rPr>
              <w:t>Projected benefit obligation</w:t>
            </w:r>
          </w:p>
        </w:tc>
        <w:tc>
          <w:tcPr>
            <w:tcW w:w="1220" w:type="dxa"/>
            <w:vAlign w:val="bottom"/>
            <w:shd w:val="clear" w:color="auto" w:fill="E6E6E6"/>
          </w:tcPr>
          <w:p>
            <w:pPr>
              <w:jc w:val="right"/>
              <w:ind w:right="988"/>
              <w:spacing w:after="0"/>
              <w:rPr>
                <w:sz w:val="20"/>
                <w:szCs w:val="20"/>
                <w:color w:val="auto"/>
              </w:rPr>
            </w:pPr>
            <w:r>
              <w:rPr>
                <w:rFonts w:ascii="Arial" w:cs="Arial" w:eastAsia="Arial" w:hAnsi="Arial"/>
                <w:sz w:val="19"/>
                <w:szCs w:val="19"/>
                <w:color w:val="auto"/>
              </w:rPr>
              <w:t>$</w:t>
            </w:r>
          </w:p>
        </w:tc>
        <w:tc>
          <w:tcPr>
            <w:tcW w:w="6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4,486</w:t>
            </w:r>
          </w:p>
        </w:tc>
        <w:tc>
          <w:tcPr>
            <w:tcW w:w="520" w:type="dxa"/>
            <w:vAlign w:val="bottom"/>
            <w:gridSpan w:val="2"/>
            <w:shd w:val="clear" w:color="auto" w:fill="E6E6E6"/>
          </w:tcPr>
          <w:p>
            <w:pPr>
              <w:jc w:val="right"/>
              <w:ind w:right="300"/>
              <w:spacing w:after="0"/>
              <w:rPr>
                <w:sz w:val="20"/>
                <w:szCs w:val="20"/>
                <w:color w:val="auto"/>
              </w:rPr>
            </w:pPr>
            <w:r>
              <w:rPr>
                <w:rFonts w:ascii="Arial" w:cs="Arial" w:eastAsia="Arial" w:hAnsi="Arial"/>
                <w:sz w:val="19"/>
                <w:szCs w:val="19"/>
                <w:color w:val="auto"/>
              </w:rPr>
              <w:t>$</w:t>
            </w:r>
          </w:p>
        </w:tc>
        <w:tc>
          <w:tcPr>
            <w:tcW w:w="14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4,179</w:t>
            </w:r>
          </w:p>
        </w:tc>
      </w:tr>
      <w:tr>
        <w:trPr>
          <w:trHeight w:val="270"/>
        </w:trPr>
        <w:tc>
          <w:tcPr>
            <w:tcW w:w="5880" w:type="dxa"/>
            <w:vAlign w:val="bottom"/>
          </w:tcPr>
          <w:p>
            <w:pPr>
              <w:ind w:left="60"/>
              <w:spacing w:after="0"/>
              <w:rPr>
                <w:sz w:val="20"/>
                <w:szCs w:val="20"/>
                <w:color w:val="auto"/>
              </w:rPr>
            </w:pPr>
            <w:r>
              <w:rPr>
                <w:rFonts w:ascii="Arial" w:cs="Arial" w:eastAsia="Arial" w:hAnsi="Arial"/>
                <w:sz w:val="19"/>
                <w:szCs w:val="19"/>
                <w:color w:val="auto"/>
              </w:rPr>
              <w:t>Accumulated benefit obligation</w:t>
            </w:r>
          </w:p>
        </w:tc>
        <w:tc>
          <w:tcPr>
            <w:tcW w:w="1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3,821</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9"/>
                <w:szCs w:val="19"/>
                <w:color w:val="auto"/>
              </w:rPr>
              <w:t>3,617</w:t>
            </w:r>
          </w:p>
        </w:tc>
      </w:tr>
      <w:tr>
        <w:trPr>
          <w:trHeight w:val="283"/>
        </w:trPr>
        <w:tc>
          <w:tcPr>
            <w:tcW w:w="5880" w:type="dxa"/>
            <w:vAlign w:val="bottom"/>
            <w:shd w:val="clear" w:color="auto" w:fill="E6E6E6"/>
          </w:tcPr>
          <w:p>
            <w:pPr>
              <w:ind w:left="60"/>
              <w:spacing w:after="0"/>
              <w:rPr>
                <w:sz w:val="20"/>
                <w:szCs w:val="20"/>
                <w:color w:val="auto"/>
              </w:rPr>
            </w:pPr>
            <w:r>
              <w:rPr>
                <w:rFonts w:ascii="Arial" w:cs="Arial" w:eastAsia="Arial" w:hAnsi="Arial"/>
                <w:sz w:val="19"/>
                <w:szCs w:val="19"/>
                <w:color w:val="auto"/>
              </w:rPr>
              <w:t>Fair value of plan assets</w:t>
            </w:r>
          </w:p>
        </w:tc>
        <w:tc>
          <w:tcPr>
            <w:tcW w:w="1220" w:type="dxa"/>
            <w:vAlign w:val="bottom"/>
            <w:shd w:val="clear" w:color="auto" w:fill="E6E6E6"/>
          </w:tcPr>
          <w:p>
            <w:pPr>
              <w:spacing w:after="0"/>
              <w:rPr>
                <w:sz w:val="24"/>
                <w:szCs w:val="24"/>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3,886</w:t>
            </w:r>
          </w:p>
        </w:tc>
        <w:tc>
          <w:tcPr>
            <w:tcW w:w="6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3,443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-539115</wp:posOffset>
            </wp:positionV>
            <wp:extent cx="243713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02">
                      <a:extLst>
                        <a:ext uri="{28A0092B-C50C-407E-A947-70E740481C1C}"/>
                      </a:extLst>
                    </a:blip>
                    <a:srcRect/>
                    <a:stretch>
                      <a:fillRect/>
                    </a:stretch>
                  </pic:blipFill>
                  <pic:spPr bwMode="auto">
                    <a:xfrm>
                      <a:off x="0" y="0"/>
                      <a:ext cx="2437130" cy="25400"/>
                    </a:xfrm>
                    <a:prstGeom prst="rect">
                      <a:avLst/>
                    </a:prstGeom>
                    <a:noFill/>
                  </pic:spPr>
                </pic:pic>
              </a:graphicData>
            </a:graphic>
          </wp:anchor>
        </w:drawing>
      </w:r>
    </w:p>
    <w:p>
      <w:pPr>
        <w:sectPr>
          <w:pgSz w:w="11880" w:h="15480" w:orient="portrait"/>
          <w:cols w:equalWidth="0" w:num="1">
            <w:col w:w="9900"/>
          </w:cols>
          <w:pgMar w:left="960" w:top="642" w:right="102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9900"/>
          </w:cols>
          <w:pgMar w:left="960" w:top="642" w:right="1020" w:bottom="33" w:gutter="0" w:footer="0" w:header="0"/>
          <w:type w:val="continuous"/>
        </w:sectPr>
      </w:pPr>
    </w:p>
    <w:bookmarkStart w:id="82" w:name="page83"/>
    <w:bookmarkEnd w:id="82"/>
    <w:p>
      <w:pPr>
        <w:spacing w:after="0"/>
        <w:rPr>
          <w:sz w:val="20"/>
          <w:szCs w:val="20"/>
          <w:color w:val="auto"/>
        </w:rPr>
      </w:pPr>
      <w:r>
        <w:rPr>
          <w:rFonts w:ascii="Arial" w:cs="Arial" w:eastAsia="Arial" w:hAnsi="Arial"/>
          <w:sz w:val="19"/>
          <w:szCs w:val="19"/>
          <w:color w:val="auto"/>
        </w:rPr>
        <w:t>Net periodic benefit cost (credit) for the years ended December 31 included the following components (in millions):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b w:val="1"/>
                <w:bCs w:val="1"/>
                <w:color w:val="auto"/>
              </w:rPr>
              <w:t>2025</w:t>
            </w:r>
          </w:p>
        </w:tc>
        <w:tc>
          <w:tcPr>
            <w:tcW w:w="8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b w:val="1"/>
                <w:bCs w:val="1"/>
                <w:color w:val="auto"/>
              </w:rPr>
              <w:t>2024</w:t>
            </w:r>
          </w:p>
        </w:tc>
        <w:tc>
          <w:tcPr>
            <w:tcW w:w="8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b w:val="1"/>
                <w:bCs w:val="1"/>
                <w:color w:val="auto"/>
              </w:rPr>
              <w:t>2023</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27"/>
              <w:spacing w:after="0"/>
              <w:rPr>
                <w:sz w:val="20"/>
                <w:szCs w:val="20"/>
                <w:color w:val="auto"/>
              </w:rPr>
            </w:pPr>
            <w:r>
              <w:rPr>
                <w:rFonts w:ascii="Arial" w:cs="Arial" w:eastAsia="Arial" w:hAnsi="Arial"/>
                <w:sz w:val="16"/>
                <w:szCs w:val="16"/>
                <w:b w:val="1"/>
                <w:bCs w:val="1"/>
                <w:color w:val="auto"/>
                <w:w w:val="83"/>
              </w:rPr>
              <w:t>Pension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center"/>
              <w:ind w:right="280"/>
              <w:spacing w:after="0" w:line="156" w:lineRule="exact"/>
              <w:rPr>
                <w:sz w:val="20"/>
                <w:szCs w:val="20"/>
                <w:color w:val="auto"/>
              </w:rPr>
            </w:pPr>
            <w:r>
              <w:rPr>
                <w:rFonts w:ascii="Arial" w:cs="Arial" w:eastAsia="Arial" w:hAnsi="Arial"/>
                <w:sz w:val="16"/>
                <w:szCs w:val="16"/>
                <w:b w:val="1"/>
                <w:bCs w:val="1"/>
                <w:color w:val="auto"/>
                <w:w w:val="93"/>
              </w:rPr>
              <w:t>Other</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127"/>
              <w:spacing w:after="0"/>
              <w:rPr>
                <w:sz w:val="20"/>
                <w:szCs w:val="20"/>
                <w:color w:val="auto"/>
              </w:rPr>
            </w:pPr>
            <w:r>
              <w:rPr>
                <w:rFonts w:ascii="Arial" w:cs="Arial" w:eastAsia="Arial" w:hAnsi="Arial"/>
                <w:sz w:val="16"/>
                <w:szCs w:val="16"/>
                <w:b w:val="1"/>
                <w:bCs w:val="1"/>
                <w:color w:val="auto"/>
                <w:w w:val="86"/>
              </w:rPr>
              <w:t>Pension</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gridSpan w:val="2"/>
          </w:tcPr>
          <w:p>
            <w:pPr>
              <w:jc w:val="center"/>
              <w:ind w:right="280"/>
              <w:spacing w:after="0" w:line="156" w:lineRule="exact"/>
              <w:rPr>
                <w:sz w:val="20"/>
                <w:szCs w:val="20"/>
                <w:color w:val="auto"/>
              </w:rPr>
            </w:pPr>
            <w:r>
              <w:rPr>
                <w:rFonts w:ascii="Arial" w:cs="Arial" w:eastAsia="Arial" w:hAnsi="Arial"/>
                <w:sz w:val="16"/>
                <w:szCs w:val="16"/>
                <w:b w:val="1"/>
                <w:bCs w:val="1"/>
                <w:color w:val="auto"/>
                <w:w w:val="88"/>
              </w:rPr>
              <w:t>Other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07"/>
              <w:spacing w:after="0"/>
              <w:rPr>
                <w:sz w:val="20"/>
                <w:szCs w:val="20"/>
                <w:color w:val="auto"/>
              </w:rPr>
            </w:pPr>
            <w:r>
              <w:rPr>
                <w:rFonts w:ascii="Arial" w:cs="Arial" w:eastAsia="Arial" w:hAnsi="Arial"/>
                <w:sz w:val="16"/>
                <w:szCs w:val="16"/>
                <w:b w:val="1"/>
                <w:bCs w:val="1"/>
                <w:color w:val="auto"/>
                <w:w w:val="86"/>
              </w:rPr>
              <w:t>Pension</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267"/>
              <w:spacing w:after="0" w:line="156" w:lineRule="exact"/>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ind w:left="40"/>
              <w:spacing w:after="0" w:line="155" w:lineRule="exact"/>
              <w:rPr>
                <w:sz w:val="20"/>
                <w:szCs w:val="20"/>
                <w:color w:val="auto"/>
              </w:rPr>
            </w:pPr>
            <w:r>
              <w:rPr>
                <w:rFonts w:ascii="Arial" w:cs="Arial" w:eastAsia="Arial" w:hAnsi="Arial"/>
                <w:sz w:val="16"/>
                <w:szCs w:val="16"/>
                <w:b w:val="1"/>
                <w:bCs w:val="1"/>
                <w:color w:val="auto"/>
                <w:w w:val="93"/>
              </w:rPr>
              <w:t>Postretirement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ind w:left="60"/>
              <w:spacing w:after="0" w:line="155" w:lineRule="exact"/>
              <w:rPr>
                <w:sz w:val="20"/>
                <w:szCs w:val="20"/>
                <w:color w:val="auto"/>
              </w:rPr>
            </w:pPr>
            <w:r>
              <w:rPr>
                <w:rFonts w:ascii="Arial" w:cs="Arial" w:eastAsia="Arial" w:hAnsi="Arial"/>
                <w:sz w:val="16"/>
                <w:szCs w:val="16"/>
                <w:b w:val="1"/>
                <w:bCs w:val="1"/>
                <w:color w:val="auto"/>
                <w:w w:val="92"/>
              </w:rPr>
              <w:t>Postretirement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w w:val="92"/>
              </w:rPr>
              <w:t>Postretirement</w:t>
            </w: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07"/>
              <w:spacing w:after="0"/>
              <w:rPr>
                <w:sz w:val="20"/>
                <w:szCs w:val="20"/>
                <w:color w:val="auto"/>
              </w:rPr>
            </w:pPr>
            <w:r>
              <w:rPr>
                <w:rFonts w:ascii="Arial" w:cs="Arial" w:eastAsia="Arial" w:hAnsi="Arial"/>
                <w:sz w:val="16"/>
                <w:szCs w:val="16"/>
                <w:b w:val="1"/>
                <w:bCs w:val="1"/>
                <w:color w:val="auto"/>
                <w:w w:val="85"/>
              </w:rPr>
              <w:t>Benefits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Benefits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27"/>
              <w:spacing w:after="0"/>
              <w:rPr>
                <w:sz w:val="20"/>
                <w:szCs w:val="20"/>
                <w:color w:val="auto"/>
              </w:rPr>
            </w:pPr>
            <w:r>
              <w:rPr>
                <w:rFonts w:ascii="Arial" w:cs="Arial" w:eastAsia="Arial" w:hAnsi="Arial"/>
                <w:sz w:val="16"/>
                <w:szCs w:val="16"/>
                <w:b w:val="1"/>
                <w:bCs w:val="1"/>
                <w:color w:val="auto"/>
                <w:w w:val="85"/>
              </w:rPr>
              <w:t>Benefits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Benefits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07"/>
              <w:spacing w:after="0"/>
              <w:rPr>
                <w:sz w:val="20"/>
                <w:szCs w:val="20"/>
                <w:color w:val="auto"/>
              </w:rPr>
            </w:pPr>
            <w:r>
              <w:rPr>
                <w:rFonts w:ascii="Arial" w:cs="Arial" w:eastAsia="Arial" w:hAnsi="Arial"/>
                <w:sz w:val="16"/>
                <w:szCs w:val="16"/>
                <w:b w:val="1"/>
                <w:bCs w:val="1"/>
                <w:color w:val="auto"/>
                <w:w w:val="85"/>
              </w:rPr>
              <w:t>Benefits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07"/>
              <w:spacing w:after="0"/>
              <w:rPr>
                <w:sz w:val="20"/>
                <w:szCs w:val="20"/>
                <w:color w:val="auto"/>
              </w:rPr>
            </w:pPr>
            <w:r>
              <w:rPr>
                <w:rFonts w:ascii="Arial" w:cs="Arial" w:eastAsia="Arial" w:hAnsi="Arial"/>
                <w:sz w:val="16"/>
                <w:szCs w:val="16"/>
                <w:b w:val="1"/>
                <w:bCs w:val="1"/>
                <w:color w:val="auto"/>
                <w:w w:val="85"/>
              </w:rPr>
              <w:t>Benefits</w:t>
            </w:r>
          </w:p>
        </w:tc>
        <w:tc>
          <w:tcPr>
            <w:tcW w:w="0" w:type="dxa"/>
            <w:vAlign w:val="bottom"/>
          </w:tcPr>
          <w:p>
            <w:pPr>
              <w:spacing w:after="0"/>
              <w:rPr>
                <w:sz w:val="1"/>
                <w:szCs w:val="1"/>
                <w:color w:val="auto"/>
              </w:rPr>
            </w:pPr>
          </w:p>
        </w:tc>
      </w:tr>
      <w:tr>
        <w:trPr>
          <w:trHeight w:val="238"/>
        </w:trPr>
        <w:tc>
          <w:tcPr>
            <w:tcW w:w="3300" w:type="dxa"/>
            <w:vAlign w:val="bottom"/>
            <w:tcBorders>
              <w:top w:val="single" w:sz="8" w:color="E6E6E6"/>
            </w:tcBorders>
            <w:gridSpan w:val="2"/>
            <w:shd w:val="clear" w:color="auto" w:fill="E6E6E6"/>
          </w:tcPr>
          <w:p>
            <w:pPr>
              <w:ind w:left="60"/>
              <w:spacing w:after="0"/>
              <w:rPr>
                <w:sz w:val="20"/>
                <w:szCs w:val="20"/>
                <w:color w:val="auto"/>
              </w:rPr>
            </w:pPr>
            <w:r>
              <w:rPr>
                <w:rFonts w:ascii="Arial" w:cs="Arial" w:eastAsia="Arial" w:hAnsi="Arial"/>
                <w:sz w:val="19"/>
                <w:szCs w:val="19"/>
                <w:color w:val="auto"/>
              </w:rPr>
              <w:t>Service cost</w:t>
            </w:r>
          </w:p>
        </w:tc>
        <w:tc>
          <w:tcPr>
            <w:tcW w:w="1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4"/>
              </w:rPr>
              <w:t>$</w:t>
            </w:r>
          </w:p>
        </w:tc>
        <w:tc>
          <w:tcPr>
            <w:tcW w:w="7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127</w:t>
            </w:r>
          </w:p>
        </w:tc>
        <w:tc>
          <w:tcPr>
            <w:tcW w:w="8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tcBorders>
            <w:shd w:val="clear" w:color="auto" w:fill="E6E6E6"/>
          </w:tcPr>
          <w:p>
            <w:pPr>
              <w:spacing w:after="0"/>
              <w:rPr>
                <w:sz w:val="20"/>
                <w:szCs w:val="20"/>
                <w:color w:val="auto"/>
              </w:rPr>
            </w:pPr>
          </w:p>
        </w:tc>
        <w:tc>
          <w:tcPr>
            <w:tcW w:w="240" w:type="dxa"/>
            <w:vAlign w:val="bottom"/>
            <w:tcBorders>
              <w:top w:val="single" w:sz="8" w:color="auto"/>
            </w:tcBorders>
            <w:shd w:val="clear" w:color="auto" w:fill="E6E6E6"/>
          </w:tcPr>
          <w:p>
            <w:pPr>
              <w:ind w:left="20"/>
              <w:spacing w:after="0"/>
              <w:rPr>
                <w:sz w:val="20"/>
                <w:szCs w:val="20"/>
                <w:color w:val="auto"/>
              </w:rPr>
            </w:pPr>
            <w:r>
              <w:rPr>
                <w:rFonts w:ascii="Arial" w:cs="Arial" w:eastAsia="Arial" w:hAnsi="Arial"/>
                <w:sz w:val="19"/>
                <w:szCs w:val="19"/>
                <w:color w:val="auto"/>
              </w:rPr>
              <w:t>$</w:t>
            </w:r>
          </w:p>
        </w:tc>
        <w:tc>
          <w:tcPr>
            <w:tcW w:w="8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6</w:t>
            </w:r>
          </w:p>
        </w:tc>
        <w:tc>
          <w:tcPr>
            <w:tcW w:w="20" w:type="dxa"/>
            <w:vAlign w:val="bottom"/>
            <w:tcBorders>
              <w:top w:val="single" w:sz="8" w:color="E6E6E6"/>
            </w:tcBorders>
            <w:shd w:val="clear" w:color="auto" w:fill="E6E6E6"/>
          </w:tcPr>
          <w:p>
            <w:pPr>
              <w:spacing w:after="0"/>
              <w:rPr>
                <w:sz w:val="20"/>
                <w:szCs w:val="20"/>
                <w:color w:val="auto"/>
              </w:rPr>
            </w:pPr>
          </w:p>
        </w:tc>
        <w:tc>
          <w:tcPr>
            <w:tcW w:w="40" w:type="dxa"/>
            <w:vAlign w:val="bottom"/>
            <w:tcBorders>
              <w:top w:val="single" w:sz="8" w:color="E6E6E6"/>
            </w:tcBorders>
            <w:shd w:val="clear" w:color="auto" w:fill="E6E6E6"/>
          </w:tcPr>
          <w:p>
            <w:pPr>
              <w:spacing w:after="0"/>
              <w:rPr>
                <w:sz w:val="20"/>
                <w:szCs w:val="20"/>
                <w:color w:val="auto"/>
              </w:rPr>
            </w:pPr>
          </w:p>
        </w:tc>
        <w:tc>
          <w:tcPr>
            <w:tcW w:w="1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135</w:t>
            </w:r>
          </w:p>
        </w:tc>
        <w:tc>
          <w:tcPr>
            <w:tcW w:w="6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tcBorders>
            <w:shd w:val="clear" w:color="auto" w:fill="E6E6E6"/>
          </w:tcPr>
          <w:p>
            <w:pPr>
              <w:spacing w:after="0"/>
              <w:rPr>
                <w:sz w:val="20"/>
                <w:szCs w:val="20"/>
                <w:color w:val="auto"/>
              </w:rPr>
            </w:pPr>
          </w:p>
        </w:tc>
        <w:tc>
          <w:tcPr>
            <w:tcW w:w="260" w:type="dxa"/>
            <w:vAlign w:val="bottom"/>
            <w:tcBorders>
              <w:top w:val="single" w:sz="8" w:color="auto"/>
            </w:tcBorders>
            <w:shd w:val="clear" w:color="auto" w:fill="E6E6E6"/>
          </w:tcPr>
          <w:p>
            <w:pPr>
              <w:ind w:left="40"/>
              <w:spacing w:after="0"/>
              <w:rPr>
                <w:sz w:val="20"/>
                <w:szCs w:val="20"/>
                <w:color w:val="auto"/>
              </w:rPr>
            </w:pPr>
            <w:r>
              <w:rPr>
                <w:rFonts w:ascii="Arial" w:cs="Arial" w:eastAsia="Arial" w:hAnsi="Arial"/>
                <w:sz w:val="19"/>
                <w:szCs w:val="19"/>
                <w:color w:val="auto"/>
              </w:rPr>
              <w:t>$</w:t>
            </w:r>
          </w:p>
        </w:tc>
        <w:tc>
          <w:tcPr>
            <w:tcW w:w="8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w:t>
            </w:r>
          </w:p>
        </w:tc>
        <w:tc>
          <w:tcPr>
            <w:tcW w:w="20" w:type="dxa"/>
            <w:vAlign w:val="bottom"/>
            <w:tcBorders>
              <w:top w:val="single" w:sz="8" w:color="E6E6E6"/>
            </w:tcBorders>
            <w:shd w:val="clear" w:color="auto" w:fill="E6E6E6"/>
          </w:tcPr>
          <w:p>
            <w:pPr>
              <w:spacing w:after="0"/>
              <w:rPr>
                <w:sz w:val="20"/>
                <w:szCs w:val="20"/>
                <w:color w:val="auto"/>
              </w:rPr>
            </w:pPr>
          </w:p>
        </w:tc>
        <w:tc>
          <w:tcPr>
            <w:tcW w:w="6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tcBorders>
            <w:shd w:val="clear" w:color="auto" w:fill="E6E6E6"/>
          </w:tcPr>
          <w:p>
            <w:pPr>
              <w:spacing w:after="0"/>
              <w:rPr>
                <w:sz w:val="20"/>
                <w:szCs w:val="20"/>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w w:val="94"/>
              </w:rPr>
              <w:t>$</w:t>
            </w:r>
          </w:p>
        </w:tc>
        <w:tc>
          <w:tcPr>
            <w:tcW w:w="7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124</w:t>
            </w:r>
          </w:p>
        </w:tc>
        <w:tc>
          <w:tcPr>
            <w:tcW w:w="80" w:type="dxa"/>
            <w:vAlign w:val="bottom"/>
            <w:tcBorders>
              <w:top w:val="single" w:sz="8" w:color="E6E6E6"/>
            </w:tcBorders>
            <w:shd w:val="clear" w:color="auto" w:fill="E6E6E6"/>
          </w:tcPr>
          <w:p>
            <w:pPr>
              <w:spacing w:after="0"/>
              <w:rPr>
                <w:sz w:val="20"/>
                <w:szCs w:val="20"/>
                <w:color w:val="auto"/>
              </w:rPr>
            </w:pPr>
          </w:p>
        </w:tc>
        <w:tc>
          <w:tcPr>
            <w:tcW w:w="260" w:type="dxa"/>
            <w:vAlign w:val="bottom"/>
            <w:tcBorders>
              <w:top w:val="single" w:sz="8" w:color="auto"/>
            </w:tcBorders>
            <w:shd w:val="clear" w:color="auto" w:fill="E6E6E6"/>
          </w:tcPr>
          <w:p>
            <w:pPr>
              <w:ind w:left="60"/>
              <w:spacing w:after="0"/>
              <w:rPr>
                <w:sz w:val="20"/>
                <w:szCs w:val="20"/>
                <w:color w:val="auto"/>
              </w:rPr>
            </w:pPr>
            <w:r>
              <w:rPr>
                <w:rFonts w:ascii="Arial" w:cs="Arial" w:eastAsia="Arial" w:hAnsi="Arial"/>
                <w:sz w:val="19"/>
                <w:szCs w:val="19"/>
                <w:color w:val="auto"/>
              </w:rPr>
              <w:t>$</w:t>
            </w:r>
          </w:p>
        </w:tc>
        <w:tc>
          <w:tcPr>
            <w:tcW w:w="8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47"/>
        </w:trPr>
        <w:tc>
          <w:tcPr>
            <w:tcW w:w="3300" w:type="dxa"/>
            <w:vAlign w:val="bottom"/>
            <w:gridSpan w:val="2"/>
          </w:tcPr>
          <w:p>
            <w:pPr>
              <w:ind w:left="60"/>
              <w:spacing w:after="0"/>
              <w:rPr>
                <w:sz w:val="20"/>
                <w:szCs w:val="20"/>
                <w:color w:val="auto"/>
              </w:rPr>
            </w:pPr>
            <w:r>
              <w:rPr>
                <w:rFonts w:ascii="Arial" w:cs="Arial" w:eastAsia="Arial" w:hAnsi="Arial"/>
                <w:sz w:val="19"/>
                <w:szCs w:val="19"/>
                <w:color w:val="auto"/>
              </w:rPr>
              <w:t>Interest cost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243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229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217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42</w:t>
            </w:r>
          </w:p>
        </w:tc>
        <w:tc>
          <w:tcPr>
            <w:tcW w:w="0" w:type="dxa"/>
            <w:vAlign w:val="bottom"/>
          </w:tcPr>
          <w:p>
            <w:pPr>
              <w:spacing w:after="0"/>
              <w:rPr>
                <w:sz w:val="1"/>
                <w:szCs w:val="1"/>
                <w:color w:val="auto"/>
              </w:rPr>
            </w:pPr>
          </w:p>
        </w:tc>
      </w:tr>
      <w:tr>
        <w:trPr>
          <w:trHeight w:val="247"/>
        </w:trPr>
        <w:tc>
          <w:tcPr>
            <w:tcW w:w="330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Expected return on plan assets</w:t>
            </w:r>
          </w:p>
        </w:tc>
        <w:tc>
          <w:tcPr>
            <w:tcW w:w="160" w:type="dxa"/>
            <w:vAlign w:val="bottom"/>
            <w:shd w:val="clear" w:color="auto" w:fill="E6E6E6"/>
          </w:tcPr>
          <w:p>
            <w:pPr>
              <w:spacing w:after="0"/>
              <w:rPr>
                <w:sz w:val="21"/>
                <w:szCs w:val="21"/>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(273)</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(276)</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(251)</w:t>
            </w: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15"/>
        </w:trPr>
        <w:tc>
          <w:tcPr>
            <w:tcW w:w="3300" w:type="dxa"/>
            <w:vAlign w:val="bottom"/>
            <w:gridSpan w:val="2"/>
          </w:tcPr>
          <w:p>
            <w:pPr>
              <w:ind w:left="60"/>
              <w:spacing w:after="0" w:line="215" w:lineRule="exact"/>
              <w:rPr>
                <w:sz w:val="20"/>
                <w:szCs w:val="20"/>
                <w:color w:val="auto"/>
              </w:rPr>
            </w:pPr>
            <w:r>
              <w:rPr>
                <w:rFonts w:ascii="Arial" w:cs="Arial" w:eastAsia="Arial" w:hAnsi="Arial"/>
                <w:sz w:val="19"/>
                <w:szCs w:val="19"/>
                <w:color w:val="auto"/>
                <w:w w:val="99"/>
              </w:rPr>
              <w:t>Amortization of unrecognized actuarial</w:t>
            </w:r>
          </w:p>
        </w:tc>
        <w:tc>
          <w:tcPr>
            <w:tcW w:w="1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9"/>
                <w:szCs w:val="19"/>
                <w:color w:val="auto"/>
              </w:rPr>
              <w:t>(31)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19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color w:val="auto"/>
              </w:rPr>
              <w:t>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9"/>
                <w:szCs w:val="19"/>
                <w:color w:val="auto"/>
              </w:rPr>
              <w:t>(38)</w:t>
            </w:r>
          </w:p>
        </w:tc>
        <w:tc>
          <w:tcPr>
            <w:tcW w:w="0" w:type="dxa"/>
            <w:vAlign w:val="bottom"/>
          </w:tcPr>
          <w:p>
            <w:pPr>
              <w:spacing w:after="0"/>
              <w:rPr>
                <w:sz w:val="1"/>
                <w:szCs w:val="1"/>
                <w:color w:val="auto"/>
              </w:rPr>
            </w:pPr>
          </w:p>
        </w:tc>
      </w:tr>
      <w:tr>
        <w:trPr>
          <w:trHeight w:val="259"/>
        </w:trPr>
        <w:tc>
          <w:tcPr>
            <w:tcW w:w="3300" w:type="dxa"/>
            <w:vAlign w:val="bottom"/>
            <w:gridSpan w:val="2"/>
          </w:tcPr>
          <w:p>
            <w:pPr>
              <w:ind w:left="60"/>
              <w:spacing w:after="0"/>
              <w:rPr>
                <w:sz w:val="20"/>
                <w:szCs w:val="20"/>
                <w:color w:val="auto"/>
              </w:rPr>
            </w:pPr>
            <w:r>
              <w:rPr>
                <w:rFonts w:ascii="Arial" w:cs="Arial" w:eastAsia="Arial" w:hAnsi="Arial"/>
                <w:sz w:val="19"/>
                <w:szCs w:val="19"/>
                <w:color w:val="auto"/>
              </w:rPr>
              <w:t>(gain) loss</w:t>
            </w:r>
          </w:p>
        </w:tc>
        <w:tc>
          <w:tcPr>
            <w:tcW w:w="1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300" w:type="dxa"/>
            <w:vAlign w:val="bottom"/>
            <w:gridSpan w:val="2"/>
            <w:shd w:val="clear" w:color="auto" w:fill="E6E6E6"/>
          </w:tcPr>
          <w:p>
            <w:pPr>
              <w:ind w:left="60"/>
              <w:spacing w:after="0" w:line="192" w:lineRule="exact"/>
              <w:rPr>
                <w:sz w:val="20"/>
                <w:szCs w:val="20"/>
                <w:color w:val="auto"/>
              </w:rPr>
            </w:pPr>
            <w:r>
              <w:rPr>
                <w:rFonts w:ascii="Arial" w:cs="Arial" w:eastAsia="Arial" w:hAnsi="Arial"/>
                <w:sz w:val="19"/>
                <w:szCs w:val="19"/>
                <w:color w:val="auto"/>
              </w:rPr>
              <w:t>Amortization of prior service (credits)</w:t>
            </w:r>
          </w:p>
        </w:tc>
        <w:tc>
          <w:tcPr>
            <w:tcW w:w="160" w:type="dxa"/>
            <w:vAlign w:val="bottom"/>
            <w:shd w:val="clear" w:color="auto" w:fill="E6E6E6"/>
          </w:tcPr>
          <w:p>
            <w:pPr>
              <w:spacing w:after="0"/>
              <w:rPr>
                <w:sz w:val="16"/>
                <w:szCs w:val="16"/>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(86)</w:t>
            </w: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84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(93)</w:t>
            </w:r>
          </w:p>
        </w:tc>
        <w:tc>
          <w:tcPr>
            <w:tcW w:w="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1</w:t>
            </w:r>
          </w:p>
        </w:tc>
        <w:tc>
          <w:tcPr>
            <w:tcW w:w="8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(112)</w:t>
            </w:r>
          </w:p>
        </w:tc>
        <w:tc>
          <w:tcPr>
            <w:tcW w:w="0" w:type="dxa"/>
            <w:vAlign w:val="bottom"/>
          </w:tcPr>
          <w:p>
            <w:pPr>
              <w:spacing w:after="0"/>
              <w:rPr>
                <w:sz w:val="1"/>
                <w:szCs w:val="1"/>
                <w:color w:val="auto"/>
              </w:rPr>
            </w:pPr>
          </w:p>
        </w:tc>
      </w:tr>
      <w:tr>
        <w:trPr>
          <w:trHeight w:val="265"/>
        </w:trPr>
        <w:tc>
          <w:tcPr>
            <w:tcW w:w="330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cost</w:t>
            </w:r>
          </w:p>
        </w:tc>
        <w:tc>
          <w:tcPr>
            <w:tcW w:w="160" w:type="dxa"/>
            <w:vAlign w:val="bottom"/>
            <w:shd w:val="clear" w:color="auto" w:fill="E6E6E6"/>
          </w:tcPr>
          <w:p>
            <w:pPr>
              <w:spacing w:after="0"/>
              <w:rPr>
                <w:sz w:val="23"/>
                <w:szCs w:val="23"/>
                <w:color w:val="auto"/>
              </w:rPr>
            </w:pPr>
          </w:p>
        </w:tc>
        <w:tc>
          <w:tcPr>
            <w:tcW w:w="76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860" w:type="dxa"/>
            <w:vAlign w:val="bottom"/>
            <w:vMerge w:val="continue"/>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780" w:type="dxa"/>
            <w:vAlign w:val="bottom"/>
            <w:vMerge w:val="continue"/>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840" w:type="dxa"/>
            <w:vAlign w:val="bottom"/>
            <w:vMerge w:val="continue"/>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76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8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300" w:type="dxa"/>
            <w:vAlign w:val="bottom"/>
            <w:gridSpan w:val="2"/>
          </w:tcPr>
          <w:p>
            <w:pPr>
              <w:ind w:left="60"/>
              <w:spacing w:after="0"/>
              <w:rPr>
                <w:sz w:val="20"/>
                <w:szCs w:val="20"/>
                <w:color w:val="auto"/>
              </w:rPr>
            </w:pPr>
            <w:r>
              <w:rPr>
                <w:rFonts w:ascii="Arial" w:cs="Arial" w:eastAsia="Arial" w:hAnsi="Arial"/>
                <w:sz w:val="19"/>
                <w:szCs w:val="19"/>
                <w:color w:val="auto"/>
              </w:rPr>
              <w:t>Other</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6"/>
        </w:trPr>
        <w:tc>
          <w:tcPr>
            <w:tcW w:w="3280" w:type="dxa"/>
            <w:vAlign w:val="bottom"/>
            <w:tcBorders>
              <w:top w:val="single" w:sz="8" w:color="E6E6E6"/>
              <w:bottom w:val="single" w:sz="8" w:color="E6E6E6"/>
            </w:tcBorders>
            <w:shd w:val="clear" w:color="auto" w:fill="E6E6E6"/>
          </w:tcPr>
          <w:p>
            <w:pPr>
              <w:ind w:left="60"/>
              <w:spacing w:after="0" w:line="208" w:lineRule="exact"/>
              <w:rPr>
                <w:sz w:val="20"/>
                <w:szCs w:val="20"/>
                <w:color w:val="auto"/>
              </w:rPr>
            </w:pPr>
            <w:r>
              <w:rPr>
                <w:rFonts w:ascii="Arial" w:cs="Arial" w:eastAsia="Arial" w:hAnsi="Arial"/>
                <w:sz w:val="19"/>
                <w:szCs w:val="19"/>
                <w:color w:val="auto"/>
              </w:rPr>
              <w:t>Net periodic benefit cost (credit)</w:t>
            </w:r>
          </w:p>
        </w:tc>
        <w:tc>
          <w:tcPr>
            <w:tcW w:w="20" w:type="dxa"/>
            <w:vAlign w:val="bottom"/>
            <w:tcBorders>
              <w:top w:val="single" w:sz="8" w:color="E6E6E6"/>
              <w:bottom w:val="single" w:sz="8" w:color="auto"/>
            </w:tcBorders>
            <w:shd w:val="clear" w:color="auto" w:fill="E6E6E6"/>
          </w:tcPr>
          <w:p>
            <w:pPr>
              <w:spacing w:after="0"/>
              <w:rPr>
                <w:sz w:val="21"/>
                <w:szCs w:val="21"/>
                <w:color w:val="auto"/>
              </w:rPr>
            </w:pPr>
          </w:p>
        </w:tc>
        <w:tc>
          <w:tcPr>
            <w:tcW w:w="160" w:type="dxa"/>
            <w:vAlign w:val="bottom"/>
            <w:tcBorders>
              <w:top w:val="single" w:sz="8" w:color="auto"/>
              <w:bottom w:val="single" w:sz="8" w:color="auto"/>
            </w:tcBorders>
            <w:shd w:val="clear" w:color="auto" w:fill="E6E6E6"/>
          </w:tcPr>
          <w:p>
            <w:pPr>
              <w:jc w:val="right"/>
              <w:spacing w:after="0" w:line="208" w:lineRule="exact"/>
              <w:rPr>
                <w:sz w:val="20"/>
                <w:szCs w:val="20"/>
                <w:color w:val="auto"/>
              </w:rPr>
            </w:pPr>
            <w:r>
              <w:rPr>
                <w:rFonts w:ascii="Arial" w:cs="Arial" w:eastAsia="Arial" w:hAnsi="Arial"/>
                <w:sz w:val="19"/>
                <w:szCs w:val="19"/>
                <w:color w:val="auto"/>
                <w:w w:val="94"/>
              </w:rPr>
              <w:t>$</w:t>
            </w:r>
          </w:p>
        </w:tc>
        <w:tc>
          <w:tcPr>
            <w:tcW w:w="760" w:type="dxa"/>
            <w:vAlign w:val="bottom"/>
            <w:tcBorders>
              <w:top w:val="single" w:sz="8" w:color="auto"/>
              <w:bottom w:val="single" w:sz="8" w:color="auto"/>
            </w:tcBorders>
            <w:shd w:val="clear" w:color="auto" w:fill="E6E6E6"/>
          </w:tcPr>
          <w:p>
            <w:pPr>
              <w:jc w:val="right"/>
              <w:spacing w:after="0" w:line="208" w:lineRule="exact"/>
              <w:rPr>
                <w:sz w:val="20"/>
                <w:szCs w:val="20"/>
                <w:color w:val="auto"/>
              </w:rPr>
            </w:pPr>
            <w:r>
              <w:rPr>
                <w:rFonts w:ascii="Arial" w:cs="Arial" w:eastAsia="Arial" w:hAnsi="Arial"/>
                <w:sz w:val="19"/>
                <w:szCs w:val="19"/>
                <w:color w:val="auto"/>
              </w:rPr>
              <w:t>91</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20" w:type="dxa"/>
            <w:vAlign w:val="bottom"/>
            <w:tcBorders>
              <w:top w:val="single" w:sz="8" w:color="E6E6E6"/>
              <w:bottom w:val="single" w:sz="8" w:color="auto"/>
            </w:tcBorders>
            <w:shd w:val="clear" w:color="auto" w:fill="E6E6E6"/>
          </w:tcPr>
          <w:p>
            <w:pPr>
              <w:spacing w:after="0"/>
              <w:rPr>
                <w:sz w:val="21"/>
                <w:szCs w:val="21"/>
                <w:color w:val="auto"/>
              </w:rPr>
            </w:pPr>
          </w:p>
        </w:tc>
        <w:tc>
          <w:tcPr>
            <w:tcW w:w="240" w:type="dxa"/>
            <w:vAlign w:val="bottom"/>
            <w:tcBorders>
              <w:top w:val="single" w:sz="8" w:color="auto"/>
              <w:bottom w:val="single" w:sz="8" w:color="auto"/>
            </w:tcBorders>
            <w:shd w:val="clear" w:color="auto" w:fill="E6E6E6"/>
          </w:tcPr>
          <w:p>
            <w:pPr>
              <w:ind w:left="20"/>
              <w:spacing w:after="0" w:line="208" w:lineRule="exact"/>
              <w:rPr>
                <w:sz w:val="20"/>
                <w:szCs w:val="20"/>
                <w:color w:val="auto"/>
              </w:rPr>
            </w:pPr>
            <w:r>
              <w:rPr>
                <w:rFonts w:ascii="Arial" w:cs="Arial" w:eastAsia="Arial" w:hAnsi="Arial"/>
                <w:sz w:val="19"/>
                <w:szCs w:val="19"/>
                <w:color w:val="auto"/>
              </w:rPr>
              <w:t>$</w:t>
            </w:r>
          </w:p>
        </w:tc>
        <w:tc>
          <w:tcPr>
            <w:tcW w:w="860" w:type="dxa"/>
            <w:vAlign w:val="bottom"/>
            <w:tcBorders>
              <w:top w:val="single" w:sz="8" w:color="auto"/>
              <w:bottom w:val="single" w:sz="8" w:color="auto"/>
            </w:tcBorders>
            <w:shd w:val="clear" w:color="auto" w:fill="E6E6E6"/>
          </w:tcPr>
          <w:p>
            <w:pPr>
              <w:jc w:val="right"/>
              <w:spacing w:after="0" w:line="208" w:lineRule="exact"/>
              <w:rPr>
                <w:sz w:val="20"/>
                <w:szCs w:val="20"/>
                <w:color w:val="auto"/>
              </w:rPr>
            </w:pPr>
            <w:r>
              <w:rPr>
                <w:rFonts w:ascii="Arial" w:cs="Arial" w:eastAsia="Arial" w:hAnsi="Arial"/>
                <w:sz w:val="19"/>
                <w:szCs w:val="19"/>
                <w:color w:val="auto"/>
              </w:rPr>
              <w:t>(81)</w:t>
            </w:r>
          </w:p>
        </w:tc>
        <w:tc>
          <w:tcPr>
            <w:tcW w:w="20" w:type="dxa"/>
            <w:vAlign w:val="bottom"/>
            <w:tcBorders>
              <w:top w:val="single" w:sz="8" w:color="E6E6E6"/>
              <w:bottom w:val="single" w:sz="8" w:color="E6E6E6"/>
            </w:tcBorders>
            <w:shd w:val="clear" w:color="auto" w:fill="E6E6E6"/>
          </w:tcPr>
          <w:p>
            <w:pPr>
              <w:spacing w:after="0"/>
              <w:rPr>
                <w:sz w:val="21"/>
                <w:szCs w:val="21"/>
                <w:color w:val="auto"/>
              </w:rPr>
            </w:pPr>
          </w:p>
        </w:tc>
        <w:tc>
          <w:tcPr>
            <w:tcW w:w="40" w:type="dxa"/>
            <w:vAlign w:val="bottom"/>
            <w:tcBorders>
              <w:top w:val="single" w:sz="8" w:color="E6E6E6"/>
              <w:bottom w:val="single" w:sz="8" w:color="E6E6E6"/>
            </w:tcBorders>
            <w:shd w:val="clear" w:color="auto" w:fill="E6E6E6"/>
          </w:tcPr>
          <w:p>
            <w:pPr>
              <w:spacing w:after="0"/>
              <w:rPr>
                <w:sz w:val="21"/>
                <w:szCs w:val="21"/>
                <w:color w:val="auto"/>
              </w:rPr>
            </w:pPr>
          </w:p>
        </w:tc>
        <w:tc>
          <w:tcPr>
            <w:tcW w:w="180" w:type="dxa"/>
            <w:vAlign w:val="bottom"/>
            <w:tcBorders>
              <w:top w:val="single" w:sz="8" w:color="auto"/>
              <w:bottom w:val="single" w:sz="8" w:color="auto"/>
            </w:tcBorders>
            <w:shd w:val="clear" w:color="auto" w:fill="E6E6E6"/>
          </w:tcPr>
          <w:p>
            <w:pPr>
              <w:jc w:val="right"/>
              <w:spacing w:after="0" w:line="208" w:lineRule="exact"/>
              <w:rPr>
                <w:sz w:val="20"/>
                <w:szCs w:val="20"/>
                <w:color w:val="auto"/>
              </w:rPr>
            </w:pPr>
            <w:r>
              <w:rPr>
                <w:rFonts w:ascii="Arial" w:cs="Arial" w:eastAsia="Arial" w:hAnsi="Arial"/>
                <w:sz w:val="19"/>
                <w:szCs w:val="19"/>
                <w:color w:val="auto"/>
              </w:rPr>
              <w:t>$</w:t>
            </w:r>
          </w:p>
        </w:tc>
        <w:tc>
          <w:tcPr>
            <w:tcW w:w="780" w:type="dxa"/>
            <w:vAlign w:val="bottom"/>
            <w:tcBorders>
              <w:top w:val="single" w:sz="8" w:color="auto"/>
              <w:bottom w:val="single" w:sz="8" w:color="auto"/>
            </w:tcBorders>
            <w:shd w:val="clear" w:color="auto" w:fill="E6E6E6"/>
          </w:tcPr>
          <w:p>
            <w:pPr>
              <w:jc w:val="right"/>
              <w:spacing w:after="0" w:line="208" w:lineRule="exact"/>
              <w:rPr>
                <w:sz w:val="20"/>
                <w:szCs w:val="20"/>
                <w:color w:val="auto"/>
              </w:rPr>
            </w:pPr>
            <w:r>
              <w:rPr>
                <w:rFonts w:ascii="Arial" w:cs="Arial" w:eastAsia="Arial" w:hAnsi="Arial"/>
                <w:sz w:val="19"/>
                <w:szCs w:val="19"/>
                <w:color w:val="auto"/>
              </w:rPr>
              <w:t>108</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280" w:type="dxa"/>
            <w:vAlign w:val="bottom"/>
            <w:tcBorders>
              <w:top w:val="single" w:sz="8" w:color="auto"/>
              <w:bottom w:val="single" w:sz="8" w:color="auto"/>
            </w:tcBorders>
            <w:gridSpan w:val="2"/>
            <w:shd w:val="clear" w:color="auto" w:fill="E6E6E6"/>
          </w:tcPr>
          <w:p>
            <w:pPr>
              <w:ind w:left="60"/>
              <w:spacing w:after="0" w:line="208" w:lineRule="exact"/>
              <w:rPr>
                <w:sz w:val="20"/>
                <w:szCs w:val="20"/>
                <w:color w:val="auto"/>
              </w:rPr>
            </w:pPr>
            <w:r>
              <w:rPr>
                <w:rFonts w:ascii="Arial" w:cs="Arial" w:eastAsia="Arial" w:hAnsi="Arial"/>
                <w:sz w:val="19"/>
                <w:szCs w:val="19"/>
                <w:color w:val="auto"/>
              </w:rPr>
              <w:t>$</w:t>
            </w:r>
          </w:p>
        </w:tc>
        <w:tc>
          <w:tcPr>
            <w:tcW w:w="840" w:type="dxa"/>
            <w:vAlign w:val="bottom"/>
            <w:tcBorders>
              <w:top w:val="single" w:sz="8" w:color="auto"/>
              <w:bottom w:val="single" w:sz="8" w:color="auto"/>
            </w:tcBorders>
            <w:shd w:val="clear" w:color="auto" w:fill="E6E6E6"/>
          </w:tcPr>
          <w:p>
            <w:pPr>
              <w:jc w:val="right"/>
              <w:spacing w:after="0" w:line="208" w:lineRule="exact"/>
              <w:rPr>
                <w:sz w:val="20"/>
                <w:szCs w:val="20"/>
                <w:color w:val="auto"/>
              </w:rPr>
            </w:pPr>
            <w:r>
              <w:rPr>
                <w:rFonts w:ascii="Arial" w:cs="Arial" w:eastAsia="Arial" w:hAnsi="Arial"/>
                <w:sz w:val="19"/>
                <w:szCs w:val="19"/>
                <w:color w:val="auto"/>
              </w:rPr>
              <w:t>(77)</w:t>
            </w:r>
          </w:p>
        </w:tc>
        <w:tc>
          <w:tcPr>
            <w:tcW w:w="20" w:type="dxa"/>
            <w:vAlign w:val="bottom"/>
            <w:tcBorders>
              <w:top w:val="single" w:sz="8" w:color="E6E6E6"/>
              <w:bottom w:val="single" w:sz="8" w:color="E6E6E6"/>
            </w:tcBorders>
            <w:shd w:val="clear" w:color="auto" w:fill="E6E6E6"/>
          </w:tcPr>
          <w:p>
            <w:pPr>
              <w:spacing w:after="0"/>
              <w:rPr>
                <w:sz w:val="21"/>
                <w:szCs w:val="21"/>
                <w:color w:val="auto"/>
              </w:rPr>
            </w:pP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20" w:type="dxa"/>
            <w:vAlign w:val="bottom"/>
            <w:tcBorders>
              <w:top w:val="single" w:sz="8" w:color="E6E6E6"/>
              <w:bottom w:val="single" w:sz="8" w:color="auto"/>
            </w:tcBorders>
            <w:shd w:val="clear" w:color="auto" w:fill="E6E6E6"/>
          </w:tcPr>
          <w:p>
            <w:pPr>
              <w:spacing w:after="0"/>
              <w:rPr>
                <w:sz w:val="21"/>
                <w:szCs w:val="21"/>
                <w:color w:val="auto"/>
              </w:rPr>
            </w:pPr>
          </w:p>
        </w:tc>
        <w:tc>
          <w:tcPr>
            <w:tcW w:w="160" w:type="dxa"/>
            <w:vAlign w:val="bottom"/>
            <w:tcBorders>
              <w:top w:val="single" w:sz="8" w:color="auto"/>
              <w:bottom w:val="single" w:sz="8" w:color="auto"/>
            </w:tcBorders>
            <w:shd w:val="clear" w:color="auto" w:fill="E6E6E6"/>
          </w:tcPr>
          <w:p>
            <w:pPr>
              <w:jc w:val="right"/>
              <w:spacing w:after="0" w:line="208" w:lineRule="exact"/>
              <w:rPr>
                <w:sz w:val="20"/>
                <w:szCs w:val="20"/>
                <w:color w:val="auto"/>
              </w:rPr>
            </w:pPr>
            <w:r>
              <w:rPr>
                <w:rFonts w:ascii="Arial" w:cs="Arial" w:eastAsia="Arial" w:hAnsi="Arial"/>
                <w:sz w:val="19"/>
                <w:szCs w:val="19"/>
                <w:color w:val="auto"/>
                <w:w w:val="94"/>
              </w:rPr>
              <w:t>$</w:t>
            </w:r>
          </w:p>
        </w:tc>
        <w:tc>
          <w:tcPr>
            <w:tcW w:w="760" w:type="dxa"/>
            <w:vAlign w:val="bottom"/>
            <w:tcBorders>
              <w:top w:val="single" w:sz="8" w:color="auto"/>
              <w:bottom w:val="single" w:sz="8" w:color="auto"/>
            </w:tcBorders>
            <w:shd w:val="clear" w:color="auto" w:fill="E6E6E6"/>
          </w:tcPr>
          <w:p>
            <w:pPr>
              <w:jc w:val="right"/>
              <w:spacing w:after="0" w:line="208" w:lineRule="exact"/>
              <w:rPr>
                <w:sz w:val="20"/>
                <w:szCs w:val="20"/>
                <w:color w:val="auto"/>
              </w:rPr>
            </w:pPr>
            <w:r>
              <w:rPr>
                <w:rFonts w:ascii="Arial" w:cs="Arial" w:eastAsia="Arial" w:hAnsi="Arial"/>
                <w:sz w:val="19"/>
                <w:szCs w:val="19"/>
                <w:color w:val="auto"/>
              </w:rPr>
              <w:t>102</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260" w:type="dxa"/>
            <w:vAlign w:val="bottom"/>
            <w:tcBorders>
              <w:top w:val="single" w:sz="8" w:color="auto"/>
              <w:bottom w:val="single" w:sz="8" w:color="auto"/>
            </w:tcBorders>
            <w:shd w:val="clear" w:color="auto" w:fill="E6E6E6"/>
          </w:tcPr>
          <w:p>
            <w:pPr>
              <w:ind w:left="60"/>
              <w:spacing w:after="0" w:line="208" w:lineRule="exact"/>
              <w:rPr>
                <w:sz w:val="20"/>
                <w:szCs w:val="20"/>
                <w:color w:val="auto"/>
              </w:rPr>
            </w:pPr>
            <w:r>
              <w:rPr>
                <w:rFonts w:ascii="Arial" w:cs="Arial" w:eastAsia="Arial" w:hAnsi="Arial"/>
                <w:sz w:val="19"/>
                <w:szCs w:val="19"/>
                <w:color w:val="auto"/>
              </w:rPr>
              <w:t>$</w:t>
            </w:r>
          </w:p>
        </w:tc>
        <w:tc>
          <w:tcPr>
            <w:tcW w:w="860" w:type="dxa"/>
            <w:vAlign w:val="bottom"/>
            <w:tcBorders>
              <w:top w:val="single" w:sz="8" w:color="auto"/>
              <w:bottom w:val="single" w:sz="8" w:color="auto"/>
            </w:tcBorders>
            <w:shd w:val="clear" w:color="auto" w:fill="E6E6E6"/>
          </w:tcPr>
          <w:p>
            <w:pPr>
              <w:jc w:val="right"/>
              <w:spacing w:after="0" w:line="208" w:lineRule="exact"/>
              <w:rPr>
                <w:sz w:val="20"/>
                <w:szCs w:val="20"/>
                <w:color w:val="auto"/>
              </w:rPr>
            </w:pPr>
            <w:r>
              <w:rPr>
                <w:rFonts w:ascii="Arial" w:cs="Arial" w:eastAsia="Arial" w:hAnsi="Arial"/>
                <w:sz w:val="19"/>
                <w:szCs w:val="19"/>
                <w:color w:val="auto"/>
              </w:rPr>
              <w:t>(105)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2068195</wp:posOffset>
            </wp:positionH>
            <wp:positionV relativeFrom="paragraph">
              <wp:posOffset>-1407160</wp:posOffset>
            </wp:positionV>
            <wp:extent cx="419290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03">
                      <a:extLst>
                        <a:ext uri="{28A0092B-C50C-407E-A947-70E740481C1C}"/>
                      </a:extLst>
                    </a:blip>
                    <a:srcRect/>
                    <a:stretch>
                      <a:fillRect/>
                    </a:stretch>
                  </pic:blipFill>
                  <pic:spPr bwMode="auto">
                    <a:xfrm>
                      <a:off x="0" y="0"/>
                      <a:ext cx="4192905" cy="25400"/>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-187325</wp:posOffset>
            </wp:positionV>
            <wp:extent cx="419290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04">
                      <a:extLst>
                        <a:ext uri="{28A0092B-C50C-407E-A947-70E740481C1C}"/>
                      </a:extLst>
                    </a:blip>
                    <a:srcRect/>
                    <a:stretch>
                      <a:fillRect/>
                    </a:stretch>
                  </pic:blipFill>
                  <pic:spPr bwMode="auto">
                    <a:xfrm>
                      <a:off x="0" y="0"/>
                      <a:ext cx="4192905" cy="25400"/>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-43180</wp:posOffset>
            </wp:positionV>
            <wp:extent cx="4192905" cy="501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05">
                      <a:extLst>
                        <a:ext uri="{28A0092B-C50C-407E-A947-70E740481C1C}"/>
                      </a:extLst>
                    </a:blip>
                    <a:srcRect/>
                    <a:stretch>
                      <a:fillRect/>
                    </a:stretch>
                  </pic:blipFill>
                  <pic:spPr bwMode="auto">
                    <a:xfrm>
                      <a:off x="0" y="0"/>
                      <a:ext cx="4192905" cy="50165"/>
                    </a:xfrm>
                    <a:prstGeom prst="rect">
                      <a:avLst/>
                    </a:prstGeom>
                    <a:noFill/>
                  </pic:spPr>
                </pic:pic>
              </a:graphicData>
            </a:graphic>
          </wp:anchor>
        </w:drawing>
      </w:r>
    </w:p>
    <w:p>
      <w:pPr>
        <w:spacing w:after="0" w:line="84" w:lineRule="exact"/>
        <w:rPr>
          <w:sz w:val="20"/>
          <w:szCs w:val="20"/>
          <w:color w:val="auto"/>
        </w:rPr>
      </w:pPr>
    </w:p>
    <w:p>
      <w:pPr>
        <w:ind w:right="180"/>
        <w:spacing w:after="0" w:line="323" w:lineRule="auto"/>
        <w:rPr>
          <w:sz w:val="20"/>
          <w:szCs w:val="20"/>
          <w:color w:val="auto"/>
        </w:rPr>
      </w:pPr>
      <w:r>
        <w:rPr>
          <w:rFonts w:ascii="Arial" w:cs="Arial" w:eastAsia="Arial" w:hAnsi="Arial"/>
          <w:sz w:val="18"/>
          <w:szCs w:val="18"/>
          <w:color w:val="auto"/>
        </w:rPr>
        <w:t>Service cost is recorded in Salaries and related costs on the statement of consolidated operations. All other components of net periodic benefit costs are recorded in Miscellaneous, net on the statement of consolidated operations.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60" w:type="dxa"/>
            <w:vAlign w:val="bottom"/>
          </w:tcPr>
          <w:p>
            <w:pPr>
              <w:spacing w:after="0"/>
              <w:rPr>
                <w:sz w:val="20"/>
                <w:szCs w:val="20"/>
                <w:color w:val="auto"/>
              </w:rPr>
            </w:pPr>
            <w:r>
              <w:rPr>
                <w:rFonts w:ascii="Arial" w:cs="Arial" w:eastAsia="Arial" w:hAnsi="Arial"/>
                <w:sz w:val="19"/>
                <w:szCs w:val="19"/>
                <w:color w:val="auto"/>
              </w:rPr>
              <w:t>The assumptions used for the benefit plans were as follows:</w:t>
            </w: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04"/>
        </w:trPr>
        <w:tc>
          <w:tcPr>
            <w:tcW w:w="7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9"/>
                <w:szCs w:val="19"/>
                <w:b w:val="1"/>
                <w:bCs w:val="1"/>
                <w:color w:val="auto"/>
              </w:rPr>
              <w:t>Pension Benefits</w:t>
            </w:r>
          </w:p>
        </w:tc>
      </w:tr>
      <w:tr>
        <w:trPr>
          <w:trHeight w:val="257"/>
        </w:trPr>
        <w:tc>
          <w:tcPr>
            <w:tcW w:w="716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Assumptions used to determine benefit obligations</w:t>
            </w:r>
          </w:p>
        </w:tc>
        <w:tc>
          <w:tcPr>
            <w:tcW w:w="80" w:type="dxa"/>
            <w:vAlign w:val="bottom"/>
            <w:tcBorders>
              <w:bottom w:val="single" w:sz="8" w:color="E6E6E6"/>
            </w:tcBorders>
          </w:tcPr>
          <w:p>
            <w:pPr>
              <w:spacing w:after="0"/>
              <w:rPr>
                <w:sz w:val="22"/>
                <w:szCs w:val="22"/>
                <w:color w:val="auto"/>
              </w:rPr>
            </w:pPr>
          </w:p>
        </w:tc>
        <w:tc>
          <w:tcPr>
            <w:tcW w:w="1220" w:type="dxa"/>
            <w:vAlign w:val="bottom"/>
            <w:tcBorders>
              <w:bottom w:val="single" w:sz="8" w:color="auto"/>
            </w:tcBorders>
          </w:tcPr>
          <w:p>
            <w:pPr>
              <w:jc w:val="right"/>
              <w:ind w:right="323"/>
              <w:spacing w:after="0"/>
              <w:rPr>
                <w:sz w:val="20"/>
                <w:szCs w:val="20"/>
                <w:color w:val="auto"/>
              </w:rPr>
            </w:pPr>
            <w:r>
              <w:rPr>
                <w:rFonts w:ascii="Arial" w:cs="Arial" w:eastAsia="Arial" w:hAnsi="Arial"/>
                <w:sz w:val="19"/>
                <w:szCs w:val="19"/>
                <w:b w:val="1"/>
                <w:bCs w:val="1"/>
                <w:color w:val="auto"/>
              </w:rPr>
              <w:t>2025</w:t>
            </w:r>
          </w:p>
        </w:tc>
        <w:tc>
          <w:tcPr>
            <w:tcW w:w="120" w:type="dxa"/>
            <w:vAlign w:val="bottom"/>
            <w:tcBorders>
              <w:bottom w:val="single" w:sz="8" w:color="E6E6E6"/>
            </w:tcBorders>
          </w:tcPr>
          <w:p>
            <w:pPr>
              <w:spacing w:after="0"/>
              <w:rPr>
                <w:sz w:val="22"/>
                <w:szCs w:val="22"/>
                <w:color w:val="auto"/>
              </w:rPr>
            </w:pPr>
          </w:p>
        </w:tc>
        <w:tc>
          <w:tcPr>
            <w:tcW w:w="1220" w:type="dxa"/>
            <w:vAlign w:val="bottom"/>
            <w:tcBorders>
              <w:bottom w:val="single" w:sz="8" w:color="auto"/>
            </w:tcBorders>
          </w:tcPr>
          <w:p>
            <w:pPr>
              <w:jc w:val="right"/>
              <w:ind w:right="323"/>
              <w:spacing w:after="0"/>
              <w:rPr>
                <w:sz w:val="20"/>
                <w:szCs w:val="20"/>
                <w:color w:val="auto"/>
              </w:rPr>
            </w:pPr>
            <w:r>
              <w:rPr>
                <w:rFonts w:ascii="Arial" w:cs="Arial" w:eastAsia="Arial" w:hAnsi="Arial"/>
                <w:sz w:val="19"/>
                <w:szCs w:val="19"/>
                <w:b w:val="1"/>
                <w:bCs w:val="1"/>
                <w:color w:val="auto"/>
              </w:rPr>
              <w:t>2024</w:t>
            </w:r>
          </w:p>
        </w:tc>
      </w:tr>
      <w:tr>
        <w:trPr>
          <w:trHeight w:val="266"/>
        </w:trPr>
        <w:tc>
          <w:tcPr>
            <w:tcW w:w="7160" w:type="dxa"/>
            <w:vAlign w:val="bottom"/>
            <w:shd w:val="clear" w:color="auto" w:fill="E6E6E6"/>
          </w:tcPr>
          <w:p>
            <w:pPr>
              <w:ind w:left="60"/>
              <w:spacing w:after="0"/>
              <w:rPr>
                <w:sz w:val="20"/>
                <w:szCs w:val="20"/>
                <w:color w:val="auto"/>
              </w:rPr>
            </w:pPr>
            <w:r>
              <w:rPr>
                <w:rFonts w:ascii="Arial" w:cs="Arial" w:eastAsia="Arial" w:hAnsi="Arial"/>
                <w:sz w:val="19"/>
                <w:szCs w:val="19"/>
                <w:color w:val="auto"/>
              </w:rPr>
              <w:t>Discount rate</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5.62 %</w:t>
            </w:r>
          </w:p>
        </w:tc>
        <w:tc>
          <w:tcPr>
            <w:tcW w:w="13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5.67 %</w:t>
            </w:r>
          </w:p>
        </w:tc>
      </w:tr>
      <w:tr>
        <w:trPr>
          <w:trHeight w:val="264"/>
        </w:trPr>
        <w:tc>
          <w:tcPr>
            <w:tcW w:w="7160" w:type="dxa"/>
            <w:vAlign w:val="bottom"/>
          </w:tcPr>
          <w:p>
            <w:pPr>
              <w:ind w:left="60"/>
              <w:spacing w:after="0"/>
              <w:rPr>
                <w:sz w:val="20"/>
                <w:szCs w:val="20"/>
                <w:color w:val="auto"/>
              </w:rPr>
            </w:pPr>
            <w:r>
              <w:rPr>
                <w:rFonts w:ascii="Arial" w:cs="Arial" w:eastAsia="Arial" w:hAnsi="Arial"/>
                <w:sz w:val="19"/>
                <w:szCs w:val="19"/>
                <w:color w:val="auto"/>
              </w:rPr>
              <w:t>Rate of compensation increase</w:t>
            </w: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3.85 %</w:t>
            </w:r>
          </w:p>
        </w:tc>
        <w:tc>
          <w:tcPr>
            <w:tcW w:w="1340" w:type="dxa"/>
            <w:vAlign w:val="bottom"/>
            <w:gridSpan w:val="2"/>
          </w:tcPr>
          <w:p>
            <w:pPr>
              <w:jc w:val="right"/>
              <w:spacing w:after="0"/>
              <w:rPr>
                <w:sz w:val="20"/>
                <w:szCs w:val="20"/>
                <w:color w:val="auto"/>
              </w:rPr>
            </w:pPr>
            <w:r>
              <w:rPr>
                <w:rFonts w:ascii="Arial" w:cs="Arial" w:eastAsia="Arial" w:hAnsi="Arial"/>
                <w:sz w:val="19"/>
                <w:szCs w:val="19"/>
                <w:color w:val="auto"/>
              </w:rPr>
              <w:t>3.85 %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-354965</wp:posOffset>
            </wp:positionV>
            <wp:extent cx="624459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06">
                      <a:extLst>
                        <a:ext uri="{28A0092B-C50C-407E-A947-70E740481C1C}"/>
                      </a:extLst>
                    </a:blip>
                    <a:srcRect/>
                    <a:stretch>
                      <a:fillRect/>
                    </a:stretch>
                  </pic:blipFill>
                  <pic:spPr bwMode="auto">
                    <a:xfrm>
                      <a:off x="0" y="0"/>
                      <a:ext cx="624459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1270</wp:posOffset>
                </wp:positionH>
                <wp:positionV relativeFrom="paragraph">
                  <wp:posOffset>53975</wp:posOffset>
                </wp:positionV>
                <wp:extent cx="454660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4660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4.25pt" to="358.1pt,4.25pt" o:allowincell="f" strokecolor="#000000" strokeweight="0.97pt"/>
            </w:pict>
          </mc:Fallback>
        </mc:AlternateConten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Assumptions used to determine net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6231890" cy="1879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07">
                      <a:extLst>
                        <a:ext uri="{28A0092B-C50C-407E-A947-70E740481C1C}"/>
                      </a:extLst>
                    </a:blip>
                    <a:srcRect/>
                    <a:stretch>
                      <a:fillRect/>
                    </a:stretch>
                  </pic:blipFill>
                  <pic:spPr bwMode="auto">
                    <a:xfrm>
                      <a:off x="0" y="0"/>
                      <a:ext cx="6231890" cy="187960"/>
                    </a:xfrm>
                    <a:prstGeom prst="rect">
                      <a:avLst/>
                    </a:prstGeom>
                    <a:noFill/>
                  </pic:spPr>
                </pic:pic>
              </a:graphicData>
            </a:graphic>
          </wp:anchor>
        </w:drawing>
      </w:r>
    </w:p>
    <w:p>
      <w:pPr>
        <w:sectPr>
          <w:pgSz w:w="11880" w:h="15480" w:orient="portrait"/>
          <w:cols w:equalWidth="0" w:num="1">
            <w:col w:w="9920"/>
          </w:cols>
          <w:pgMar w:left="960" w:top="586" w:right="1000" w:bottom="33" w:gutter="0" w:footer="0" w:header="0"/>
        </w:sectPr>
      </w:pPr>
    </w:p>
    <w:p>
      <w:pPr>
        <w:spacing w:after="0" w:line="62" w:lineRule="exact"/>
        <w:rPr>
          <w:sz w:val="20"/>
          <w:szCs w:val="20"/>
          <w:color w:val="auto"/>
        </w:rPr>
      </w:pPr>
    </w:p>
    <w:p>
      <w:pPr>
        <w:ind w:left="60"/>
        <w:spacing w:after="0"/>
        <w:rPr>
          <w:sz w:val="20"/>
          <w:szCs w:val="20"/>
          <w:color w:val="auto"/>
        </w:rPr>
      </w:pPr>
      <w:r>
        <w:rPr>
          <w:rFonts w:ascii="Arial" w:cs="Arial" w:eastAsia="Arial" w:hAnsi="Arial"/>
          <w:sz w:val="19"/>
          <w:szCs w:val="19"/>
          <w:color w:val="auto"/>
        </w:rPr>
        <w:t>Discount rate</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Expected return on plan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45085</wp:posOffset>
                </wp:positionV>
                <wp:extent cx="6219190" cy="17526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9190" cy="175260"/>
                        </a:xfrm>
                        <a:prstGeom prst="rect">
                          <a:avLst/>
                        </a:prstGeom>
                        <a:solidFill>
                          <a:srgbClr val="E6E6E6"/>
                        </a:solidFill>
                      </wps:spPr>
                      <wps:bodyPr/>
                    </wps:wsp>
                  </a:graphicData>
                </a:graphic>
              </wp:anchor>
            </w:drawing>
          </mc:Choice>
          <mc:Fallback>
            <w:pict>
              <v:rect id="Shape 224" o:spid="_x0000_s1249" style="position:absolute;margin-left:0.15pt;margin-top:3.55pt;width:489.7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Rate of compensation increase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140"/>
        <w:spacing w:after="0"/>
        <w:tabs>
          <w:tab w:leader="none" w:pos="1460" w:val="left"/>
        </w:tabs>
        <w:rPr>
          <w:sz w:val="20"/>
          <w:szCs w:val="20"/>
          <w:color w:val="auto"/>
        </w:rPr>
      </w:pPr>
      <w:r>
        <w:rPr>
          <w:rFonts w:ascii="Arial" w:cs="Arial" w:eastAsia="Arial" w:hAnsi="Arial"/>
          <w:sz w:val="19"/>
          <w:szCs w:val="19"/>
          <w:color w:val="auto"/>
        </w:rPr>
        <w:t>5.67 %</w:t>
      </w:r>
      <w:r>
        <w:rPr>
          <w:sz w:val="20"/>
          <w:szCs w:val="20"/>
          <w:color w:val="auto"/>
        </w:rPr>
        <w:tab/>
      </w:r>
      <w:r>
        <w:rPr>
          <w:rFonts w:ascii="Arial" w:cs="Arial" w:eastAsia="Arial" w:hAnsi="Arial"/>
          <w:sz w:val="17"/>
          <w:szCs w:val="17"/>
          <w:color w:val="auto"/>
        </w:rPr>
        <w:t>5.04 %</w:t>
      </w:r>
    </w:p>
    <w:p>
      <w:pPr>
        <w:spacing w:after="0" w:line="58" w:lineRule="exact"/>
        <w:rPr>
          <w:sz w:val="20"/>
          <w:szCs w:val="20"/>
          <w:color w:val="auto"/>
        </w:rPr>
      </w:pPr>
    </w:p>
    <w:p>
      <w:pPr>
        <w:ind w:left="140"/>
        <w:spacing w:after="0"/>
        <w:tabs>
          <w:tab w:leader="none" w:pos="1460" w:val="left"/>
        </w:tabs>
        <w:rPr>
          <w:sz w:val="20"/>
          <w:szCs w:val="20"/>
          <w:color w:val="auto"/>
        </w:rPr>
      </w:pPr>
      <w:r>
        <w:rPr>
          <w:rFonts w:ascii="Arial" w:cs="Arial" w:eastAsia="Arial" w:hAnsi="Arial"/>
          <w:sz w:val="19"/>
          <w:szCs w:val="19"/>
          <w:color w:val="auto"/>
        </w:rPr>
        <w:t>7.81 %</w:t>
      </w:r>
      <w:r>
        <w:rPr>
          <w:sz w:val="20"/>
          <w:szCs w:val="20"/>
          <w:color w:val="auto"/>
        </w:rPr>
        <w:tab/>
      </w:r>
      <w:r>
        <w:rPr>
          <w:rFonts w:ascii="Arial" w:cs="Arial" w:eastAsia="Arial" w:hAnsi="Arial"/>
          <w:sz w:val="17"/>
          <w:szCs w:val="17"/>
          <w:color w:val="auto"/>
        </w:rPr>
        <w:t>7.97 %</w:t>
      </w:r>
    </w:p>
    <w:p>
      <w:pPr>
        <w:spacing w:after="0" w:line="58" w:lineRule="exact"/>
        <w:rPr>
          <w:sz w:val="20"/>
          <w:szCs w:val="20"/>
          <w:color w:val="auto"/>
        </w:rPr>
      </w:pPr>
    </w:p>
    <w:p>
      <w:pPr>
        <w:ind w:left="140"/>
        <w:spacing w:after="0"/>
        <w:tabs>
          <w:tab w:leader="none" w:pos="1460" w:val="left"/>
        </w:tabs>
        <w:rPr>
          <w:sz w:val="20"/>
          <w:szCs w:val="20"/>
          <w:color w:val="auto"/>
        </w:rPr>
      </w:pPr>
      <w:r>
        <w:rPr>
          <w:rFonts w:ascii="Arial" w:cs="Arial" w:eastAsia="Arial" w:hAnsi="Arial"/>
          <w:sz w:val="19"/>
          <w:szCs w:val="19"/>
          <w:color w:val="auto"/>
        </w:rPr>
        <w:t>3.85 %</w:t>
      </w:r>
      <w:r>
        <w:rPr>
          <w:sz w:val="20"/>
          <w:szCs w:val="20"/>
          <w:color w:val="auto"/>
        </w:rPr>
        <w:tab/>
      </w:r>
      <w:r>
        <w:rPr>
          <w:rFonts w:ascii="Arial" w:cs="Arial" w:eastAsia="Arial" w:hAnsi="Arial"/>
          <w:sz w:val="17"/>
          <w:szCs w:val="17"/>
          <w:color w:val="auto"/>
        </w:rPr>
        <w:t>3.84 %</w:t>
      </w:r>
    </w:p>
    <w:p>
      <w:pPr>
        <w:spacing w:after="0" w:line="320"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Other Postretirement</w:t>
      </w:r>
    </w:p>
    <w:p>
      <w:pPr>
        <w:jc w:val="center"/>
        <w:ind w:right="400"/>
        <w:spacing w:after="0"/>
        <w:rPr>
          <w:sz w:val="20"/>
          <w:szCs w:val="20"/>
          <w:color w:val="auto"/>
        </w:rPr>
      </w:pPr>
      <w:r>
        <w:rPr>
          <w:rFonts w:ascii="Arial" w:cs="Arial" w:eastAsia="Arial" w:hAnsi="Arial"/>
          <w:sz w:val="19"/>
          <w:szCs w:val="19"/>
          <w:b w:val="1"/>
          <w:bCs w:val="1"/>
          <w:color w:val="auto"/>
        </w:rPr>
        <w:t>Benefits</w:t>
      </w:r>
    </w:p>
    <w:p>
      <w:pPr>
        <w:spacing w:after="0" w:line="39" w:lineRule="exact"/>
        <w:rPr>
          <w:sz w:val="20"/>
          <w:szCs w:val="20"/>
          <w:color w:val="auto"/>
        </w:rPr>
      </w:pPr>
    </w:p>
    <w:p>
      <w:pPr>
        <w:sectPr>
          <w:pgSz w:w="11880" w:h="15480" w:orient="portrait"/>
          <w:cols w:equalWidth="0" w:num="2">
            <w:col w:w="7020" w:space="720"/>
            <w:col w:w="2180"/>
          </w:cols>
          <w:pgMar w:left="960" w:top="586" w:right="1000" w:bottom="33" w:gutter="0" w:footer="0" w:header="0"/>
          <w:type w:val="continuous"/>
        </w:sectPr>
      </w:pPr>
    </w:p>
    <w:tbl>
      <w:tblPr>
        <w:tblLayout w:type="fixed"/>
        <w:tblInd w:w="0" w:type="dxa"/>
        <w:tblCellMar>
          <w:top w:w="0" w:type="dxa"/>
          <w:left w:w="0" w:type="dxa"/>
          <w:bottom w:w="0" w:type="dxa"/>
          <w:right w:w="0" w:type="dxa"/>
        </w:tblCellMar>
      </w:tblPr>
      <w:tr>
        <w:trPr>
          <w:trHeight w:val="274"/>
        </w:trPr>
        <w:tc>
          <w:tcPr>
            <w:tcW w:w="7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9"/>
                <w:szCs w:val="19"/>
                <w:b w:val="1"/>
                <w:bCs w:val="1"/>
                <w:color w:val="auto"/>
              </w:rPr>
              <w:t>Assumptions used to determine benefit obligations</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9"/>
                <w:szCs w:val="19"/>
                <w:b w:val="1"/>
                <w:bCs w:val="1"/>
                <w:color w:val="auto"/>
              </w:rPr>
              <w:t>2025</w:t>
            </w:r>
          </w:p>
        </w:tc>
        <w:tc>
          <w:tcPr>
            <w:tcW w:w="120" w:type="dxa"/>
            <w:vAlign w:val="bottom"/>
            <w:tcBorders>
              <w:top w:val="single" w:sz="8" w:color="auto"/>
              <w:bottom w:val="single" w:sz="8" w:color="E6E6E6"/>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9"/>
                <w:szCs w:val="19"/>
                <w:b w:val="1"/>
                <w:bCs w:val="1"/>
                <w:color w:val="auto"/>
              </w:rPr>
              <w:t>2024</w:t>
            </w:r>
          </w:p>
        </w:tc>
      </w:tr>
      <w:tr>
        <w:trPr>
          <w:trHeight w:val="281"/>
        </w:trPr>
        <w:tc>
          <w:tcPr>
            <w:tcW w:w="7280" w:type="dxa"/>
            <w:vAlign w:val="bottom"/>
            <w:shd w:val="clear" w:color="auto" w:fill="E6E6E6"/>
          </w:tcPr>
          <w:p>
            <w:pPr>
              <w:ind w:left="60"/>
              <w:spacing w:after="0"/>
              <w:rPr>
                <w:sz w:val="20"/>
                <w:szCs w:val="20"/>
                <w:color w:val="auto"/>
              </w:rPr>
            </w:pPr>
            <w:r>
              <w:rPr>
                <w:rFonts w:ascii="Arial" w:cs="Arial" w:eastAsia="Arial" w:hAnsi="Arial"/>
                <w:sz w:val="19"/>
                <w:szCs w:val="19"/>
                <w:color w:val="auto"/>
              </w:rPr>
              <w:t>Discount rate</w:t>
            </w:r>
          </w:p>
        </w:tc>
        <w:tc>
          <w:tcPr>
            <w:tcW w:w="1300" w:type="dxa"/>
            <w:vAlign w:val="bottom"/>
            <w:gridSpan w:val="3"/>
            <w:shd w:val="clear" w:color="auto" w:fill="E6E6E6"/>
          </w:tcPr>
          <w:p>
            <w:pPr>
              <w:jc w:val="right"/>
              <w:spacing w:after="0"/>
              <w:rPr>
                <w:sz w:val="20"/>
                <w:szCs w:val="20"/>
                <w:color w:val="auto"/>
              </w:rPr>
            </w:pPr>
            <w:r>
              <w:rPr>
                <w:rFonts w:ascii="Arial" w:cs="Arial" w:eastAsia="Arial" w:hAnsi="Arial"/>
                <w:sz w:val="19"/>
                <w:szCs w:val="19"/>
                <w:color w:val="auto"/>
              </w:rPr>
              <w:t>5.43 %</w:t>
            </w:r>
          </w:p>
        </w:tc>
        <w:tc>
          <w:tcPr>
            <w:tcW w:w="13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5.70 %</w:t>
            </w:r>
          </w:p>
        </w:tc>
      </w:tr>
      <w:tr>
        <w:trPr>
          <w:trHeight w:val="281"/>
        </w:trPr>
        <w:tc>
          <w:tcPr>
            <w:tcW w:w="7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72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Assumptions used to determine net expense</w:t>
            </w:r>
          </w:p>
        </w:tc>
        <w:tc>
          <w:tcPr>
            <w:tcW w:w="20" w:type="dxa"/>
            <w:vAlign w:val="bottom"/>
            <w:tcBorders>
              <w:bottom w:val="single" w:sz="8" w:color="E6E6E6"/>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1220" w:type="dxa"/>
            <w:vAlign w:val="bottom"/>
            <w:tcBorders>
              <w:bottom w:val="single" w:sz="8" w:color="E6E6E6"/>
            </w:tcBorders>
          </w:tcPr>
          <w:p>
            <w:pPr>
              <w:spacing w:after="0"/>
              <w:rPr>
                <w:sz w:val="23"/>
                <w:szCs w:val="23"/>
                <w:color w:val="auto"/>
              </w:rPr>
            </w:pPr>
          </w:p>
        </w:tc>
        <w:tc>
          <w:tcPr>
            <w:tcW w:w="120" w:type="dxa"/>
            <w:vAlign w:val="bottom"/>
            <w:tcBorders>
              <w:bottom w:val="single" w:sz="8" w:color="E6E6E6"/>
            </w:tcBorders>
          </w:tcPr>
          <w:p>
            <w:pPr>
              <w:spacing w:after="0"/>
              <w:rPr>
                <w:sz w:val="23"/>
                <w:szCs w:val="23"/>
                <w:color w:val="auto"/>
              </w:rPr>
            </w:pPr>
          </w:p>
        </w:tc>
        <w:tc>
          <w:tcPr>
            <w:tcW w:w="1220" w:type="dxa"/>
            <w:vAlign w:val="bottom"/>
            <w:tcBorders>
              <w:bottom w:val="single" w:sz="8" w:color="E6E6E6"/>
            </w:tcBorders>
          </w:tcPr>
          <w:p>
            <w:pPr>
              <w:spacing w:after="0"/>
              <w:rPr>
                <w:sz w:val="23"/>
                <w:szCs w:val="23"/>
                <w:color w:val="auto"/>
              </w:rPr>
            </w:pPr>
          </w:p>
        </w:tc>
      </w:tr>
      <w:tr>
        <w:trPr>
          <w:trHeight w:val="281"/>
        </w:trPr>
        <w:tc>
          <w:tcPr>
            <w:tcW w:w="7280" w:type="dxa"/>
            <w:vAlign w:val="bottom"/>
            <w:shd w:val="clear" w:color="auto" w:fill="E6E6E6"/>
          </w:tcPr>
          <w:p>
            <w:pPr>
              <w:ind w:left="60"/>
              <w:spacing w:after="0"/>
              <w:rPr>
                <w:sz w:val="20"/>
                <w:szCs w:val="20"/>
                <w:color w:val="auto"/>
              </w:rPr>
            </w:pPr>
            <w:r>
              <w:rPr>
                <w:rFonts w:ascii="Arial" w:cs="Arial" w:eastAsia="Arial" w:hAnsi="Arial"/>
                <w:sz w:val="19"/>
                <w:szCs w:val="19"/>
                <w:color w:val="auto"/>
              </w:rPr>
              <w:t>Discount rate</w:t>
            </w:r>
          </w:p>
        </w:tc>
        <w:tc>
          <w:tcPr>
            <w:tcW w:w="1300" w:type="dxa"/>
            <w:vAlign w:val="bottom"/>
            <w:gridSpan w:val="3"/>
            <w:shd w:val="clear" w:color="auto" w:fill="E6E6E6"/>
          </w:tcPr>
          <w:p>
            <w:pPr>
              <w:jc w:val="right"/>
              <w:spacing w:after="0"/>
              <w:rPr>
                <w:sz w:val="20"/>
                <w:szCs w:val="20"/>
                <w:color w:val="auto"/>
              </w:rPr>
            </w:pPr>
            <w:r>
              <w:rPr>
                <w:rFonts w:ascii="Arial" w:cs="Arial" w:eastAsia="Arial" w:hAnsi="Arial"/>
                <w:sz w:val="19"/>
                <w:szCs w:val="19"/>
                <w:color w:val="auto"/>
              </w:rPr>
              <w:t>5.70 %</w:t>
            </w:r>
          </w:p>
        </w:tc>
        <w:tc>
          <w:tcPr>
            <w:tcW w:w="13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5.43 %</w:t>
            </w:r>
          </w:p>
        </w:tc>
      </w:tr>
      <w:tr>
        <w:trPr>
          <w:trHeight w:val="285"/>
        </w:trPr>
        <w:tc>
          <w:tcPr>
            <w:tcW w:w="7280" w:type="dxa"/>
            <w:vAlign w:val="bottom"/>
          </w:tcPr>
          <w:p>
            <w:pPr>
              <w:ind w:left="60"/>
              <w:spacing w:after="0"/>
              <w:rPr>
                <w:sz w:val="20"/>
                <w:szCs w:val="20"/>
                <w:color w:val="auto"/>
              </w:rPr>
            </w:pPr>
            <w:r>
              <w:rPr>
                <w:rFonts w:ascii="Arial" w:cs="Arial" w:eastAsia="Arial" w:hAnsi="Arial"/>
                <w:sz w:val="19"/>
                <w:szCs w:val="19"/>
                <w:color w:val="auto"/>
              </w:rPr>
              <w:t>Expected return on plan assets</w:t>
            </w:r>
          </w:p>
        </w:tc>
        <w:tc>
          <w:tcPr>
            <w:tcW w:w="1300" w:type="dxa"/>
            <w:vAlign w:val="bottom"/>
            <w:gridSpan w:val="3"/>
          </w:tcPr>
          <w:p>
            <w:pPr>
              <w:jc w:val="right"/>
              <w:spacing w:after="0"/>
              <w:rPr>
                <w:sz w:val="20"/>
                <w:szCs w:val="20"/>
                <w:color w:val="auto"/>
              </w:rPr>
            </w:pPr>
            <w:r>
              <w:rPr>
                <w:rFonts w:ascii="Arial" w:cs="Arial" w:eastAsia="Arial" w:hAnsi="Arial"/>
                <w:sz w:val="19"/>
                <w:szCs w:val="19"/>
                <w:color w:val="auto"/>
              </w:rPr>
              <w:t>3.00 %</w:t>
            </w:r>
          </w:p>
        </w:tc>
        <w:tc>
          <w:tcPr>
            <w:tcW w:w="1340" w:type="dxa"/>
            <w:vAlign w:val="bottom"/>
            <w:gridSpan w:val="2"/>
          </w:tcPr>
          <w:p>
            <w:pPr>
              <w:jc w:val="right"/>
              <w:spacing w:after="0"/>
              <w:rPr>
                <w:sz w:val="20"/>
                <w:szCs w:val="20"/>
                <w:color w:val="auto"/>
              </w:rPr>
            </w:pPr>
            <w:r>
              <w:rPr>
                <w:rFonts w:ascii="Arial" w:cs="Arial" w:eastAsia="Arial" w:hAnsi="Arial"/>
                <w:sz w:val="19"/>
                <w:szCs w:val="19"/>
                <w:color w:val="auto"/>
              </w:rPr>
              <w:t>3.00 %</w:t>
            </w:r>
          </w:p>
        </w:tc>
      </w:tr>
      <w:tr>
        <w:trPr>
          <w:trHeight w:val="297"/>
        </w:trPr>
        <w:tc>
          <w:tcPr>
            <w:tcW w:w="7280" w:type="dxa"/>
            <w:vAlign w:val="bottom"/>
            <w:shd w:val="clear" w:color="auto" w:fill="E6E6E6"/>
          </w:tcPr>
          <w:p>
            <w:pPr>
              <w:ind w:left="60"/>
              <w:spacing w:after="0"/>
              <w:rPr>
                <w:sz w:val="20"/>
                <w:szCs w:val="20"/>
                <w:color w:val="auto"/>
              </w:rPr>
            </w:pPr>
            <w:r>
              <w:rPr>
                <w:rFonts w:ascii="Arial" w:cs="Arial" w:eastAsia="Arial" w:hAnsi="Arial"/>
                <w:sz w:val="19"/>
                <w:szCs w:val="19"/>
                <w:color w:val="auto"/>
              </w:rPr>
              <w:t>Health care cost trend rate assumed for next year</w:t>
            </w:r>
          </w:p>
        </w:tc>
        <w:tc>
          <w:tcPr>
            <w:tcW w:w="1300" w:type="dxa"/>
            <w:vAlign w:val="bottom"/>
            <w:gridSpan w:val="3"/>
            <w:shd w:val="clear" w:color="auto" w:fill="E6E6E6"/>
          </w:tcPr>
          <w:p>
            <w:pPr>
              <w:jc w:val="right"/>
              <w:spacing w:after="0"/>
              <w:rPr>
                <w:sz w:val="20"/>
                <w:szCs w:val="20"/>
                <w:color w:val="auto"/>
              </w:rPr>
            </w:pPr>
            <w:r>
              <w:rPr>
                <w:rFonts w:ascii="Arial" w:cs="Arial" w:eastAsia="Arial" w:hAnsi="Arial"/>
                <w:sz w:val="19"/>
                <w:szCs w:val="19"/>
                <w:color w:val="auto"/>
              </w:rPr>
              <w:t>7.00 %</w:t>
            </w:r>
          </w:p>
        </w:tc>
        <w:tc>
          <w:tcPr>
            <w:tcW w:w="13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6.75 %</w:t>
            </w:r>
          </w:p>
        </w:tc>
      </w:tr>
      <w:tr>
        <w:trPr>
          <w:trHeight w:val="278"/>
        </w:trPr>
        <w:tc>
          <w:tcPr>
            <w:tcW w:w="7280" w:type="dxa"/>
            <w:vAlign w:val="bottom"/>
          </w:tcPr>
          <w:p>
            <w:pPr>
              <w:ind w:left="60"/>
              <w:spacing w:after="0"/>
              <w:rPr>
                <w:sz w:val="20"/>
                <w:szCs w:val="20"/>
                <w:color w:val="auto"/>
              </w:rPr>
            </w:pPr>
            <w:r>
              <w:rPr>
                <w:rFonts w:ascii="Arial" w:cs="Arial" w:eastAsia="Arial" w:hAnsi="Arial"/>
                <w:sz w:val="19"/>
                <w:szCs w:val="19"/>
                <w:color w:val="auto"/>
              </w:rPr>
              <w:t>Rate to which the cost trend rate is assumed to decline (ultimate trend rate in 2035)</w:t>
            </w:r>
          </w:p>
        </w:tc>
        <w:tc>
          <w:tcPr>
            <w:tcW w:w="1300" w:type="dxa"/>
            <w:vAlign w:val="bottom"/>
            <w:gridSpan w:val="3"/>
          </w:tcPr>
          <w:p>
            <w:pPr>
              <w:jc w:val="right"/>
              <w:spacing w:after="0"/>
              <w:rPr>
                <w:sz w:val="20"/>
                <w:szCs w:val="20"/>
                <w:color w:val="auto"/>
              </w:rPr>
            </w:pPr>
            <w:r>
              <w:rPr>
                <w:rFonts w:ascii="Arial" w:cs="Arial" w:eastAsia="Arial" w:hAnsi="Arial"/>
                <w:sz w:val="19"/>
                <w:szCs w:val="19"/>
                <w:color w:val="auto"/>
              </w:rPr>
              <w:t>4.50 %</w:t>
            </w:r>
          </w:p>
        </w:tc>
        <w:tc>
          <w:tcPr>
            <w:tcW w:w="1340" w:type="dxa"/>
            <w:vAlign w:val="bottom"/>
            <w:gridSpan w:val="2"/>
          </w:tcPr>
          <w:p>
            <w:pPr>
              <w:jc w:val="right"/>
              <w:spacing w:after="0"/>
              <w:rPr>
                <w:sz w:val="20"/>
                <w:szCs w:val="20"/>
                <w:color w:val="auto"/>
              </w:rPr>
            </w:pPr>
            <w:r>
              <w:rPr>
                <w:rFonts w:ascii="Arial" w:cs="Arial" w:eastAsia="Arial" w:hAnsi="Arial"/>
                <w:sz w:val="19"/>
                <w:szCs w:val="19"/>
                <w:color w:val="auto"/>
              </w:rPr>
              <w:t>4.50 %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-1297940</wp:posOffset>
            </wp:positionV>
            <wp:extent cx="631888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08">
                      <a:extLst>
                        <a:ext uri="{28A0092B-C50C-407E-A947-70E740481C1C}"/>
                      </a:extLst>
                    </a:blip>
                    <a:srcRect/>
                    <a:stretch>
                      <a:fillRect/>
                    </a:stretch>
                  </pic:blipFill>
                  <pic:spPr bwMode="auto">
                    <a:xfrm>
                      <a:off x="0" y="0"/>
                      <a:ext cx="6318885" cy="2540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-742950</wp:posOffset>
            </wp:positionV>
            <wp:extent cx="464566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09">
                      <a:extLst>
                        <a:ext uri="{28A0092B-C50C-407E-A947-70E740481C1C}"/>
                      </a:extLst>
                    </a:blip>
                    <a:srcRect/>
                    <a:stretch>
                      <a:fillRect/>
                    </a:stretch>
                  </pic:blipFill>
                  <pic:spPr bwMode="auto">
                    <a:xfrm>
                      <a:off x="0" y="0"/>
                      <a:ext cx="4645660" cy="25400"/>
                    </a:xfrm>
                    <a:prstGeom prst="rect">
                      <a:avLst/>
                    </a:prstGeom>
                    <a:noFill/>
                  </pic:spPr>
                </pic:pic>
              </a:graphicData>
            </a:graphic>
          </wp:anchor>
        </w:drawing>
      </w:r>
    </w:p>
    <w:p>
      <w:pPr>
        <w:spacing w:after="0" w:line="204" w:lineRule="exact"/>
        <w:rPr>
          <w:sz w:val="20"/>
          <w:szCs w:val="20"/>
          <w:color w:val="auto"/>
        </w:rPr>
      </w:pPr>
    </w:p>
    <w:p>
      <w:pPr>
        <w:ind w:right="400"/>
        <w:spacing w:after="0" w:line="294" w:lineRule="auto"/>
        <w:rPr>
          <w:sz w:val="20"/>
          <w:szCs w:val="20"/>
          <w:color w:val="auto"/>
        </w:rPr>
      </w:pPr>
      <w:r>
        <w:rPr>
          <w:rFonts w:ascii="Arial" w:cs="Arial" w:eastAsia="Arial" w:hAnsi="Arial"/>
          <w:sz w:val="19"/>
          <w:szCs w:val="19"/>
          <w:color w:val="auto"/>
        </w:rPr>
        <w:t>The Company used the Society of Actuaries' PRI-2012 Private Retirement Plans Mortality Tables projected generationally using the Society of Actuaries' MP-2021 projection scale.</w:t>
      </w:r>
    </w:p>
    <w:p>
      <w:pPr>
        <w:spacing w:after="0" w:line="105" w:lineRule="exact"/>
        <w:rPr>
          <w:sz w:val="20"/>
          <w:szCs w:val="20"/>
          <w:color w:val="auto"/>
        </w:rPr>
      </w:pPr>
    </w:p>
    <w:p>
      <w:pPr>
        <w:ind w:right="140"/>
        <w:spacing w:after="0" w:line="323" w:lineRule="auto"/>
        <w:rPr>
          <w:sz w:val="20"/>
          <w:szCs w:val="20"/>
          <w:color w:val="auto"/>
        </w:rPr>
      </w:pPr>
      <w:r>
        <w:rPr>
          <w:rFonts w:ascii="Arial" w:cs="Arial" w:eastAsia="Arial" w:hAnsi="Arial"/>
          <w:sz w:val="18"/>
          <w:szCs w:val="18"/>
          <w:color w:val="auto"/>
        </w:rPr>
        <w:t>The Company selected the 2025 discount rate for substantially all of its plans by using a hypothetical portfolio of high-quality bonds at December 31, 2025 that would provide the necessary cash flows to match projected benefit payments.</w:t>
      </w:r>
    </w:p>
    <w:p>
      <w:pPr>
        <w:sectPr>
          <w:pgSz w:w="11880" w:h="15480" w:orient="portrait"/>
          <w:cols w:equalWidth="0" w:num="1">
            <w:col w:w="9920"/>
          </w:cols>
          <w:pgMar w:left="960" w:top="586" w:right="1000" w:bottom="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9920"/>
          </w:cols>
          <w:pgMar w:left="960" w:top="586" w:right="1000" w:bottom="33" w:gutter="0" w:footer="0" w:header="0"/>
          <w:type w:val="continuous"/>
        </w:sectPr>
      </w:pPr>
    </w:p>
    <w:bookmarkStart w:id="83" w:name="page84"/>
    <w:bookmarkEnd w:id="83"/>
    <w:p>
      <w:pPr>
        <w:spacing w:after="0" w:line="278" w:lineRule="auto"/>
        <w:rPr>
          <w:sz w:val="20"/>
          <w:szCs w:val="20"/>
          <w:color w:val="auto"/>
        </w:rPr>
      </w:pPr>
      <w:r>
        <w:rPr>
          <w:rFonts w:ascii="Arial" w:cs="Arial" w:eastAsia="Arial" w:hAnsi="Arial"/>
          <w:sz w:val="18"/>
          <w:szCs w:val="18"/>
          <w:color w:val="auto"/>
        </w:rPr>
        <w:t>We develop our expected long-term rate of return assumption for our defined benefit plans based on historical experience and by evaluating input from the trustee managing the plans' assets. Our expected long-term rate of return on plan assets for these plans is based on a target allocation of assets, which is based on our goal of earning the highest rate of return while maintaining risk at acceptable levels. The plans strive to have assets sufficiently diversified so that adverse or unexpected results from one security class will not have an unduly detrimental impact on the entire portfolio. Plan fiduciaries regularly review our actual asset allocation and the pension plans' investments are periodically rebalanced to our targeted allocation when considered appropriate. United's plan assets are allocated within the following guidelines: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60" w:type="dxa"/>
            <w:vAlign w:val="bottom"/>
          </w:tcPr>
          <w:p>
            <w:pPr>
              <w:spacing w:after="0"/>
              <w:rPr>
                <w:sz w:val="18"/>
                <w:szCs w:val="18"/>
                <w:color w:val="auto"/>
              </w:rPr>
            </w:pPr>
          </w:p>
        </w:tc>
        <w:tc>
          <w:tcPr>
            <w:tcW w:w="1780" w:type="dxa"/>
            <w:vAlign w:val="bottom"/>
            <w:gridSpan w:val="3"/>
            <w:vMerge w:val="restart"/>
          </w:tcPr>
          <w:p>
            <w:pPr>
              <w:jc w:val="right"/>
              <w:ind w:right="103"/>
              <w:spacing w:after="0"/>
              <w:rPr>
                <w:sz w:val="20"/>
                <w:szCs w:val="20"/>
                <w:color w:val="auto"/>
              </w:rPr>
            </w:pPr>
            <w:r>
              <w:rPr>
                <w:rFonts w:ascii="Arial" w:cs="Arial" w:eastAsia="Arial" w:hAnsi="Arial"/>
                <w:sz w:val="19"/>
                <w:szCs w:val="19"/>
                <w:b w:val="1"/>
                <w:bCs w:val="1"/>
                <w:color w:val="auto"/>
              </w:rPr>
              <w:t>Percent of Total</w:t>
            </w:r>
          </w:p>
        </w:tc>
        <w:tc>
          <w:tcPr>
            <w:tcW w:w="8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Arial" w:cs="Arial" w:eastAsia="Arial" w:hAnsi="Arial"/>
                <w:sz w:val="19"/>
                <w:szCs w:val="19"/>
                <w:b w:val="1"/>
                <w:bCs w:val="1"/>
                <w:color w:val="auto"/>
                <w:w w:val="93"/>
              </w:rPr>
              <w:t>Expected Long-Term</w:t>
            </w:r>
          </w:p>
        </w:tc>
        <w:tc>
          <w:tcPr>
            <w:tcW w:w="0" w:type="dxa"/>
            <w:vAlign w:val="bottom"/>
          </w:tcPr>
          <w:p>
            <w:pPr>
              <w:spacing w:after="0"/>
              <w:rPr>
                <w:sz w:val="1"/>
                <w:szCs w:val="1"/>
                <w:color w:val="auto"/>
              </w:rPr>
            </w:pPr>
          </w:p>
        </w:tc>
      </w:tr>
      <w:tr>
        <w:trPr>
          <w:trHeight w:val="255"/>
        </w:trPr>
        <w:tc>
          <w:tcPr>
            <w:tcW w:w="5060" w:type="dxa"/>
            <w:vAlign w:val="bottom"/>
            <w:tcBorders>
              <w:bottom w:val="single" w:sz="8" w:color="E6E6E6"/>
            </w:tcBorders>
          </w:tcPr>
          <w:p>
            <w:pPr>
              <w:spacing w:after="0"/>
              <w:rPr>
                <w:sz w:val="22"/>
                <w:szCs w:val="22"/>
                <w:color w:val="auto"/>
              </w:rPr>
            </w:pPr>
          </w:p>
        </w:tc>
        <w:tc>
          <w:tcPr>
            <w:tcW w:w="1780" w:type="dxa"/>
            <w:vAlign w:val="bottom"/>
            <w:tcBorders>
              <w:bottom w:val="single" w:sz="8" w:color="auto"/>
            </w:tcBorders>
            <w:gridSpan w:val="3"/>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94"/>
              </w:rPr>
              <w:t>Rate of Return</w:t>
            </w:r>
          </w:p>
        </w:tc>
        <w:tc>
          <w:tcPr>
            <w:tcW w:w="0" w:type="dxa"/>
            <w:vAlign w:val="bottom"/>
          </w:tcPr>
          <w:p>
            <w:pPr>
              <w:spacing w:after="0"/>
              <w:rPr>
                <w:sz w:val="1"/>
                <w:szCs w:val="1"/>
                <w:color w:val="auto"/>
              </w:rPr>
            </w:pPr>
          </w:p>
        </w:tc>
      </w:tr>
      <w:tr>
        <w:trPr>
          <w:trHeight w:val="266"/>
        </w:trPr>
        <w:tc>
          <w:tcPr>
            <w:tcW w:w="5060" w:type="dxa"/>
            <w:vAlign w:val="bottom"/>
            <w:shd w:val="clear" w:color="auto" w:fill="E6E6E6"/>
          </w:tcPr>
          <w:p>
            <w:pPr>
              <w:ind w:left="60"/>
              <w:spacing w:after="0"/>
              <w:rPr>
                <w:sz w:val="20"/>
                <w:szCs w:val="20"/>
                <w:color w:val="auto"/>
              </w:rPr>
            </w:pPr>
            <w:r>
              <w:rPr>
                <w:rFonts w:ascii="Arial" w:cs="Arial" w:eastAsia="Arial" w:hAnsi="Arial"/>
                <w:sz w:val="19"/>
                <w:szCs w:val="19"/>
                <w:color w:val="auto"/>
              </w:rPr>
              <w:t>Equity securities</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27</w:t>
            </w:r>
          </w:p>
        </w:tc>
        <w:tc>
          <w:tcPr>
            <w:tcW w:w="38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1"/>
              </w:rPr>
              <w:t>- 55</w:t>
            </w:r>
          </w:p>
        </w:tc>
        <w:tc>
          <w:tcPr>
            <w:tcW w:w="400" w:type="dxa"/>
            <w:vAlign w:val="bottom"/>
            <w:shd w:val="clear" w:color="auto" w:fill="E6E6E6"/>
          </w:tcPr>
          <w:p>
            <w:pPr>
              <w:jc w:val="right"/>
              <w:ind w:right="103"/>
              <w:spacing w:after="0"/>
              <w:rPr>
                <w:sz w:val="20"/>
                <w:szCs w:val="20"/>
                <w:color w:val="auto"/>
              </w:rPr>
            </w:pPr>
            <w:r>
              <w:rPr>
                <w:rFonts w:ascii="Arial" w:cs="Arial" w:eastAsia="Arial" w:hAnsi="Arial"/>
                <w:sz w:val="19"/>
                <w:szCs w:val="19"/>
                <w:color w:val="auto"/>
              </w:rPr>
              <w:t>%</w:t>
            </w:r>
          </w:p>
        </w:tc>
        <w:tc>
          <w:tcPr>
            <w:tcW w:w="15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9</w:t>
            </w:r>
          </w:p>
        </w:tc>
        <w:tc>
          <w:tcPr>
            <w:tcW w:w="440" w:type="dxa"/>
            <w:vAlign w:val="bottom"/>
            <w:shd w:val="clear" w:color="auto" w:fill="E6E6E6"/>
          </w:tcPr>
          <w:p>
            <w:pPr>
              <w:jc w:val="right"/>
              <w:ind w:right="12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5060" w:type="dxa"/>
            <w:vAlign w:val="bottom"/>
          </w:tcPr>
          <w:p>
            <w:pPr>
              <w:ind w:left="60"/>
              <w:spacing w:after="0"/>
              <w:rPr>
                <w:sz w:val="20"/>
                <w:szCs w:val="20"/>
                <w:color w:val="auto"/>
              </w:rPr>
            </w:pPr>
            <w:r>
              <w:rPr>
                <w:rFonts w:ascii="Arial" w:cs="Arial" w:eastAsia="Arial" w:hAnsi="Arial"/>
                <w:sz w:val="19"/>
                <w:szCs w:val="19"/>
                <w:color w:val="auto"/>
              </w:rPr>
              <w:t>Fixed-income securities</w:t>
            </w:r>
          </w:p>
        </w:tc>
        <w:tc>
          <w:tcPr>
            <w:tcW w:w="1000" w:type="dxa"/>
            <w:vAlign w:val="bottom"/>
          </w:tcPr>
          <w:p>
            <w:pPr>
              <w:jc w:val="right"/>
              <w:spacing w:after="0"/>
              <w:rPr>
                <w:sz w:val="20"/>
                <w:szCs w:val="20"/>
                <w:color w:val="auto"/>
              </w:rPr>
            </w:pPr>
            <w:r>
              <w:rPr>
                <w:rFonts w:ascii="Arial" w:cs="Arial" w:eastAsia="Arial" w:hAnsi="Arial"/>
                <w:sz w:val="19"/>
                <w:szCs w:val="19"/>
                <w:color w:val="auto"/>
              </w:rPr>
              <w:t>33</w:t>
            </w:r>
          </w:p>
        </w:tc>
        <w:tc>
          <w:tcPr>
            <w:tcW w:w="380" w:type="dxa"/>
            <w:vAlign w:val="bottom"/>
          </w:tcPr>
          <w:p>
            <w:pPr>
              <w:jc w:val="right"/>
              <w:spacing w:after="0"/>
              <w:rPr>
                <w:sz w:val="20"/>
                <w:szCs w:val="20"/>
                <w:color w:val="auto"/>
              </w:rPr>
            </w:pPr>
            <w:r>
              <w:rPr>
                <w:rFonts w:ascii="Arial" w:cs="Arial" w:eastAsia="Arial" w:hAnsi="Arial"/>
                <w:sz w:val="19"/>
                <w:szCs w:val="19"/>
                <w:color w:val="auto"/>
                <w:w w:val="91"/>
              </w:rPr>
              <w:t>- 61</w:t>
            </w:r>
          </w:p>
        </w:tc>
        <w:tc>
          <w:tcPr>
            <w:tcW w:w="40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Arial" w:cs="Arial" w:eastAsia="Arial" w:hAnsi="Arial"/>
                <w:sz w:val="19"/>
                <w:szCs w:val="19"/>
                <w:color w:val="auto"/>
              </w:rPr>
              <w:t>8</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060" w:type="dxa"/>
            <w:vAlign w:val="bottom"/>
            <w:shd w:val="clear" w:color="auto" w:fill="E6E6E6"/>
          </w:tcPr>
          <w:p>
            <w:pPr>
              <w:ind w:left="60"/>
              <w:spacing w:after="0"/>
              <w:rPr>
                <w:sz w:val="20"/>
                <w:szCs w:val="20"/>
                <w:color w:val="auto"/>
              </w:rPr>
            </w:pPr>
            <w:r>
              <w:rPr>
                <w:rFonts w:ascii="Arial" w:cs="Arial" w:eastAsia="Arial" w:hAnsi="Arial"/>
                <w:sz w:val="19"/>
                <w:szCs w:val="19"/>
                <w:color w:val="auto"/>
              </w:rPr>
              <w:t>Alternatives</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w:t>
            </w:r>
          </w:p>
        </w:tc>
        <w:tc>
          <w:tcPr>
            <w:tcW w:w="38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1"/>
              </w:rPr>
              <w:t>- 25</w:t>
            </w:r>
          </w:p>
        </w:tc>
        <w:tc>
          <w:tcPr>
            <w:tcW w:w="400" w:type="dxa"/>
            <w:vAlign w:val="bottom"/>
            <w:shd w:val="clear" w:color="auto" w:fill="E6E6E6"/>
          </w:tcPr>
          <w:p>
            <w:pPr>
              <w:spacing w:after="0"/>
              <w:rPr>
                <w:sz w:val="24"/>
                <w:szCs w:val="24"/>
                <w:color w:val="auto"/>
              </w:rPr>
            </w:pPr>
          </w:p>
        </w:tc>
        <w:tc>
          <w:tcPr>
            <w:tcW w:w="15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7</w:t>
            </w:r>
          </w:p>
        </w:tc>
        <w:tc>
          <w:tcPr>
            <w:tcW w:w="4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3195955</wp:posOffset>
            </wp:positionH>
            <wp:positionV relativeFrom="paragraph">
              <wp:posOffset>-539115</wp:posOffset>
            </wp:positionV>
            <wp:extent cx="242824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10">
                      <a:extLst>
                        <a:ext uri="{28A0092B-C50C-407E-A947-70E740481C1C}"/>
                      </a:extLst>
                    </a:blip>
                    <a:srcRect/>
                    <a:stretch>
                      <a:fillRect/>
                    </a:stretch>
                  </pic:blipFill>
                  <pic:spPr bwMode="auto">
                    <a:xfrm>
                      <a:off x="0" y="0"/>
                      <a:ext cx="2428240" cy="2540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Fair value information. </w:t>
      </w:r>
      <w:r>
        <w:rPr>
          <w:rFonts w:ascii="Arial" w:cs="Arial" w:eastAsia="Arial" w:hAnsi="Arial"/>
          <w:sz w:val="19"/>
          <w:szCs w:val="19"/>
          <w:color w:val="auto"/>
        </w:rPr>
        <w:t>Assets and liabilities measured at fair value are based on the following valuation techniques:</w:t>
      </w:r>
    </w:p>
    <w:p>
      <w:pPr>
        <w:spacing w:after="0" w:line="189" w:lineRule="exact"/>
        <w:rPr>
          <w:sz w:val="20"/>
          <w:szCs w:val="20"/>
          <w:color w:val="auto"/>
        </w:rPr>
      </w:pPr>
    </w:p>
    <w:p>
      <w:pPr>
        <w:ind w:left="700" w:right="520"/>
        <w:spacing w:after="0" w:line="297" w:lineRule="auto"/>
        <w:rPr>
          <w:sz w:val="20"/>
          <w:szCs w:val="20"/>
          <w:color w:val="auto"/>
        </w:rPr>
      </w:pPr>
      <w:r>
        <w:rPr>
          <w:rFonts w:ascii="Arial" w:cs="Arial" w:eastAsia="Arial" w:hAnsi="Arial"/>
          <w:sz w:val="19"/>
          <w:szCs w:val="19"/>
          <w:b w:val="1"/>
          <w:bCs w:val="1"/>
          <w:i w:val="1"/>
          <w:iCs w:val="1"/>
          <w:color w:val="auto"/>
        </w:rPr>
        <w:t xml:space="preserve">Market approach. </w:t>
      </w:r>
      <w:r>
        <w:rPr>
          <w:rFonts w:ascii="Arial" w:cs="Arial" w:eastAsia="Arial" w:hAnsi="Arial"/>
          <w:sz w:val="19"/>
          <w:szCs w:val="19"/>
          <w:color w:val="auto"/>
        </w:rPr>
        <w:t>Prices and other relevant information generated by market transactions involving identical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comparable assets and liabilities.</w:t>
      </w:r>
    </w:p>
    <w:p>
      <w:pPr>
        <w:spacing w:after="0" w:line="100" w:lineRule="exact"/>
        <w:rPr>
          <w:sz w:val="20"/>
          <w:szCs w:val="20"/>
          <w:color w:val="auto"/>
        </w:rPr>
      </w:pPr>
    </w:p>
    <w:p>
      <w:pPr>
        <w:ind w:left="700" w:right="540"/>
        <w:spacing w:after="0" w:line="297" w:lineRule="auto"/>
        <w:rPr>
          <w:sz w:val="20"/>
          <w:szCs w:val="20"/>
          <w:color w:val="auto"/>
        </w:rPr>
      </w:pPr>
      <w:r>
        <w:rPr>
          <w:rFonts w:ascii="Arial" w:cs="Arial" w:eastAsia="Arial" w:hAnsi="Arial"/>
          <w:sz w:val="19"/>
          <w:szCs w:val="19"/>
          <w:b w:val="1"/>
          <w:bCs w:val="1"/>
          <w:i w:val="1"/>
          <w:iCs w:val="1"/>
          <w:color w:val="auto"/>
        </w:rPr>
        <w:t xml:space="preserve">Income approach. </w:t>
      </w:r>
      <w:r>
        <w:rPr>
          <w:rFonts w:ascii="Arial" w:cs="Arial" w:eastAsia="Arial" w:hAnsi="Arial"/>
          <w:sz w:val="19"/>
          <w:szCs w:val="19"/>
          <w:color w:val="auto"/>
        </w:rPr>
        <w:t>Techniques to convert future amounts to a single current value based on market expectations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present value techniques, option-pricing and excess earnings models).</w:t>
      </w:r>
    </w:p>
    <w:p>
      <w:pPr>
        <w:spacing w:after="0" w:line="258" w:lineRule="exact"/>
        <w:rPr>
          <w:sz w:val="20"/>
          <w:szCs w:val="20"/>
          <w:color w:val="auto"/>
        </w:rPr>
      </w:pPr>
    </w:p>
    <w:p>
      <w:pPr>
        <w:ind w:right="520"/>
        <w:spacing w:after="0" w:line="294" w:lineRule="auto"/>
        <w:rPr>
          <w:sz w:val="20"/>
          <w:szCs w:val="20"/>
          <w:color w:val="auto"/>
        </w:rPr>
      </w:pPr>
      <w:r>
        <w:rPr>
          <w:rFonts w:ascii="Arial" w:cs="Arial" w:eastAsia="Arial" w:hAnsi="Arial"/>
          <w:sz w:val="19"/>
          <w:szCs w:val="19"/>
          <w:color w:val="auto"/>
        </w:rPr>
        <w:t>The following tables present information about United's pension and other postretirement plan assets at December 31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2025</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Borders>
              <w:right w:val="single" w:sz="8" w:color="auto"/>
            </w:tcBorders>
          </w:tcPr>
          <w:p>
            <w:pPr>
              <w:jc w:val="right"/>
              <w:ind w:right="213"/>
              <w:spacing w:after="0"/>
              <w:rPr>
                <w:sz w:val="20"/>
                <w:szCs w:val="20"/>
                <w:color w:val="auto"/>
              </w:rPr>
            </w:pPr>
            <w:r>
              <w:rPr>
                <w:rFonts w:ascii="Arial" w:cs="Arial" w:eastAsia="Arial" w:hAnsi="Arial"/>
                <w:sz w:val="17"/>
                <w:szCs w:val="17"/>
                <w:b w:val="1"/>
                <w:bCs w:val="1"/>
                <w:color w:val="auto"/>
                <w:w w:val="86"/>
              </w:rPr>
              <w:t>Assets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113"/>
              <w:spacing w:after="0"/>
              <w:rPr>
                <w:sz w:val="20"/>
                <w:szCs w:val="20"/>
                <w:color w:val="auto"/>
              </w:rPr>
            </w:pPr>
            <w:r>
              <w:rPr>
                <w:rFonts w:ascii="Arial" w:cs="Arial" w:eastAsia="Arial" w:hAnsi="Arial"/>
                <w:sz w:val="17"/>
                <w:szCs w:val="17"/>
                <w:b w:val="1"/>
                <w:bCs w:val="1"/>
                <w:color w:val="auto"/>
                <w:w w:val="86"/>
              </w:rPr>
              <w:t>Assets</w:t>
            </w:r>
          </w:p>
        </w:tc>
        <w:tc>
          <w:tcPr>
            <w:tcW w:w="0" w:type="dxa"/>
            <w:vAlign w:val="bottom"/>
          </w:tcPr>
          <w:p>
            <w:pPr>
              <w:spacing w:after="0"/>
              <w:rPr>
                <w:sz w:val="1"/>
                <w:szCs w:val="1"/>
                <w:color w:val="auto"/>
              </w:rPr>
            </w:pPr>
          </w:p>
        </w:tc>
      </w:tr>
      <w:tr>
        <w:trPr>
          <w:trHeight w:val="175"/>
        </w:trPr>
        <w:tc>
          <w:tcPr>
            <w:tcW w:w="18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Pension Plan Assets:</w:t>
            </w:r>
          </w:p>
        </w:tc>
        <w:tc>
          <w:tcPr>
            <w:tcW w:w="600" w:type="dxa"/>
            <w:vAlign w:val="bottom"/>
            <w:gridSpan w:val="2"/>
            <w:vMerge w:val="restart"/>
          </w:tcPr>
          <w:p>
            <w:pPr>
              <w:jc w:val="right"/>
              <w:ind w:right="13"/>
              <w:spacing w:after="0"/>
              <w:rPr>
                <w:sz w:val="20"/>
                <w:szCs w:val="20"/>
                <w:color w:val="auto"/>
              </w:rPr>
            </w:pPr>
            <w:r>
              <w:rPr>
                <w:rFonts w:ascii="Arial" w:cs="Arial" w:eastAsia="Arial" w:hAnsi="Arial"/>
                <w:sz w:val="17"/>
                <w:szCs w:val="17"/>
                <w:b w:val="1"/>
                <w:bCs w:val="1"/>
                <w:color w:val="auto"/>
              </w:rPr>
              <w:t>Total</w:t>
            </w:r>
          </w:p>
        </w:tc>
        <w:tc>
          <w:tcPr>
            <w:tcW w:w="60" w:type="dxa"/>
            <w:vAlign w:val="bottom"/>
          </w:tcPr>
          <w:p>
            <w:pPr>
              <w:spacing w:after="0"/>
              <w:rPr>
                <w:sz w:val="15"/>
                <w:szCs w:val="15"/>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Level 1</w:t>
            </w:r>
          </w:p>
        </w:tc>
        <w:tc>
          <w:tcPr>
            <w:tcW w:w="80" w:type="dxa"/>
            <w:vAlign w:val="bottom"/>
          </w:tcPr>
          <w:p>
            <w:pPr>
              <w:spacing w:after="0"/>
              <w:rPr>
                <w:sz w:val="15"/>
                <w:szCs w:val="15"/>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Level 2</w:t>
            </w:r>
          </w:p>
        </w:tc>
        <w:tc>
          <w:tcPr>
            <w:tcW w:w="80" w:type="dxa"/>
            <w:vAlign w:val="bottom"/>
          </w:tcPr>
          <w:p>
            <w:pPr>
              <w:spacing w:after="0"/>
              <w:rPr>
                <w:sz w:val="15"/>
                <w:szCs w:val="15"/>
                <w:color w:val="auto"/>
              </w:rPr>
            </w:pPr>
          </w:p>
        </w:tc>
        <w:tc>
          <w:tcPr>
            <w:tcW w:w="720" w:type="dxa"/>
            <w:vAlign w:val="bottom"/>
            <w:gridSpan w:val="2"/>
            <w:vMerge w:val="restart"/>
          </w:tcPr>
          <w:p>
            <w:pPr>
              <w:jc w:val="right"/>
              <w:ind w:right="13"/>
              <w:spacing w:after="0"/>
              <w:rPr>
                <w:sz w:val="20"/>
                <w:szCs w:val="20"/>
                <w:color w:val="auto"/>
              </w:rPr>
            </w:pPr>
            <w:r>
              <w:rPr>
                <w:rFonts w:ascii="Arial" w:cs="Arial" w:eastAsia="Arial" w:hAnsi="Arial"/>
                <w:sz w:val="17"/>
                <w:szCs w:val="17"/>
                <w:b w:val="1"/>
                <w:bCs w:val="1"/>
                <w:color w:val="auto"/>
              </w:rPr>
              <w:t>Level 3</w:t>
            </w:r>
          </w:p>
        </w:tc>
        <w:tc>
          <w:tcPr>
            <w:tcW w:w="60" w:type="dxa"/>
            <w:vAlign w:val="bottom"/>
          </w:tcPr>
          <w:p>
            <w:pPr>
              <w:spacing w:after="0"/>
              <w:rPr>
                <w:sz w:val="15"/>
                <w:szCs w:val="15"/>
                <w:color w:val="auto"/>
              </w:rPr>
            </w:pPr>
          </w:p>
        </w:tc>
        <w:tc>
          <w:tcPr>
            <w:tcW w:w="980" w:type="dxa"/>
            <w:vAlign w:val="bottom"/>
            <w:tcBorders>
              <w:right w:val="single" w:sz="8" w:color="auto"/>
            </w:tcBorders>
            <w:gridSpan w:val="2"/>
          </w:tcPr>
          <w:p>
            <w:pPr>
              <w:ind w:left="80"/>
              <w:spacing w:after="0" w:line="175" w:lineRule="exact"/>
              <w:rPr>
                <w:sz w:val="20"/>
                <w:szCs w:val="20"/>
                <w:color w:val="auto"/>
              </w:rPr>
            </w:pPr>
            <w:r>
              <w:rPr>
                <w:rFonts w:ascii="Arial" w:cs="Arial" w:eastAsia="Arial" w:hAnsi="Arial"/>
                <w:sz w:val="17"/>
                <w:szCs w:val="17"/>
                <w:b w:val="1"/>
                <w:bCs w:val="1"/>
                <w:color w:val="auto"/>
              </w:rPr>
              <w:t>Measured</w:t>
            </w:r>
          </w:p>
        </w:tc>
        <w:tc>
          <w:tcPr>
            <w:tcW w:w="60" w:type="dxa"/>
            <w:vAlign w:val="bottom"/>
          </w:tcPr>
          <w:p>
            <w:pPr>
              <w:spacing w:after="0"/>
              <w:rPr>
                <w:sz w:val="15"/>
                <w:szCs w:val="15"/>
                <w:color w:val="auto"/>
              </w:rPr>
            </w:pPr>
          </w:p>
        </w:tc>
        <w:tc>
          <w:tcPr>
            <w:tcW w:w="600" w:type="dxa"/>
            <w:vAlign w:val="bottom"/>
            <w:gridSpan w:val="2"/>
            <w:vMerge w:val="restart"/>
          </w:tcPr>
          <w:p>
            <w:pPr>
              <w:jc w:val="right"/>
              <w:ind w:right="13"/>
              <w:spacing w:after="0"/>
              <w:rPr>
                <w:sz w:val="20"/>
                <w:szCs w:val="20"/>
                <w:color w:val="auto"/>
              </w:rPr>
            </w:pPr>
            <w:r>
              <w:rPr>
                <w:rFonts w:ascii="Arial" w:cs="Arial" w:eastAsia="Arial" w:hAnsi="Arial"/>
                <w:sz w:val="17"/>
                <w:szCs w:val="17"/>
                <w:b w:val="1"/>
                <w:bCs w:val="1"/>
                <w:color w:val="auto"/>
              </w:rPr>
              <w:t>Total</w:t>
            </w:r>
          </w:p>
        </w:tc>
        <w:tc>
          <w:tcPr>
            <w:tcW w:w="60" w:type="dxa"/>
            <w:vAlign w:val="bottom"/>
          </w:tcPr>
          <w:p>
            <w:pPr>
              <w:spacing w:after="0"/>
              <w:rPr>
                <w:sz w:val="15"/>
                <w:szCs w:val="15"/>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Level 1</w:t>
            </w:r>
          </w:p>
        </w:tc>
        <w:tc>
          <w:tcPr>
            <w:tcW w:w="80" w:type="dxa"/>
            <w:vAlign w:val="bottom"/>
          </w:tcPr>
          <w:p>
            <w:pPr>
              <w:spacing w:after="0"/>
              <w:rPr>
                <w:sz w:val="15"/>
                <w:szCs w:val="15"/>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Level 2</w:t>
            </w:r>
          </w:p>
        </w:tc>
        <w:tc>
          <w:tcPr>
            <w:tcW w:w="80" w:type="dxa"/>
            <w:vAlign w:val="bottom"/>
          </w:tcPr>
          <w:p>
            <w:pPr>
              <w:spacing w:after="0"/>
              <w:rPr>
                <w:sz w:val="15"/>
                <w:szCs w:val="15"/>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Level 3</w:t>
            </w:r>
          </w:p>
        </w:tc>
        <w:tc>
          <w:tcPr>
            <w:tcW w:w="80" w:type="dxa"/>
            <w:vAlign w:val="bottom"/>
          </w:tcPr>
          <w:p>
            <w:pPr>
              <w:spacing w:after="0"/>
              <w:rPr>
                <w:sz w:val="15"/>
                <w:szCs w:val="15"/>
                <w:color w:val="auto"/>
              </w:rPr>
            </w:pPr>
          </w:p>
        </w:tc>
        <w:tc>
          <w:tcPr>
            <w:tcW w:w="880" w:type="dxa"/>
            <w:vAlign w:val="bottom"/>
            <w:gridSpan w:val="2"/>
          </w:tcPr>
          <w:p>
            <w:pPr>
              <w:ind w:left="60"/>
              <w:spacing w:after="0" w:line="175" w:lineRule="exact"/>
              <w:rPr>
                <w:sz w:val="20"/>
                <w:szCs w:val="20"/>
                <w:color w:val="auto"/>
              </w:rPr>
            </w:pPr>
            <w:r>
              <w:rPr>
                <w:rFonts w:ascii="Arial" w:cs="Arial" w:eastAsia="Arial" w:hAnsi="Arial"/>
                <w:sz w:val="17"/>
                <w:szCs w:val="17"/>
                <w:b w:val="1"/>
                <w:bCs w:val="1"/>
                <w:color w:val="auto"/>
              </w:rPr>
              <w:t>Measured</w:t>
            </w:r>
          </w:p>
        </w:tc>
        <w:tc>
          <w:tcPr>
            <w:tcW w:w="0" w:type="dxa"/>
            <w:vAlign w:val="bottom"/>
          </w:tcPr>
          <w:p>
            <w:pPr>
              <w:spacing w:after="0"/>
              <w:rPr>
                <w:sz w:val="1"/>
                <w:szCs w:val="1"/>
                <w:color w:val="auto"/>
              </w:rPr>
            </w:pPr>
          </w:p>
        </w:tc>
      </w:tr>
      <w:tr>
        <w:trPr>
          <w:trHeight w:val="231"/>
        </w:trPr>
        <w:tc>
          <w:tcPr>
            <w:tcW w:w="1880" w:type="dxa"/>
            <w:vAlign w:val="bottom"/>
            <w:tcBorders>
              <w:bottom w:val="single" w:sz="8" w:color="E6E6E6"/>
            </w:tcBorders>
            <w:gridSpan w:val="2"/>
            <w:vMerge w:val="continue"/>
          </w:tcPr>
          <w:p>
            <w:pPr>
              <w:spacing w:after="0"/>
              <w:rPr>
                <w:sz w:val="20"/>
                <w:szCs w:val="20"/>
                <w:color w:val="auto"/>
              </w:rPr>
            </w:pPr>
          </w:p>
        </w:tc>
        <w:tc>
          <w:tcPr>
            <w:tcW w:w="600" w:type="dxa"/>
            <w:vAlign w:val="bottom"/>
            <w:tcBorders>
              <w:bottom w:val="single" w:sz="8" w:color="auto"/>
            </w:tcBorders>
            <w:gridSpan w:val="2"/>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72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70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720" w:type="dxa"/>
            <w:vAlign w:val="bottom"/>
            <w:tcBorders>
              <w:bottom w:val="single" w:sz="8" w:color="auto"/>
            </w:tcBorders>
            <w:gridSpan w:val="2"/>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9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at NAV(a)</w:t>
            </w:r>
          </w:p>
        </w:tc>
        <w:tc>
          <w:tcPr>
            <w:tcW w:w="60" w:type="dxa"/>
            <w:vAlign w:val="bottom"/>
            <w:tcBorders>
              <w:bottom w:val="single" w:sz="8" w:color="E6E6E6"/>
            </w:tcBorders>
          </w:tcPr>
          <w:p>
            <w:pPr>
              <w:spacing w:after="0"/>
              <w:rPr>
                <w:sz w:val="20"/>
                <w:szCs w:val="20"/>
                <w:color w:val="auto"/>
              </w:rPr>
            </w:pPr>
          </w:p>
        </w:tc>
        <w:tc>
          <w:tcPr>
            <w:tcW w:w="600" w:type="dxa"/>
            <w:vAlign w:val="bottom"/>
            <w:tcBorders>
              <w:bottom w:val="single" w:sz="8" w:color="auto"/>
            </w:tcBorders>
            <w:gridSpan w:val="2"/>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72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70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68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at NAV(a)</w:t>
            </w:r>
          </w:p>
        </w:tc>
        <w:tc>
          <w:tcPr>
            <w:tcW w:w="0" w:type="dxa"/>
            <w:vAlign w:val="bottom"/>
          </w:tcPr>
          <w:p>
            <w:pPr>
              <w:spacing w:after="0"/>
              <w:rPr>
                <w:sz w:val="1"/>
                <w:szCs w:val="1"/>
                <w:color w:val="auto"/>
              </w:rPr>
            </w:pPr>
          </w:p>
        </w:tc>
      </w:tr>
      <w:tr>
        <w:trPr>
          <w:trHeight w:val="266"/>
        </w:trPr>
        <w:tc>
          <w:tcPr>
            <w:tcW w:w="1880" w:type="dxa"/>
            <w:vAlign w:val="bottom"/>
            <w:gridSpan w:val="2"/>
            <w:shd w:val="clear" w:color="auto" w:fill="E6E6E6"/>
          </w:tcPr>
          <w:p>
            <w:pPr>
              <w:ind w:left="60"/>
              <w:spacing w:after="0"/>
              <w:rPr>
                <w:sz w:val="20"/>
                <w:szCs w:val="20"/>
                <w:color w:val="auto"/>
              </w:rPr>
            </w:pPr>
            <w:r>
              <w:rPr>
                <w:rFonts w:ascii="Arial" w:cs="Arial" w:eastAsia="Arial" w:hAnsi="Arial"/>
                <w:sz w:val="17"/>
                <w:szCs w:val="17"/>
                <w:color w:val="auto"/>
              </w:rPr>
              <w:t>Equity securities</w:t>
            </w:r>
          </w:p>
        </w:tc>
        <w:tc>
          <w:tcPr>
            <w:tcW w:w="1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7"/>
                <w:szCs w:val="17"/>
                <w:color w:val="auto"/>
                <w:w w:val="89"/>
              </w:rPr>
              <w:t>1,421</w:t>
            </w:r>
          </w:p>
        </w:tc>
        <w:tc>
          <w:tcPr>
            <w:tcW w:w="320" w:type="dxa"/>
            <w:vAlign w:val="bottom"/>
            <w:gridSpan w:val="2"/>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108</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w:t>
            </w:r>
          </w:p>
        </w:tc>
        <w:tc>
          <w:tcPr>
            <w:tcW w:w="340" w:type="dxa"/>
            <w:vAlign w:val="bottom"/>
            <w:gridSpan w:val="2"/>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184</w:t>
            </w:r>
          </w:p>
        </w:tc>
        <w:tc>
          <w:tcPr>
            <w:tcW w:w="240" w:type="dxa"/>
            <w:vAlign w:val="bottom"/>
            <w:gridSpan w:val="2"/>
            <w:shd w:val="clear" w:color="auto" w:fill="E6E6E6"/>
          </w:tcPr>
          <w:p>
            <w:pPr>
              <w:ind w:left="12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auto"/>
            </w:tcBorders>
            <w:shd w:val="clear" w:color="auto" w:fill="E6E6E6"/>
          </w:tcPr>
          <w:p>
            <w:pPr>
              <w:jc w:val="right"/>
              <w:ind w:right="73"/>
              <w:spacing w:after="0"/>
              <w:rPr>
                <w:sz w:val="20"/>
                <w:szCs w:val="20"/>
                <w:color w:val="auto"/>
              </w:rPr>
            </w:pPr>
            <w:r>
              <w:rPr>
                <w:rFonts w:ascii="Arial" w:cs="Arial" w:eastAsia="Arial" w:hAnsi="Arial"/>
                <w:sz w:val="17"/>
                <w:szCs w:val="17"/>
                <w:color w:val="auto"/>
              </w:rPr>
              <w:t>1,125</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7"/>
                <w:szCs w:val="17"/>
                <w:color w:val="auto"/>
                <w:w w:val="89"/>
              </w:rPr>
              <w:t>1,231</w:t>
            </w:r>
          </w:p>
        </w:tc>
        <w:tc>
          <w:tcPr>
            <w:tcW w:w="320" w:type="dxa"/>
            <w:vAlign w:val="bottom"/>
            <w:gridSpan w:val="2"/>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92</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w:t>
            </w:r>
          </w:p>
        </w:tc>
        <w:tc>
          <w:tcPr>
            <w:tcW w:w="320" w:type="dxa"/>
            <w:vAlign w:val="bottom"/>
            <w:gridSpan w:val="2"/>
            <w:shd w:val="clear" w:color="auto" w:fill="E6E6E6"/>
          </w:tcPr>
          <w:p>
            <w:pPr>
              <w:jc w:val="right"/>
              <w:ind w:right="13"/>
              <w:spacing w:after="0"/>
              <w:rPr>
                <w:sz w:val="20"/>
                <w:szCs w:val="20"/>
                <w:color w:val="auto"/>
              </w:rPr>
            </w:pPr>
            <w:r>
              <w:rPr>
                <w:rFonts w:ascii="Arial" w:cs="Arial" w:eastAsia="Arial" w:hAnsi="Arial"/>
                <w:sz w:val="17"/>
                <w:szCs w:val="17"/>
                <w:color w:val="auto"/>
              </w:rPr>
              <w:t>$</w:t>
            </w:r>
          </w:p>
        </w:tc>
        <w:tc>
          <w:tcPr>
            <w:tcW w:w="4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150</w:t>
            </w:r>
          </w:p>
        </w:tc>
        <w:tc>
          <w:tcPr>
            <w:tcW w:w="260" w:type="dxa"/>
            <w:vAlign w:val="bottom"/>
            <w:gridSpan w:val="2"/>
            <w:shd w:val="clear" w:color="auto" w:fill="E6E6E6"/>
          </w:tcPr>
          <w:p>
            <w:pPr>
              <w:ind w:left="120"/>
              <w:spacing w:after="0"/>
              <w:rPr>
                <w:sz w:val="20"/>
                <w:szCs w:val="20"/>
                <w:color w:val="auto"/>
              </w:rPr>
            </w:pPr>
            <w:r>
              <w:rPr>
                <w:rFonts w:ascii="Arial" w:cs="Arial" w:eastAsia="Arial" w:hAnsi="Arial"/>
                <w:sz w:val="17"/>
                <w:szCs w:val="17"/>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985</w:t>
            </w:r>
          </w:p>
        </w:tc>
        <w:tc>
          <w:tcPr>
            <w:tcW w:w="0" w:type="dxa"/>
            <w:vAlign w:val="bottom"/>
          </w:tcPr>
          <w:p>
            <w:pPr>
              <w:spacing w:after="0"/>
              <w:rPr>
                <w:sz w:val="1"/>
                <w:szCs w:val="1"/>
                <w:color w:val="auto"/>
              </w:rPr>
            </w:pPr>
          </w:p>
        </w:tc>
      </w:tr>
      <w:tr>
        <w:trPr>
          <w:trHeight w:val="269"/>
        </w:trPr>
        <w:tc>
          <w:tcPr>
            <w:tcW w:w="1880" w:type="dxa"/>
            <w:vAlign w:val="bottom"/>
            <w:gridSpan w:val="2"/>
          </w:tcPr>
          <w:p>
            <w:pPr>
              <w:ind w:left="60"/>
              <w:spacing w:after="0"/>
              <w:rPr>
                <w:sz w:val="20"/>
                <w:szCs w:val="20"/>
                <w:color w:val="auto"/>
              </w:rPr>
            </w:pPr>
            <w:r>
              <w:rPr>
                <w:rFonts w:ascii="Arial" w:cs="Arial" w:eastAsia="Arial" w:hAnsi="Arial"/>
                <w:sz w:val="17"/>
                <w:szCs w:val="17"/>
                <w:color w:val="auto"/>
              </w:rPr>
              <w:t>Fixed-income securities</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1,601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107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right w:val="single" w:sz="8" w:color="auto"/>
            </w:tcBorders>
          </w:tcPr>
          <w:p>
            <w:pPr>
              <w:jc w:val="right"/>
              <w:ind w:right="73"/>
              <w:spacing w:after="0"/>
              <w:rPr>
                <w:sz w:val="20"/>
                <w:szCs w:val="20"/>
                <w:color w:val="auto"/>
              </w:rPr>
            </w:pPr>
            <w:r>
              <w:rPr>
                <w:rFonts w:ascii="Arial" w:cs="Arial" w:eastAsia="Arial" w:hAnsi="Arial"/>
                <w:sz w:val="17"/>
                <w:szCs w:val="17"/>
                <w:color w:val="auto"/>
              </w:rPr>
              <w:t>1,485</w:t>
            </w: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1,359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1,258</w:t>
            </w:r>
          </w:p>
        </w:tc>
        <w:tc>
          <w:tcPr>
            <w:tcW w:w="0" w:type="dxa"/>
            <w:vAlign w:val="bottom"/>
          </w:tcPr>
          <w:p>
            <w:pPr>
              <w:spacing w:after="0"/>
              <w:rPr>
                <w:sz w:val="1"/>
                <w:szCs w:val="1"/>
                <w:color w:val="auto"/>
              </w:rPr>
            </w:pPr>
          </w:p>
        </w:tc>
      </w:tr>
      <w:tr>
        <w:trPr>
          <w:trHeight w:val="284"/>
        </w:trPr>
        <w:tc>
          <w:tcPr>
            <w:tcW w:w="1880" w:type="dxa"/>
            <w:vAlign w:val="bottom"/>
            <w:gridSpan w:val="2"/>
            <w:shd w:val="clear" w:color="auto" w:fill="E6E6E6"/>
          </w:tcPr>
          <w:p>
            <w:pPr>
              <w:ind w:left="60"/>
              <w:spacing w:after="0"/>
              <w:rPr>
                <w:sz w:val="20"/>
                <w:szCs w:val="20"/>
                <w:color w:val="auto"/>
              </w:rPr>
            </w:pPr>
            <w:r>
              <w:rPr>
                <w:rFonts w:ascii="Arial" w:cs="Arial" w:eastAsia="Arial" w:hAnsi="Arial"/>
                <w:sz w:val="17"/>
                <w:szCs w:val="17"/>
                <w:color w:val="auto"/>
              </w:rPr>
              <w:t>Alternatives</w:t>
            </w:r>
          </w:p>
        </w:tc>
        <w:tc>
          <w:tcPr>
            <w:tcW w:w="140" w:type="dxa"/>
            <w:vAlign w:val="bottom"/>
            <w:shd w:val="clear" w:color="auto" w:fill="E6E6E6"/>
          </w:tcPr>
          <w:p>
            <w:pPr>
              <w:spacing w:after="0"/>
              <w:rPr>
                <w:sz w:val="24"/>
                <w:szCs w:val="24"/>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763</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4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109</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800" w:type="dxa"/>
            <w:vAlign w:val="bottom"/>
            <w:tcBorders>
              <w:right w:val="single" w:sz="8" w:color="auto"/>
            </w:tcBorders>
            <w:shd w:val="clear" w:color="auto" w:fill="E6E6E6"/>
          </w:tcPr>
          <w:p>
            <w:pPr>
              <w:jc w:val="right"/>
              <w:ind w:right="73"/>
              <w:spacing w:after="0"/>
              <w:rPr>
                <w:sz w:val="20"/>
                <w:szCs w:val="20"/>
                <w:color w:val="auto"/>
              </w:rPr>
            </w:pPr>
            <w:r>
              <w:rPr>
                <w:rFonts w:ascii="Arial" w:cs="Arial" w:eastAsia="Arial" w:hAnsi="Arial"/>
                <w:sz w:val="17"/>
                <w:szCs w:val="17"/>
                <w:color w:val="auto"/>
              </w:rPr>
              <w:t>654</w:t>
            </w:r>
          </w:p>
        </w:tc>
        <w:tc>
          <w:tcPr>
            <w:tcW w:w="6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762</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4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4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116</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66"/>
        </w:trPr>
        <w:tc>
          <w:tcPr>
            <w:tcW w:w="1880" w:type="dxa"/>
            <w:vAlign w:val="bottom"/>
            <w:tcBorders>
              <w:bottom w:val="single" w:sz="8" w:color="E6E6E6"/>
            </w:tcBorders>
            <w:gridSpan w:val="2"/>
          </w:tcPr>
          <w:p>
            <w:pPr>
              <w:ind w:left="60"/>
              <w:spacing w:after="0"/>
              <w:rPr>
                <w:sz w:val="20"/>
                <w:szCs w:val="20"/>
                <w:color w:val="auto"/>
              </w:rPr>
            </w:pPr>
            <w:r>
              <w:rPr>
                <w:rFonts w:ascii="Arial" w:cs="Arial" w:eastAsia="Arial" w:hAnsi="Arial"/>
                <w:sz w:val="17"/>
                <w:szCs w:val="17"/>
                <w:color w:val="auto"/>
              </w:rPr>
              <w:t>Other investments</w:t>
            </w:r>
          </w:p>
        </w:tc>
        <w:tc>
          <w:tcPr>
            <w:tcW w:w="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w:t>
            </w:r>
          </w:p>
        </w:tc>
        <w:tc>
          <w:tcPr>
            <w:tcW w:w="6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8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8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6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7"/>
                <w:szCs w:val="17"/>
                <w:color w:val="auto"/>
              </w:rPr>
              <w:t>99</w:t>
            </w:r>
          </w:p>
        </w:tc>
        <w:tc>
          <w:tcPr>
            <w:tcW w:w="6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w:t>
            </w:r>
          </w:p>
        </w:tc>
        <w:tc>
          <w:tcPr>
            <w:tcW w:w="6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8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8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76"/>
        </w:trPr>
        <w:tc>
          <w:tcPr>
            <w:tcW w:w="1880" w:type="dxa"/>
            <w:vAlign w:val="bottom"/>
            <w:gridSpan w:val="2"/>
            <w:shd w:val="clear" w:color="auto" w:fill="E6E6E6"/>
          </w:tcPr>
          <w:p>
            <w:pPr>
              <w:ind w:left="6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7"/>
                <w:szCs w:val="17"/>
                <w:color w:val="auto"/>
                <w:w w:val="89"/>
              </w:rPr>
              <w:t>4,047</w:t>
            </w:r>
          </w:p>
        </w:tc>
        <w:tc>
          <w:tcPr>
            <w:tcW w:w="320" w:type="dxa"/>
            <w:vAlign w:val="bottom"/>
            <w:gridSpan w:val="2"/>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117</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265</w:t>
            </w:r>
          </w:p>
        </w:tc>
        <w:tc>
          <w:tcPr>
            <w:tcW w:w="340" w:type="dxa"/>
            <w:vAlign w:val="bottom"/>
            <w:gridSpan w:val="2"/>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302</w:t>
            </w:r>
          </w:p>
        </w:tc>
        <w:tc>
          <w:tcPr>
            <w:tcW w:w="240" w:type="dxa"/>
            <w:vAlign w:val="bottom"/>
            <w:gridSpan w:val="2"/>
            <w:shd w:val="clear" w:color="auto" w:fill="E6E6E6"/>
          </w:tcPr>
          <w:p>
            <w:pPr>
              <w:ind w:left="12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auto"/>
            </w:tcBorders>
            <w:shd w:val="clear" w:color="auto" w:fill="E6E6E6"/>
          </w:tcPr>
          <w:p>
            <w:pPr>
              <w:jc w:val="right"/>
              <w:ind w:right="73"/>
              <w:spacing w:after="0"/>
              <w:rPr>
                <w:sz w:val="20"/>
                <w:szCs w:val="20"/>
                <w:color w:val="auto"/>
              </w:rPr>
            </w:pPr>
            <w:r>
              <w:rPr>
                <w:rFonts w:ascii="Arial" w:cs="Arial" w:eastAsia="Arial" w:hAnsi="Arial"/>
                <w:sz w:val="17"/>
                <w:szCs w:val="17"/>
                <w:color w:val="auto"/>
              </w:rPr>
              <w:t>3,364</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7"/>
                <w:szCs w:val="17"/>
                <w:color w:val="auto"/>
                <w:w w:val="89"/>
              </w:rPr>
              <w:t>3,601</w:t>
            </w:r>
          </w:p>
        </w:tc>
        <w:tc>
          <w:tcPr>
            <w:tcW w:w="320" w:type="dxa"/>
            <w:vAlign w:val="bottom"/>
            <w:gridSpan w:val="2"/>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106</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257</w:t>
            </w:r>
          </w:p>
        </w:tc>
        <w:tc>
          <w:tcPr>
            <w:tcW w:w="320" w:type="dxa"/>
            <w:vAlign w:val="bottom"/>
            <w:gridSpan w:val="2"/>
            <w:shd w:val="clear" w:color="auto" w:fill="E6E6E6"/>
          </w:tcPr>
          <w:p>
            <w:pPr>
              <w:jc w:val="right"/>
              <w:ind w:right="13"/>
              <w:spacing w:after="0"/>
              <w:rPr>
                <w:sz w:val="20"/>
                <w:szCs w:val="20"/>
                <w:color w:val="auto"/>
              </w:rPr>
            </w:pPr>
            <w:r>
              <w:rPr>
                <w:rFonts w:ascii="Arial" w:cs="Arial" w:eastAsia="Arial" w:hAnsi="Arial"/>
                <w:sz w:val="17"/>
                <w:szCs w:val="17"/>
                <w:color w:val="auto"/>
              </w:rPr>
              <w:t>$</w:t>
            </w:r>
          </w:p>
        </w:tc>
        <w:tc>
          <w:tcPr>
            <w:tcW w:w="44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269</w:t>
            </w:r>
          </w:p>
        </w:tc>
        <w:tc>
          <w:tcPr>
            <w:tcW w:w="260" w:type="dxa"/>
            <w:vAlign w:val="bottom"/>
            <w:gridSpan w:val="2"/>
            <w:shd w:val="clear" w:color="auto" w:fill="E6E6E6"/>
          </w:tcPr>
          <w:p>
            <w:pPr>
              <w:ind w:left="120"/>
              <w:spacing w:after="0"/>
              <w:rPr>
                <w:sz w:val="20"/>
                <w:szCs w:val="20"/>
                <w:color w:val="auto"/>
              </w:rPr>
            </w:pPr>
            <w:r>
              <w:rPr>
                <w:rFonts w:ascii="Arial" w:cs="Arial" w:eastAsia="Arial" w:hAnsi="Arial"/>
                <w:sz w:val="17"/>
                <w:szCs w:val="17"/>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2,969</w:t>
            </w:r>
          </w:p>
        </w:tc>
        <w:tc>
          <w:tcPr>
            <w:tcW w:w="0" w:type="dxa"/>
            <w:vAlign w:val="bottom"/>
          </w:tcPr>
          <w:p>
            <w:pPr>
              <w:spacing w:after="0"/>
              <w:rPr>
                <w:sz w:val="1"/>
                <w:szCs w:val="1"/>
                <w:color w:val="auto"/>
              </w:rPr>
            </w:pPr>
          </w:p>
        </w:tc>
      </w:tr>
      <w:tr>
        <w:trPr>
          <w:trHeight w:val="195"/>
        </w:trPr>
        <w:tc>
          <w:tcPr>
            <w:tcW w:w="1880" w:type="dxa"/>
            <w:vAlign w:val="bottom"/>
            <w:tcBorders>
              <w:top w:val="single" w:sz="8" w:color="E6E6E6"/>
            </w:tcBorders>
            <w:gridSpan w:val="2"/>
          </w:tcPr>
          <w:p>
            <w:pPr>
              <w:ind w:left="60"/>
              <w:spacing w:after="0"/>
              <w:rPr>
                <w:sz w:val="20"/>
                <w:szCs w:val="20"/>
                <w:color w:val="auto"/>
              </w:rPr>
            </w:pPr>
            <w:r>
              <w:rPr>
                <w:rFonts w:ascii="Arial" w:cs="Arial" w:eastAsia="Arial" w:hAnsi="Arial"/>
                <w:sz w:val="17"/>
                <w:szCs w:val="17"/>
                <w:b w:val="1"/>
                <w:bCs w:val="1"/>
                <w:color w:val="auto"/>
              </w:rPr>
              <w:t>Other Postretirement</w:t>
            </w: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E6E6E6"/>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E6E6E6"/>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0" w:type="dxa"/>
            <w:vAlign w:val="bottom"/>
            <w:tcBorders>
              <w:top w:val="single" w:sz="8" w:color="E6E6E6"/>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E6E6E6"/>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60" w:type="dxa"/>
            <w:vAlign w:val="bottom"/>
            <w:tcBorders>
              <w:top w:val="single" w:sz="8" w:color="E6E6E6"/>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E6E6E6"/>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E6E6E6"/>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0" w:type="dxa"/>
            <w:vAlign w:val="bottom"/>
            <w:tcBorders>
              <w:top w:val="single" w:sz="8" w:color="E6E6E6"/>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Borders>
              <w:top w:val="single" w:sz="8" w:color="E6E6E6"/>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880" w:type="dxa"/>
            <w:vAlign w:val="bottom"/>
            <w:gridSpan w:val="2"/>
          </w:tcPr>
          <w:p>
            <w:pPr>
              <w:ind w:left="60"/>
              <w:spacing w:after="0"/>
              <w:rPr>
                <w:sz w:val="20"/>
                <w:szCs w:val="20"/>
                <w:color w:val="auto"/>
              </w:rPr>
            </w:pPr>
            <w:r>
              <w:rPr>
                <w:rFonts w:ascii="Arial" w:cs="Arial" w:eastAsia="Arial" w:hAnsi="Arial"/>
                <w:sz w:val="17"/>
                <w:szCs w:val="17"/>
                <w:b w:val="1"/>
                <w:bCs w:val="1"/>
                <w:color w:val="auto"/>
              </w:rPr>
              <w:t>Benefit Plan Assets: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880" w:type="dxa"/>
            <w:vAlign w:val="bottom"/>
            <w:gridSpan w:val="2"/>
            <w:shd w:val="clear" w:color="auto" w:fill="E6E6E6"/>
          </w:tcPr>
          <w:p>
            <w:pPr>
              <w:ind w:left="60"/>
              <w:spacing w:after="0" w:line="157" w:lineRule="exact"/>
              <w:rPr>
                <w:sz w:val="20"/>
                <w:szCs w:val="20"/>
                <w:color w:val="auto"/>
              </w:rPr>
            </w:pPr>
            <w:r>
              <w:rPr>
                <w:rFonts w:ascii="Arial" w:cs="Arial" w:eastAsia="Arial" w:hAnsi="Arial"/>
                <w:sz w:val="17"/>
                <w:szCs w:val="17"/>
                <w:color w:val="auto"/>
              </w:rPr>
              <w:t>Deposit administration</w:t>
            </w:r>
          </w:p>
        </w:tc>
        <w:tc>
          <w:tcPr>
            <w:tcW w:w="14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6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43</w:t>
            </w:r>
          </w:p>
        </w:tc>
        <w:tc>
          <w:tcPr>
            <w:tcW w:w="60" w:type="dxa"/>
            <w:vAlign w:val="bottom"/>
            <w:vMerge w:val="restart"/>
            <w:shd w:val="clear" w:color="auto" w:fill="E6E6E6"/>
          </w:tcPr>
          <w:p>
            <w:pPr>
              <w:spacing w:after="0"/>
              <w:rPr>
                <w:sz w:val="13"/>
                <w:szCs w:val="13"/>
                <w:color w:val="auto"/>
              </w:rPr>
            </w:pPr>
          </w:p>
        </w:tc>
        <w:tc>
          <w:tcPr>
            <w:tcW w:w="260" w:type="dxa"/>
            <w:vAlign w:val="bottom"/>
            <w:vMerge w:val="restart"/>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46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E6E6E6"/>
          </w:tcPr>
          <w:p>
            <w:pPr>
              <w:spacing w:after="0"/>
              <w:rPr>
                <w:sz w:val="13"/>
                <w:szCs w:val="13"/>
                <w:color w:val="auto"/>
              </w:rPr>
            </w:pPr>
          </w:p>
        </w:tc>
        <w:tc>
          <w:tcPr>
            <w:tcW w:w="22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8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E6E6E6"/>
          </w:tcPr>
          <w:p>
            <w:pPr>
              <w:spacing w:after="0"/>
              <w:rPr>
                <w:sz w:val="13"/>
                <w:szCs w:val="13"/>
                <w:color w:val="auto"/>
              </w:rPr>
            </w:pPr>
          </w:p>
        </w:tc>
        <w:tc>
          <w:tcPr>
            <w:tcW w:w="260" w:type="dxa"/>
            <w:vAlign w:val="bottom"/>
            <w:vMerge w:val="restart"/>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46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43</w:t>
            </w:r>
          </w:p>
        </w:tc>
        <w:tc>
          <w:tcPr>
            <w:tcW w:w="60" w:type="dxa"/>
            <w:vAlign w:val="bottom"/>
            <w:vMerge w:val="restart"/>
            <w:shd w:val="clear" w:color="auto" w:fill="E6E6E6"/>
          </w:tcPr>
          <w:p>
            <w:pPr>
              <w:spacing w:after="0"/>
              <w:rPr>
                <w:sz w:val="13"/>
                <w:szCs w:val="13"/>
                <w:color w:val="auto"/>
              </w:rPr>
            </w:pPr>
          </w:p>
        </w:tc>
        <w:tc>
          <w:tcPr>
            <w:tcW w:w="180" w:type="dxa"/>
            <w:vAlign w:val="bottom"/>
            <w:vMerge w:val="restart"/>
            <w:shd w:val="clear" w:color="auto" w:fill="E6E6E6"/>
          </w:tcPr>
          <w:p>
            <w:pPr>
              <w:ind w:left="6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auto"/>
            </w:tcBorders>
            <w:vMerge w:val="restart"/>
            <w:shd w:val="clear" w:color="auto" w:fill="E6E6E6"/>
          </w:tcPr>
          <w:p>
            <w:pPr>
              <w:jc w:val="right"/>
              <w:ind w:right="73"/>
              <w:spacing w:after="0"/>
              <w:rPr>
                <w:sz w:val="20"/>
                <w:szCs w:val="20"/>
                <w:color w:val="auto"/>
              </w:rPr>
            </w:pPr>
            <w:r>
              <w:rPr>
                <w:rFonts w:ascii="Arial" w:cs="Arial" w:eastAsia="Arial" w:hAnsi="Arial"/>
                <w:sz w:val="17"/>
                <w:szCs w:val="17"/>
                <w:color w:val="auto"/>
              </w:rPr>
              <w:t>—</w:t>
            </w:r>
          </w:p>
        </w:tc>
        <w:tc>
          <w:tcPr>
            <w:tcW w:w="60" w:type="dxa"/>
            <w:vAlign w:val="bottom"/>
            <w:vMerge w:val="restart"/>
            <w:shd w:val="clear" w:color="auto" w:fill="E6E6E6"/>
          </w:tcPr>
          <w:p>
            <w:pPr>
              <w:spacing w:after="0"/>
              <w:rPr>
                <w:sz w:val="13"/>
                <w:szCs w:val="13"/>
                <w:color w:val="auto"/>
              </w:rPr>
            </w:pPr>
          </w:p>
        </w:tc>
        <w:tc>
          <w:tcPr>
            <w:tcW w:w="14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6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45</w:t>
            </w:r>
          </w:p>
        </w:tc>
        <w:tc>
          <w:tcPr>
            <w:tcW w:w="60" w:type="dxa"/>
            <w:vAlign w:val="bottom"/>
            <w:vMerge w:val="restart"/>
            <w:shd w:val="clear" w:color="auto" w:fill="E6E6E6"/>
          </w:tcPr>
          <w:p>
            <w:pPr>
              <w:spacing w:after="0"/>
              <w:rPr>
                <w:sz w:val="13"/>
                <w:szCs w:val="13"/>
                <w:color w:val="auto"/>
              </w:rPr>
            </w:pPr>
          </w:p>
        </w:tc>
        <w:tc>
          <w:tcPr>
            <w:tcW w:w="260" w:type="dxa"/>
            <w:vAlign w:val="bottom"/>
            <w:vMerge w:val="restart"/>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46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E6E6E6"/>
          </w:tcPr>
          <w:p>
            <w:pPr>
              <w:spacing w:after="0"/>
              <w:rPr>
                <w:sz w:val="13"/>
                <w:szCs w:val="13"/>
                <w:color w:val="auto"/>
              </w:rPr>
            </w:pPr>
          </w:p>
        </w:tc>
        <w:tc>
          <w:tcPr>
            <w:tcW w:w="22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48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E6E6E6"/>
          </w:tcPr>
          <w:p>
            <w:pPr>
              <w:spacing w:after="0"/>
              <w:rPr>
                <w:sz w:val="13"/>
                <w:szCs w:val="13"/>
                <w:color w:val="auto"/>
              </w:rPr>
            </w:pPr>
          </w:p>
        </w:tc>
        <w:tc>
          <w:tcPr>
            <w:tcW w:w="240" w:type="dxa"/>
            <w:vAlign w:val="bottom"/>
            <w:vMerge w:val="restart"/>
            <w:shd w:val="clear" w:color="auto" w:fill="E6E6E6"/>
          </w:tcPr>
          <w:p>
            <w:pPr>
              <w:jc w:val="right"/>
              <w:ind w:right="13"/>
              <w:spacing w:after="0"/>
              <w:rPr>
                <w:sz w:val="20"/>
                <w:szCs w:val="20"/>
                <w:color w:val="auto"/>
              </w:rPr>
            </w:pPr>
            <w:r>
              <w:rPr>
                <w:rFonts w:ascii="Arial" w:cs="Arial" w:eastAsia="Arial" w:hAnsi="Arial"/>
                <w:sz w:val="17"/>
                <w:szCs w:val="17"/>
                <w:color w:val="auto"/>
              </w:rPr>
              <w:t>$</w:t>
            </w:r>
          </w:p>
        </w:tc>
        <w:tc>
          <w:tcPr>
            <w:tcW w:w="44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45</w:t>
            </w:r>
          </w:p>
        </w:tc>
        <w:tc>
          <w:tcPr>
            <w:tcW w:w="80" w:type="dxa"/>
            <w:vAlign w:val="bottom"/>
            <w:vMerge w:val="restart"/>
            <w:shd w:val="clear" w:color="auto" w:fill="E6E6E6"/>
          </w:tcPr>
          <w:p>
            <w:pPr>
              <w:spacing w:after="0"/>
              <w:rPr>
                <w:sz w:val="13"/>
                <w:szCs w:val="13"/>
                <w:color w:val="auto"/>
              </w:rPr>
            </w:pPr>
          </w:p>
        </w:tc>
        <w:tc>
          <w:tcPr>
            <w:tcW w:w="180" w:type="dxa"/>
            <w:vAlign w:val="bottom"/>
            <w:vMerge w:val="restart"/>
            <w:shd w:val="clear" w:color="auto" w:fill="E6E6E6"/>
          </w:tcPr>
          <w:p>
            <w:pPr>
              <w:ind w:left="40"/>
              <w:spacing w:after="0"/>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1"/>
        </w:trPr>
        <w:tc>
          <w:tcPr>
            <w:tcW w:w="180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17"/>
                <w:szCs w:val="17"/>
                <w:color w:val="auto"/>
              </w:rPr>
              <w:t>fund</w:t>
            </w:r>
          </w:p>
        </w:tc>
        <w:tc>
          <w:tcPr>
            <w:tcW w:w="80" w:type="dxa"/>
            <w:vAlign w:val="bottom"/>
            <w:tcBorders>
              <w:bottom w:val="single" w:sz="8" w:color="E6E6E6"/>
            </w:tcBorders>
            <w:shd w:val="clear" w:color="auto" w:fill="E6E6E6"/>
          </w:tcPr>
          <w:p>
            <w:pPr>
              <w:spacing w:after="0"/>
              <w:rPr>
                <w:sz w:val="21"/>
                <w:szCs w:val="21"/>
                <w:color w:val="auto"/>
              </w:rPr>
            </w:pPr>
          </w:p>
        </w:tc>
        <w:tc>
          <w:tcPr>
            <w:tcW w:w="140" w:type="dxa"/>
            <w:vAlign w:val="bottom"/>
            <w:tcBorders>
              <w:bottom w:val="single" w:sz="8" w:color="auto"/>
            </w:tcBorders>
            <w:vMerge w:val="continue"/>
            <w:shd w:val="clear" w:color="auto" w:fill="E6E6E6"/>
          </w:tcPr>
          <w:p>
            <w:pPr>
              <w:spacing w:after="0"/>
              <w:rPr>
                <w:sz w:val="21"/>
                <w:szCs w:val="21"/>
                <w:color w:val="auto"/>
              </w:rPr>
            </w:pPr>
          </w:p>
        </w:tc>
        <w:tc>
          <w:tcPr>
            <w:tcW w:w="460" w:type="dxa"/>
            <w:vAlign w:val="bottom"/>
            <w:tcBorders>
              <w:bottom w:val="single" w:sz="8" w:color="auto"/>
            </w:tcBorders>
            <w:vMerge w:val="continue"/>
            <w:shd w:val="clear" w:color="auto" w:fill="E6E6E6"/>
          </w:tcPr>
          <w:p>
            <w:pPr>
              <w:spacing w:after="0"/>
              <w:rPr>
                <w:sz w:val="21"/>
                <w:szCs w:val="21"/>
                <w:color w:val="auto"/>
              </w:rPr>
            </w:pPr>
          </w:p>
        </w:tc>
        <w:tc>
          <w:tcPr>
            <w:tcW w:w="60" w:type="dxa"/>
            <w:vAlign w:val="bottom"/>
            <w:tcBorders>
              <w:bottom w:val="single" w:sz="8" w:color="E6E6E6"/>
            </w:tcBorders>
            <w:vMerge w:val="continue"/>
            <w:shd w:val="clear" w:color="auto" w:fill="E6E6E6"/>
          </w:tcPr>
          <w:p>
            <w:pPr>
              <w:spacing w:after="0"/>
              <w:rPr>
                <w:sz w:val="21"/>
                <w:szCs w:val="21"/>
                <w:color w:val="auto"/>
              </w:rPr>
            </w:pPr>
          </w:p>
        </w:tc>
        <w:tc>
          <w:tcPr>
            <w:tcW w:w="260" w:type="dxa"/>
            <w:vAlign w:val="bottom"/>
            <w:tcBorders>
              <w:bottom w:val="single" w:sz="8" w:color="auto"/>
            </w:tcBorders>
            <w:vMerge w:val="continue"/>
            <w:shd w:val="clear" w:color="auto" w:fill="E6E6E6"/>
          </w:tcPr>
          <w:p>
            <w:pPr>
              <w:spacing w:after="0"/>
              <w:rPr>
                <w:sz w:val="21"/>
                <w:szCs w:val="21"/>
                <w:color w:val="auto"/>
              </w:rPr>
            </w:pPr>
          </w:p>
        </w:tc>
        <w:tc>
          <w:tcPr>
            <w:tcW w:w="460" w:type="dxa"/>
            <w:vAlign w:val="bottom"/>
            <w:tcBorders>
              <w:bottom w:val="single" w:sz="8" w:color="auto"/>
            </w:tcBorders>
            <w:vMerge w:val="continue"/>
            <w:shd w:val="clear" w:color="auto" w:fill="E6E6E6"/>
          </w:tcPr>
          <w:p>
            <w:pPr>
              <w:spacing w:after="0"/>
              <w:rPr>
                <w:sz w:val="21"/>
                <w:szCs w:val="21"/>
                <w:color w:val="auto"/>
              </w:rPr>
            </w:pPr>
          </w:p>
        </w:tc>
        <w:tc>
          <w:tcPr>
            <w:tcW w:w="80" w:type="dxa"/>
            <w:vAlign w:val="bottom"/>
            <w:tcBorders>
              <w:bottom w:val="single" w:sz="8" w:color="E6E6E6"/>
            </w:tcBorders>
            <w:vMerge w:val="continue"/>
            <w:shd w:val="clear" w:color="auto" w:fill="E6E6E6"/>
          </w:tcPr>
          <w:p>
            <w:pPr>
              <w:spacing w:after="0"/>
              <w:rPr>
                <w:sz w:val="21"/>
                <w:szCs w:val="21"/>
                <w:color w:val="auto"/>
              </w:rPr>
            </w:pPr>
          </w:p>
        </w:tc>
        <w:tc>
          <w:tcPr>
            <w:tcW w:w="220" w:type="dxa"/>
            <w:vAlign w:val="bottom"/>
            <w:tcBorders>
              <w:bottom w:val="single" w:sz="8" w:color="auto"/>
            </w:tcBorders>
            <w:vMerge w:val="continue"/>
            <w:shd w:val="clear" w:color="auto" w:fill="E6E6E6"/>
          </w:tcPr>
          <w:p>
            <w:pPr>
              <w:spacing w:after="0"/>
              <w:rPr>
                <w:sz w:val="21"/>
                <w:szCs w:val="21"/>
                <w:color w:val="auto"/>
              </w:rPr>
            </w:pPr>
          </w:p>
        </w:tc>
        <w:tc>
          <w:tcPr>
            <w:tcW w:w="480" w:type="dxa"/>
            <w:vAlign w:val="bottom"/>
            <w:tcBorders>
              <w:bottom w:val="single" w:sz="8" w:color="auto"/>
            </w:tcBorders>
            <w:vMerge w:val="continue"/>
            <w:shd w:val="clear" w:color="auto" w:fill="E6E6E6"/>
          </w:tcPr>
          <w:p>
            <w:pPr>
              <w:spacing w:after="0"/>
              <w:rPr>
                <w:sz w:val="21"/>
                <w:szCs w:val="21"/>
                <w:color w:val="auto"/>
              </w:rPr>
            </w:pPr>
          </w:p>
        </w:tc>
        <w:tc>
          <w:tcPr>
            <w:tcW w:w="80" w:type="dxa"/>
            <w:vAlign w:val="bottom"/>
            <w:tcBorders>
              <w:bottom w:val="single" w:sz="8" w:color="E6E6E6"/>
            </w:tcBorders>
            <w:vMerge w:val="continue"/>
            <w:shd w:val="clear" w:color="auto" w:fill="E6E6E6"/>
          </w:tcPr>
          <w:p>
            <w:pPr>
              <w:spacing w:after="0"/>
              <w:rPr>
                <w:sz w:val="21"/>
                <w:szCs w:val="21"/>
                <w:color w:val="auto"/>
              </w:rPr>
            </w:pPr>
          </w:p>
        </w:tc>
        <w:tc>
          <w:tcPr>
            <w:tcW w:w="260" w:type="dxa"/>
            <w:vAlign w:val="bottom"/>
            <w:tcBorders>
              <w:bottom w:val="single" w:sz="8" w:color="auto"/>
            </w:tcBorders>
            <w:vMerge w:val="continue"/>
            <w:shd w:val="clear" w:color="auto" w:fill="E6E6E6"/>
          </w:tcPr>
          <w:p>
            <w:pPr>
              <w:spacing w:after="0"/>
              <w:rPr>
                <w:sz w:val="21"/>
                <w:szCs w:val="21"/>
                <w:color w:val="auto"/>
              </w:rPr>
            </w:pPr>
          </w:p>
        </w:tc>
        <w:tc>
          <w:tcPr>
            <w:tcW w:w="460" w:type="dxa"/>
            <w:vAlign w:val="bottom"/>
            <w:tcBorders>
              <w:bottom w:val="single" w:sz="8" w:color="auto"/>
            </w:tcBorders>
            <w:vMerge w:val="continue"/>
            <w:shd w:val="clear" w:color="auto" w:fill="E6E6E6"/>
          </w:tcPr>
          <w:p>
            <w:pPr>
              <w:spacing w:after="0"/>
              <w:rPr>
                <w:sz w:val="21"/>
                <w:szCs w:val="21"/>
                <w:color w:val="auto"/>
              </w:rPr>
            </w:pPr>
          </w:p>
        </w:tc>
        <w:tc>
          <w:tcPr>
            <w:tcW w:w="60" w:type="dxa"/>
            <w:vAlign w:val="bottom"/>
            <w:tcBorders>
              <w:bottom w:val="single" w:sz="8" w:color="E6E6E6"/>
            </w:tcBorders>
            <w:vMerge w:val="continue"/>
            <w:shd w:val="clear" w:color="auto" w:fill="E6E6E6"/>
          </w:tcPr>
          <w:p>
            <w:pPr>
              <w:spacing w:after="0"/>
              <w:rPr>
                <w:sz w:val="21"/>
                <w:szCs w:val="21"/>
                <w:color w:val="auto"/>
              </w:rPr>
            </w:pPr>
          </w:p>
        </w:tc>
        <w:tc>
          <w:tcPr>
            <w:tcW w:w="180" w:type="dxa"/>
            <w:vAlign w:val="bottom"/>
            <w:tcBorders>
              <w:bottom w:val="single" w:sz="8" w:color="auto"/>
            </w:tcBorders>
            <w:vMerge w:val="continue"/>
            <w:shd w:val="clear" w:color="auto" w:fill="E6E6E6"/>
          </w:tcPr>
          <w:p>
            <w:pPr>
              <w:spacing w:after="0"/>
              <w:rPr>
                <w:sz w:val="21"/>
                <w:szCs w:val="21"/>
                <w:color w:val="auto"/>
              </w:rPr>
            </w:pPr>
          </w:p>
        </w:tc>
        <w:tc>
          <w:tcPr>
            <w:tcW w:w="800" w:type="dxa"/>
            <w:vAlign w:val="bottom"/>
            <w:tcBorders>
              <w:bottom w:val="single" w:sz="8" w:color="auto"/>
              <w:right w:val="single" w:sz="8" w:color="auto"/>
            </w:tcBorders>
            <w:vMerge w:val="continue"/>
            <w:shd w:val="clear" w:color="auto" w:fill="E6E6E6"/>
          </w:tcPr>
          <w:p>
            <w:pPr>
              <w:spacing w:after="0"/>
              <w:rPr>
                <w:sz w:val="21"/>
                <w:szCs w:val="21"/>
                <w:color w:val="auto"/>
              </w:rPr>
            </w:pPr>
          </w:p>
        </w:tc>
        <w:tc>
          <w:tcPr>
            <w:tcW w:w="60" w:type="dxa"/>
            <w:vAlign w:val="bottom"/>
            <w:tcBorders>
              <w:bottom w:val="single" w:sz="8" w:color="E6E6E6"/>
            </w:tcBorders>
            <w:vMerge w:val="continue"/>
            <w:shd w:val="clear" w:color="auto" w:fill="E6E6E6"/>
          </w:tcPr>
          <w:p>
            <w:pPr>
              <w:spacing w:after="0"/>
              <w:rPr>
                <w:sz w:val="21"/>
                <w:szCs w:val="21"/>
                <w:color w:val="auto"/>
              </w:rPr>
            </w:pPr>
          </w:p>
        </w:tc>
        <w:tc>
          <w:tcPr>
            <w:tcW w:w="140" w:type="dxa"/>
            <w:vAlign w:val="bottom"/>
            <w:tcBorders>
              <w:bottom w:val="single" w:sz="8" w:color="auto"/>
            </w:tcBorders>
            <w:vMerge w:val="continue"/>
            <w:shd w:val="clear" w:color="auto" w:fill="E6E6E6"/>
          </w:tcPr>
          <w:p>
            <w:pPr>
              <w:spacing w:after="0"/>
              <w:rPr>
                <w:sz w:val="21"/>
                <w:szCs w:val="21"/>
                <w:color w:val="auto"/>
              </w:rPr>
            </w:pPr>
          </w:p>
        </w:tc>
        <w:tc>
          <w:tcPr>
            <w:tcW w:w="460" w:type="dxa"/>
            <w:vAlign w:val="bottom"/>
            <w:tcBorders>
              <w:bottom w:val="single" w:sz="8" w:color="auto"/>
            </w:tcBorders>
            <w:vMerge w:val="continue"/>
            <w:shd w:val="clear" w:color="auto" w:fill="E6E6E6"/>
          </w:tcPr>
          <w:p>
            <w:pPr>
              <w:spacing w:after="0"/>
              <w:rPr>
                <w:sz w:val="21"/>
                <w:szCs w:val="21"/>
                <w:color w:val="auto"/>
              </w:rPr>
            </w:pPr>
          </w:p>
        </w:tc>
        <w:tc>
          <w:tcPr>
            <w:tcW w:w="60" w:type="dxa"/>
            <w:vAlign w:val="bottom"/>
            <w:tcBorders>
              <w:bottom w:val="single" w:sz="8" w:color="E6E6E6"/>
            </w:tcBorders>
            <w:vMerge w:val="continue"/>
            <w:shd w:val="clear" w:color="auto" w:fill="E6E6E6"/>
          </w:tcPr>
          <w:p>
            <w:pPr>
              <w:spacing w:after="0"/>
              <w:rPr>
                <w:sz w:val="21"/>
                <w:szCs w:val="21"/>
                <w:color w:val="auto"/>
              </w:rPr>
            </w:pPr>
          </w:p>
        </w:tc>
        <w:tc>
          <w:tcPr>
            <w:tcW w:w="260" w:type="dxa"/>
            <w:vAlign w:val="bottom"/>
            <w:tcBorders>
              <w:bottom w:val="single" w:sz="8" w:color="auto"/>
            </w:tcBorders>
            <w:vMerge w:val="continue"/>
            <w:shd w:val="clear" w:color="auto" w:fill="E6E6E6"/>
          </w:tcPr>
          <w:p>
            <w:pPr>
              <w:spacing w:after="0"/>
              <w:rPr>
                <w:sz w:val="21"/>
                <w:szCs w:val="21"/>
                <w:color w:val="auto"/>
              </w:rPr>
            </w:pPr>
          </w:p>
        </w:tc>
        <w:tc>
          <w:tcPr>
            <w:tcW w:w="460" w:type="dxa"/>
            <w:vAlign w:val="bottom"/>
            <w:tcBorders>
              <w:bottom w:val="single" w:sz="8" w:color="auto"/>
            </w:tcBorders>
            <w:vMerge w:val="continue"/>
            <w:shd w:val="clear" w:color="auto" w:fill="E6E6E6"/>
          </w:tcPr>
          <w:p>
            <w:pPr>
              <w:spacing w:after="0"/>
              <w:rPr>
                <w:sz w:val="21"/>
                <w:szCs w:val="21"/>
                <w:color w:val="auto"/>
              </w:rPr>
            </w:pPr>
          </w:p>
        </w:tc>
        <w:tc>
          <w:tcPr>
            <w:tcW w:w="80" w:type="dxa"/>
            <w:vAlign w:val="bottom"/>
            <w:tcBorders>
              <w:bottom w:val="single" w:sz="8" w:color="E6E6E6"/>
            </w:tcBorders>
            <w:vMerge w:val="continue"/>
            <w:shd w:val="clear" w:color="auto" w:fill="E6E6E6"/>
          </w:tcPr>
          <w:p>
            <w:pPr>
              <w:spacing w:after="0"/>
              <w:rPr>
                <w:sz w:val="21"/>
                <w:szCs w:val="21"/>
                <w:color w:val="auto"/>
              </w:rPr>
            </w:pPr>
          </w:p>
        </w:tc>
        <w:tc>
          <w:tcPr>
            <w:tcW w:w="220" w:type="dxa"/>
            <w:vAlign w:val="bottom"/>
            <w:tcBorders>
              <w:bottom w:val="single" w:sz="8" w:color="auto"/>
            </w:tcBorders>
            <w:vMerge w:val="continue"/>
            <w:shd w:val="clear" w:color="auto" w:fill="E6E6E6"/>
          </w:tcPr>
          <w:p>
            <w:pPr>
              <w:spacing w:after="0"/>
              <w:rPr>
                <w:sz w:val="21"/>
                <w:szCs w:val="21"/>
                <w:color w:val="auto"/>
              </w:rPr>
            </w:pPr>
          </w:p>
        </w:tc>
        <w:tc>
          <w:tcPr>
            <w:tcW w:w="480" w:type="dxa"/>
            <w:vAlign w:val="bottom"/>
            <w:tcBorders>
              <w:bottom w:val="single" w:sz="8" w:color="auto"/>
            </w:tcBorders>
            <w:vMerge w:val="continue"/>
            <w:shd w:val="clear" w:color="auto" w:fill="E6E6E6"/>
          </w:tcPr>
          <w:p>
            <w:pPr>
              <w:spacing w:after="0"/>
              <w:rPr>
                <w:sz w:val="21"/>
                <w:szCs w:val="21"/>
                <w:color w:val="auto"/>
              </w:rPr>
            </w:pPr>
          </w:p>
        </w:tc>
        <w:tc>
          <w:tcPr>
            <w:tcW w:w="80" w:type="dxa"/>
            <w:vAlign w:val="bottom"/>
            <w:tcBorders>
              <w:bottom w:val="single" w:sz="8" w:color="E6E6E6"/>
            </w:tcBorders>
            <w:vMerge w:val="continue"/>
            <w:shd w:val="clear" w:color="auto" w:fill="E6E6E6"/>
          </w:tcPr>
          <w:p>
            <w:pPr>
              <w:spacing w:after="0"/>
              <w:rPr>
                <w:sz w:val="21"/>
                <w:szCs w:val="21"/>
                <w:color w:val="auto"/>
              </w:rPr>
            </w:pPr>
          </w:p>
        </w:tc>
        <w:tc>
          <w:tcPr>
            <w:tcW w:w="240" w:type="dxa"/>
            <w:vAlign w:val="bottom"/>
            <w:tcBorders>
              <w:bottom w:val="single" w:sz="8" w:color="auto"/>
            </w:tcBorders>
            <w:vMerge w:val="continue"/>
            <w:shd w:val="clear" w:color="auto" w:fill="E6E6E6"/>
          </w:tcPr>
          <w:p>
            <w:pPr>
              <w:spacing w:after="0"/>
              <w:rPr>
                <w:sz w:val="21"/>
                <w:szCs w:val="21"/>
                <w:color w:val="auto"/>
              </w:rPr>
            </w:pPr>
          </w:p>
        </w:tc>
        <w:tc>
          <w:tcPr>
            <w:tcW w:w="440" w:type="dxa"/>
            <w:vAlign w:val="bottom"/>
            <w:tcBorders>
              <w:bottom w:val="single" w:sz="8" w:color="auto"/>
            </w:tcBorders>
            <w:vMerge w:val="continue"/>
            <w:shd w:val="clear" w:color="auto" w:fill="E6E6E6"/>
          </w:tcPr>
          <w:p>
            <w:pPr>
              <w:spacing w:after="0"/>
              <w:rPr>
                <w:sz w:val="21"/>
                <w:szCs w:val="21"/>
                <w:color w:val="auto"/>
              </w:rPr>
            </w:pPr>
          </w:p>
        </w:tc>
        <w:tc>
          <w:tcPr>
            <w:tcW w:w="80" w:type="dxa"/>
            <w:vAlign w:val="bottom"/>
            <w:tcBorders>
              <w:bottom w:val="single" w:sz="8" w:color="E6E6E6"/>
            </w:tcBorders>
            <w:vMerge w:val="continue"/>
            <w:shd w:val="clear" w:color="auto" w:fill="E6E6E6"/>
          </w:tcPr>
          <w:p>
            <w:pPr>
              <w:spacing w:after="0"/>
              <w:rPr>
                <w:sz w:val="21"/>
                <w:szCs w:val="21"/>
                <w:color w:val="auto"/>
              </w:rPr>
            </w:pPr>
          </w:p>
        </w:tc>
        <w:tc>
          <w:tcPr>
            <w:tcW w:w="180" w:type="dxa"/>
            <w:vAlign w:val="bottom"/>
            <w:tcBorders>
              <w:bottom w:val="single" w:sz="8" w:color="auto"/>
            </w:tcBorders>
            <w:vMerge w:val="continue"/>
            <w:shd w:val="clear" w:color="auto" w:fill="E6E6E6"/>
          </w:tcPr>
          <w:p>
            <w:pPr>
              <w:spacing w:after="0"/>
              <w:rPr>
                <w:sz w:val="21"/>
                <w:szCs w:val="21"/>
                <w:color w:val="auto"/>
              </w:rPr>
            </w:pPr>
          </w:p>
        </w:tc>
        <w:tc>
          <w:tcPr>
            <w:tcW w:w="700" w:type="dxa"/>
            <w:vAlign w:val="bottom"/>
            <w:tcBorders>
              <w:bottom w:val="single" w:sz="8" w:color="auto"/>
            </w:tcBorders>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-1453515</wp:posOffset>
            </wp:positionV>
            <wp:extent cx="6263005" cy="14611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11">
                      <a:extLst>
                        <a:ext uri="{28A0092B-C50C-407E-A947-70E740481C1C}"/>
                      </a:extLst>
                    </a:blip>
                    <a:srcRect/>
                    <a:stretch>
                      <a:fillRect/>
                    </a:stretch>
                  </pic:blipFill>
                  <pic:spPr bwMode="auto">
                    <a:xfrm>
                      <a:off x="0" y="0"/>
                      <a:ext cx="6263005" cy="1461135"/>
                    </a:xfrm>
                    <a:prstGeom prst="rect">
                      <a:avLst/>
                    </a:prstGeom>
                    <a:noFill/>
                  </pic:spPr>
                </pic:pic>
              </a:graphicData>
            </a:graphic>
          </wp:anchor>
        </w:drawing>
      </w:r>
    </w:p>
    <w:p>
      <w:pPr>
        <w:ind w:right="20" w:firstLine="3"/>
        <w:spacing w:after="0" w:line="250" w:lineRule="auto"/>
        <w:tabs>
          <w:tab w:leader="none" w:pos="211"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accordance with the relevant accounting standards, certain investments that are measured at fair value using the net asset value ("NAV") per share (or its equivalent) have not been classified in the fair value hierarchy. These investments are commingled funds that invest in equity securities and fixed-income instruments including bonds, debt securities, and other similar instruments issued by various U.S. and non-U.S. public- or private-sector entities. Redemption periods for these investments range from daily to semiannually.</w:t>
      </w:r>
    </w:p>
    <w:p>
      <w:pPr>
        <w:spacing w:after="0" w:line="138" w:lineRule="exact"/>
        <w:rPr>
          <w:sz w:val="20"/>
          <w:szCs w:val="20"/>
          <w:color w:val="auto"/>
        </w:rPr>
      </w:pPr>
    </w:p>
    <w:p>
      <w:pPr>
        <w:ind w:right="420"/>
        <w:spacing w:after="0" w:line="276" w:lineRule="auto"/>
        <w:rPr>
          <w:sz w:val="20"/>
          <w:szCs w:val="20"/>
          <w:color w:val="auto"/>
        </w:rPr>
      </w:pPr>
      <w:r>
        <w:rPr>
          <w:rFonts w:ascii="Arial" w:cs="Arial" w:eastAsia="Arial" w:hAnsi="Arial"/>
          <w:sz w:val="19"/>
          <w:szCs w:val="19"/>
          <w:b w:val="1"/>
          <w:bCs w:val="1"/>
          <w:i w:val="1"/>
          <w:iCs w:val="1"/>
          <w:color w:val="auto"/>
        </w:rPr>
        <w:t xml:space="preserve">Equity and Fixed-Income. </w:t>
      </w:r>
      <w:r>
        <w:rPr>
          <w:rFonts w:ascii="Arial" w:cs="Arial" w:eastAsia="Arial" w:hAnsi="Arial"/>
          <w:sz w:val="19"/>
          <w:szCs w:val="19"/>
          <w:color w:val="auto"/>
        </w:rPr>
        <w:t>Equity securities include investments in both developed market and emerging market equity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securities. Fixed-income securities include primarily U.S. and non-U.S. government fixed-income securities and non-U.S. corporate fixed-income securities, as well as securitized debt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Deposit Administration Fund. </w:t>
      </w:r>
      <w:r>
        <w:rPr>
          <w:rFonts w:ascii="Arial" w:cs="Arial" w:eastAsia="Arial" w:hAnsi="Arial"/>
          <w:sz w:val="17"/>
          <w:szCs w:val="17"/>
          <w:color w:val="auto"/>
        </w:rPr>
        <w:t>This investment is a stable value investment product structured to provide investment income.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Alternatives. </w:t>
      </w:r>
      <w:r>
        <w:rPr>
          <w:rFonts w:ascii="Arial" w:cs="Arial" w:eastAsia="Arial" w:hAnsi="Arial"/>
          <w:sz w:val="17"/>
          <w:szCs w:val="17"/>
          <w:color w:val="auto"/>
        </w:rPr>
        <w:t>Alternative investments consist primarily of investments in hedge funds, real estate and private equity interests.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Other investments. </w:t>
      </w:r>
      <w:r>
        <w:rPr>
          <w:rFonts w:ascii="Arial" w:cs="Arial" w:eastAsia="Arial" w:hAnsi="Arial"/>
          <w:sz w:val="19"/>
          <w:szCs w:val="19"/>
          <w:color w:val="auto"/>
        </w:rPr>
        <w:t>Other investments consist of primarily cash equivalents, as well as insurance contracts.</w:t>
      </w:r>
    </w:p>
    <w:p>
      <w:pPr>
        <w:sectPr>
          <w:pgSz w:w="11880" w:h="15480" w:orient="portrait"/>
          <w:cols w:equalWidth="0" w:num="1">
            <w:col w:w="9880"/>
          </w:cols>
          <w:pgMar w:left="960" w:top="586" w:right="104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9880"/>
          </w:cols>
          <w:pgMar w:left="960" w:top="586" w:right="1040" w:bottom="33" w:gutter="0" w:footer="0" w:header="0"/>
          <w:type w:val="continuous"/>
        </w:sectPr>
      </w:pPr>
    </w:p>
    <w:bookmarkStart w:id="84" w:name="page85"/>
    <w:bookmarkEnd w:id="84"/>
    <w:p>
      <w:pPr>
        <w:ind w:right="420"/>
        <w:spacing w:after="0" w:line="294" w:lineRule="auto"/>
        <w:rPr>
          <w:sz w:val="20"/>
          <w:szCs w:val="20"/>
          <w:color w:val="auto"/>
        </w:rPr>
      </w:pPr>
      <w:r>
        <w:rPr>
          <w:rFonts w:ascii="Arial" w:cs="Arial" w:eastAsia="Arial" w:hAnsi="Arial"/>
          <w:sz w:val="19"/>
          <w:szCs w:val="19"/>
          <w:color w:val="auto"/>
        </w:rPr>
        <w:t>The following table presents reconciliation of United's benefit plan assets measured at fair value using unobservable inputs (Level 3) for the years ended December 31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460" w:type="dxa"/>
            <w:vAlign w:val="bottom"/>
            <w:tcBorders>
              <w:bottom w:val="single" w:sz="8" w:color="E6E6E6"/>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2025</w:t>
            </w:r>
          </w:p>
        </w:tc>
        <w:tc>
          <w:tcPr>
            <w:tcW w:w="380" w:type="dxa"/>
            <w:vAlign w:val="bottom"/>
            <w:tcBorders>
              <w:bottom w:val="single" w:sz="8" w:color="auto"/>
            </w:tcBorders>
          </w:tcPr>
          <w:p>
            <w:pPr>
              <w:spacing w:after="0"/>
              <w:rPr>
                <w:sz w:val="22"/>
                <w:szCs w:val="22"/>
                <w:color w:val="auto"/>
              </w:rPr>
            </w:pPr>
          </w:p>
        </w:tc>
        <w:tc>
          <w:tcPr>
            <w:tcW w:w="14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2024</w:t>
            </w:r>
          </w:p>
        </w:tc>
      </w:tr>
      <w:tr>
        <w:trPr>
          <w:trHeight w:val="281"/>
        </w:trPr>
        <w:tc>
          <w:tcPr>
            <w:tcW w:w="7460" w:type="dxa"/>
            <w:vAlign w:val="bottom"/>
            <w:shd w:val="clear" w:color="auto" w:fill="E6E6E6"/>
          </w:tcPr>
          <w:p>
            <w:pPr>
              <w:ind w:left="60"/>
              <w:spacing w:after="0"/>
              <w:rPr>
                <w:sz w:val="20"/>
                <w:szCs w:val="20"/>
                <w:color w:val="auto"/>
              </w:rPr>
            </w:pPr>
            <w:r>
              <w:rPr>
                <w:rFonts w:ascii="Arial" w:cs="Arial" w:eastAsia="Arial" w:hAnsi="Arial"/>
                <w:sz w:val="19"/>
                <w:szCs w:val="19"/>
                <w:color w:val="auto"/>
              </w:rPr>
              <w:t>Balance at beginning of year</w:t>
            </w:r>
          </w:p>
        </w:tc>
        <w:tc>
          <w:tcPr>
            <w:tcW w:w="760" w:type="dxa"/>
            <w:vAlign w:val="bottom"/>
            <w:shd w:val="clear" w:color="auto" w:fill="E6E6E6"/>
          </w:tcPr>
          <w:p>
            <w:pPr>
              <w:jc w:val="right"/>
              <w:ind w:right="523"/>
              <w:spacing w:after="0"/>
              <w:rPr>
                <w:sz w:val="20"/>
                <w:szCs w:val="20"/>
                <w:color w:val="auto"/>
              </w:rPr>
            </w:pPr>
            <w:r>
              <w:rPr>
                <w:rFonts w:ascii="Arial" w:cs="Arial" w:eastAsia="Arial" w:hAnsi="Arial"/>
                <w:sz w:val="19"/>
                <w:szCs w:val="19"/>
                <w:color w:val="auto"/>
              </w:rPr>
              <w:t>$</w:t>
            </w:r>
          </w:p>
        </w:tc>
        <w:tc>
          <w:tcPr>
            <w:tcW w:w="380" w:type="dxa"/>
            <w:vAlign w:val="bottom"/>
            <w:shd w:val="clear" w:color="auto" w:fill="E6E6E6"/>
          </w:tcPr>
          <w:p>
            <w:pPr>
              <w:jc w:val="right"/>
              <w:spacing w:after="0"/>
              <w:rPr>
                <w:sz w:val="20"/>
                <w:szCs w:val="20"/>
                <w:color w:val="auto"/>
              </w:rPr>
            </w:pPr>
            <w:r>
              <w:rPr>
                <w:rFonts w:ascii="Arial" w:cs="Arial" w:eastAsia="Arial" w:hAnsi="Arial"/>
                <w:sz w:val="19"/>
                <w:szCs w:val="19"/>
                <w:color w:val="auto"/>
                <w:w w:val="88"/>
              </w:rPr>
              <w:t>314</w:t>
            </w:r>
          </w:p>
        </w:tc>
        <w:tc>
          <w:tcPr>
            <w:tcW w:w="400" w:type="dxa"/>
            <w:vAlign w:val="bottom"/>
            <w:gridSpan w:val="2"/>
            <w:shd w:val="clear" w:color="auto" w:fill="E6E6E6"/>
          </w:tcPr>
          <w:p>
            <w:pPr>
              <w:jc w:val="right"/>
              <w:ind w:right="120"/>
              <w:spacing w:after="0"/>
              <w:rPr>
                <w:sz w:val="20"/>
                <w:szCs w:val="20"/>
                <w:color w:val="auto"/>
              </w:rPr>
            </w:pPr>
            <w:r>
              <w:rPr>
                <w:rFonts w:ascii="Arial" w:cs="Arial" w:eastAsia="Arial" w:hAnsi="Arial"/>
                <w:sz w:val="19"/>
                <w:szCs w:val="19"/>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322</w:t>
            </w:r>
          </w:p>
        </w:tc>
      </w:tr>
      <w:tr>
        <w:trPr>
          <w:trHeight w:val="285"/>
        </w:trPr>
        <w:tc>
          <w:tcPr>
            <w:tcW w:w="7460" w:type="dxa"/>
            <w:vAlign w:val="bottom"/>
          </w:tcPr>
          <w:p>
            <w:pPr>
              <w:ind w:left="280"/>
              <w:spacing w:after="0"/>
              <w:rPr>
                <w:sz w:val="20"/>
                <w:szCs w:val="20"/>
                <w:color w:val="auto"/>
              </w:rPr>
            </w:pPr>
            <w:r>
              <w:rPr>
                <w:rFonts w:ascii="Arial" w:cs="Arial" w:eastAsia="Arial" w:hAnsi="Arial"/>
                <w:sz w:val="19"/>
                <w:szCs w:val="19"/>
                <w:color w:val="auto"/>
              </w:rPr>
              <w:t>Actual return (loss) on plan assets: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7460" w:type="dxa"/>
            <w:vAlign w:val="bottom"/>
            <w:shd w:val="clear" w:color="auto" w:fill="E6E6E6"/>
          </w:tcPr>
          <w:p>
            <w:pPr>
              <w:ind w:left="540"/>
              <w:spacing w:after="0"/>
              <w:rPr>
                <w:sz w:val="20"/>
                <w:szCs w:val="20"/>
                <w:color w:val="auto"/>
              </w:rPr>
            </w:pPr>
            <w:r>
              <w:rPr>
                <w:rFonts w:ascii="Arial" w:cs="Arial" w:eastAsia="Arial" w:hAnsi="Arial"/>
                <w:sz w:val="19"/>
                <w:szCs w:val="19"/>
                <w:color w:val="auto"/>
              </w:rPr>
              <w:t>Sold during the year</w:t>
            </w:r>
          </w:p>
        </w:tc>
        <w:tc>
          <w:tcPr>
            <w:tcW w:w="760" w:type="dxa"/>
            <w:vAlign w:val="bottom"/>
            <w:shd w:val="clear" w:color="auto" w:fill="E6E6E6"/>
          </w:tcPr>
          <w:p>
            <w:pPr>
              <w:spacing w:after="0"/>
              <w:rPr>
                <w:sz w:val="24"/>
                <w:szCs w:val="24"/>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w:t>
            </w:r>
          </w:p>
        </w:tc>
      </w:tr>
      <w:tr>
        <w:trPr>
          <w:trHeight w:val="285"/>
        </w:trPr>
        <w:tc>
          <w:tcPr>
            <w:tcW w:w="7460" w:type="dxa"/>
            <w:vAlign w:val="bottom"/>
          </w:tcPr>
          <w:p>
            <w:pPr>
              <w:ind w:left="540"/>
              <w:spacing w:after="0"/>
              <w:rPr>
                <w:sz w:val="20"/>
                <w:szCs w:val="20"/>
                <w:color w:val="auto"/>
              </w:rPr>
            </w:pPr>
            <w:r>
              <w:rPr>
                <w:rFonts w:ascii="Arial" w:cs="Arial" w:eastAsia="Arial" w:hAnsi="Arial"/>
                <w:sz w:val="19"/>
                <w:szCs w:val="19"/>
                <w:color w:val="auto"/>
              </w:rPr>
              <w:t>Held at year end</w:t>
            </w:r>
          </w:p>
        </w:tc>
        <w:tc>
          <w:tcPr>
            <w:tcW w:w="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36</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87"/>
        </w:trPr>
        <w:tc>
          <w:tcPr>
            <w:tcW w:w="746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9"/>
                <w:szCs w:val="19"/>
                <w:color w:val="auto"/>
              </w:rPr>
              <w:t>Purchases, sales, issuances and settlements (net)</w:t>
            </w:r>
          </w:p>
        </w:tc>
        <w:tc>
          <w:tcPr>
            <w:tcW w:w="760" w:type="dxa"/>
            <w:vAlign w:val="bottom"/>
            <w:tcBorders>
              <w:bottom w:val="single" w:sz="8" w:color="auto"/>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w:t>
            </w:r>
          </w:p>
        </w:tc>
        <w:tc>
          <w:tcPr>
            <w:tcW w:w="1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(15)</w:t>
            </w:r>
          </w:p>
        </w:tc>
      </w:tr>
      <w:tr>
        <w:trPr>
          <w:trHeight w:val="252"/>
        </w:trPr>
        <w:tc>
          <w:tcPr>
            <w:tcW w:w="7460" w:type="dxa"/>
            <w:vAlign w:val="bottom"/>
          </w:tcPr>
          <w:p>
            <w:pPr>
              <w:ind w:left="60"/>
              <w:spacing w:after="0"/>
              <w:rPr>
                <w:sz w:val="20"/>
                <w:szCs w:val="20"/>
                <w:color w:val="auto"/>
              </w:rPr>
            </w:pPr>
            <w:r>
              <w:rPr>
                <w:rFonts w:ascii="Arial" w:cs="Arial" w:eastAsia="Arial" w:hAnsi="Arial"/>
                <w:sz w:val="19"/>
                <w:szCs w:val="19"/>
                <w:color w:val="auto"/>
              </w:rPr>
              <w:t>Balance at end of year</w:t>
            </w:r>
          </w:p>
        </w:tc>
        <w:tc>
          <w:tcPr>
            <w:tcW w:w="760" w:type="dxa"/>
            <w:vAlign w:val="bottom"/>
          </w:tcPr>
          <w:p>
            <w:pPr>
              <w:jc w:val="right"/>
              <w:ind w:right="523"/>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w w:val="88"/>
              </w:rPr>
              <w:t>345</w:t>
            </w:r>
          </w:p>
        </w:tc>
        <w:tc>
          <w:tcPr>
            <w:tcW w:w="40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314</w:t>
            </w:r>
          </w:p>
        </w:tc>
      </w:tr>
      <w:tr>
        <w:trPr>
          <w:trHeight w:val="20"/>
        </w:trPr>
        <w:tc>
          <w:tcPr>
            <w:tcW w:w="7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-1139190</wp:posOffset>
            </wp:positionV>
            <wp:extent cx="156845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12">
                      <a:extLst>
                        <a:ext uri="{28A0092B-C50C-407E-A947-70E740481C1C}"/>
                      </a:extLst>
                    </a:blip>
                    <a:srcRect/>
                    <a:stretch>
                      <a:fillRect/>
                    </a:stretch>
                  </pic:blipFill>
                  <pic:spPr bwMode="auto">
                    <a:xfrm>
                      <a:off x="0" y="0"/>
                      <a:ext cx="1568450" cy="254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-215265</wp:posOffset>
            </wp:positionV>
            <wp:extent cx="156845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13">
                      <a:extLst>
                        <a:ext uri="{28A0092B-C50C-407E-A947-70E740481C1C}"/>
                      </a:extLst>
                    </a:blip>
                    <a:srcRect/>
                    <a:stretch>
                      <a:fillRect/>
                    </a:stretch>
                  </pic:blipFill>
                  <pic:spPr bwMode="auto">
                    <a:xfrm>
                      <a:off x="0" y="0"/>
                      <a:ext cx="1568450" cy="25400"/>
                    </a:xfrm>
                    <a:prstGeom prst="rect">
                      <a:avLst/>
                    </a:prstGeom>
                    <a:noFill/>
                  </pic:spPr>
                </pic:pic>
              </a:graphicData>
            </a:graphic>
          </wp:anchor>
        </w:drawing>
      </w:r>
    </w:p>
    <w:p>
      <w:pPr>
        <w:spacing w:after="0" w:line="65"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Funding requirements for tax-qualified defined benefit pension plans are determined by government regulations. The Company expects to make required contributions to its tax-qualified defined benefit pension plans in 2026. In 2026, anticipated employer contributions to all of United's pension and postretirement plans are at least $259 million and approximately $66 million, respectively.</w:t>
      </w:r>
    </w:p>
    <w:p>
      <w:pPr>
        <w:spacing w:after="0" w:line="130" w:lineRule="exact"/>
        <w:rPr>
          <w:sz w:val="20"/>
          <w:szCs w:val="20"/>
          <w:color w:val="auto"/>
        </w:rPr>
      </w:pPr>
    </w:p>
    <w:p>
      <w:pPr>
        <w:ind w:right="920"/>
        <w:spacing w:after="0" w:line="323" w:lineRule="auto"/>
        <w:rPr>
          <w:sz w:val="20"/>
          <w:szCs w:val="20"/>
          <w:color w:val="auto"/>
        </w:rPr>
      </w:pPr>
      <w:r>
        <w:rPr>
          <w:rFonts w:ascii="Arial" w:cs="Arial" w:eastAsia="Arial" w:hAnsi="Arial"/>
          <w:sz w:val="18"/>
          <w:szCs w:val="18"/>
          <w:color w:val="auto"/>
        </w:rPr>
        <w:t>The estimated future benefit payments, net of expected participant contributions, in United's pension plans and other postretirement benefit plans for the next ten years, as of December 31, 2025, are as follows (in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restart"/>
          </w:tcPr>
          <w:p>
            <w:pPr>
              <w:jc w:val="right"/>
              <w:ind w:right="303"/>
              <w:spacing w:after="0"/>
              <w:rPr>
                <w:sz w:val="20"/>
                <w:szCs w:val="20"/>
                <w:color w:val="auto"/>
              </w:rPr>
            </w:pPr>
            <w:r>
              <w:rPr>
                <w:rFonts w:ascii="Arial" w:cs="Arial" w:eastAsia="Arial" w:hAnsi="Arial"/>
                <w:sz w:val="19"/>
                <w:szCs w:val="19"/>
                <w:b w:val="1"/>
                <w:bCs w:val="1"/>
                <w:color w:val="auto"/>
              </w:rPr>
              <w:t>Pension</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83"/>
              <w:spacing w:after="0"/>
              <w:rPr>
                <w:sz w:val="20"/>
                <w:szCs w:val="20"/>
                <w:color w:val="auto"/>
              </w:rPr>
            </w:pPr>
            <w:r>
              <w:rPr>
                <w:rFonts w:ascii="Arial" w:cs="Arial" w:eastAsia="Arial" w:hAnsi="Arial"/>
                <w:sz w:val="19"/>
                <w:szCs w:val="19"/>
                <w:b w:val="1"/>
                <w:bCs w:val="1"/>
                <w:color w:val="auto"/>
              </w:rPr>
              <w:t>Other</w:t>
            </w:r>
          </w:p>
        </w:tc>
        <w:tc>
          <w:tcPr>
            <w:tcW w:w="0" w:type="dxa"/>
            <w:vAlign w:val="bottom"/>
          </w:tcPr>
          <w:p>
            <w:pPr>
              <w:spacing w:after="0"/>
              <w:rPr>
                <w:sz w:val="1"/>
                <w:szCs w:val="1"/>
                <w:color w:val="auto"/>
              </w:rPr>
            </w:pPr>
          </w:p>
        </w:tc>
      </w:tr>
      <w:tr>
        <w:trPr>
          <w:trHeight w:val="255"/>
        </w:trPr>
        <w:tc>
          <w:tcPr>
            <w:tcW w:w="698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46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9"/>
                <w:szCs w:val="19"/>
                <w:b w:val="1"/>
                <w:bCs w:val="1"/>
                <w:color w:val="auto"/>
                <w:w w:val="98"/>
              </w:rPr>
              <w:t>Postretirement</w:t>
            </w:r>
          </w:p>
        </w:tc>
        <w:tc>
          <w:tcPr>
            <w:tcW w:w="0" w:type="dxa"/>
            <w:vAlign w:val="bottom"/>
          </w:tcPr>
          <w:p>
            <w:pPr>
              <w:spacing w:after="0"/>
              <w:rPr>
                <w:sz w:val="1"/>
                <w:szCs w:val="1"/>
                <w:color w:val="auto"/>
              </w:rPr>
            </w:pPr>
          </w:p>
        </w:tc>
      </w:tr>
      <w:tr>
        <w:trPr>
          <w:trHeight w:val="281"/>
        </w:trPr>
        <w:tc>
          <w:tcPr>
            <w:tcW w:w="698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2026</w:t>
            </w:r>
          </w:p>
        </w:tc>
        <w:tc>
          <w:tcPr>
            <w:tcW w:w="280" w:type="dxa"/>
            <w:vAlign w:val="bottom"/>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354</w:t>
            </w:r>
          </w:p>
        </w:tc>
        <w:tc>
          <w:tcPr>
            <w:tcW w:w="400" w:type="dxa"/>
            <w:vAlign w:val="bottom"/>
            <w:gridSpan w:val="2"/>
            <w:shd w:val="clear" w:color="auto" w:fill="E6E6E6"/>
          </w:tcPr>
          <w:p>
            <w:pPr>
              <w:jc w:val="right"/>
              <w:ind w:right="83"/>
              <w:spacing w:after="0"/>
              <w:rPr>
                <w:sz w:val="20"/>
                <w:szCs w:val="20"/>
                <w:color w:val="auto"/>
              </w:rPr>
            </w:pPr>
            <w:r>
              <w:rPr>
                <w:rFonts w:ascii="Arial" w:cs="Arial" w:eastAsia="Arial" w:hAnsi="Arial"/>
                <w:sz w:val="19"/>
                <w:szCs w:val="19"/>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75</w:t>
            </w:r>
          </w:p>
        </w:tc>
        <w:tc>
          <w:tcPr>
            <w:tcW w:w="0" w:type="dxa"/>
            <w:vAlign w:val="bottom"/>
          </w:tcPr>
          <w:p>
            <w:pPr>
              <w:spacing w:after="0"/>
              <w:rPr>
                <w:sz w:val="1"/>
                <w:szCs w:val="1"/>
                <w:color w:val="auto"/>
              </w:rPr>
            </w:pPr>
          </w:p>
        </w:tc>
      </w:tr>
      <w:tr>
        <w:trPr>
          <w:trHeight w:val="285"/>
        </w:trPr>
        <w:tc>
          <w:tcPr>
            <w:tcW w:w="6980" w:type="dxa"/>
            <w:vAlign w:val="bottom"/>
          </w:tcPr>
          <w:p>
            <w:pPr>
              <w:ind w:left="60"/>
              <w:spacing w:after="0"/>
              <w:rPr>
                <w:sz w:val="20"/>
                <w:szCs w:val="20"/>
                <w:color w:val="auto"/>
              </w:rPr>
            </w:pPr>
            <w:r>
              <w:rPr>
                <w:rFonts w:ascii="Arial" w:cs="Arial" w:eastAsia="Arial" w:hAnsi="Arial"/>
                <w:sz w:val="19"/>
                <w:szCs w:val="19"/>
                <w:color w:val="auto"/>
              </w:rPr>
              <w:t>2027</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367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66</w:t>
            </w:r>
          </w:p>
        </w:tc>
        <w:tc>
          <w:tcPr>
            <w:tcW w:w="0" w:type="dxa"/>
            <w:vAlign w:val="bottom"/>
          </w:tcPr>
          <w:p>
            <w:pPr>
              <w:spacing w:after="0"/>
              <w:rPr>
                <w:sz w:val="1"/>
                <w:szCs w:val="1"/>
                <w:color w:val="auto"/>
              </w:rPr>
            </w:pPr>
          </w:p>
        </w:tc>
      </w:tr>
      <w:tr>
        <w:trPr>
          <w:trHeight w:val="297"/>
        </w:trPr>
        <w:tc>
          <w:tcPr>
            <w:tcW w:w="698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2028</w:t>
            </w:r>
          </w:p>
        </w:tc>
        <w:tc>
          <w:tcPr>
            <w:tcW w:w="28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386</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62</w:t>
            </w:r>
          </w:p>
        </w:tc>
        <w:tc>
          <w:tcPr>
            <w:tcW w:w="0" w:type="dxa"/>
            <w:vAlign w:val="bottom"/>
          </w:tcPr>
          <w:p>
            <w:pPr>
              <w:spacing w:after="0"/>
              <w:rPr>
                <w:sz w:val="1"/>
                <w:szCs w:val="1"/>
                <w:color w:val="auto"/>
              </w:rPr>
            </w:pPr>
          </w:p>
        </w:tc>
      </w:tr>
      <w:tr>
        <w:trPr>
          <w:trHeight w:val="285"/>
        </w:trPr>
        <w:tc>
          <w:tcPr>
            <w:tcW w:w="6980" w:type="dxa"/>
            <w:vAlign w:val="bottom"/>
          </w:tcPr>
          <w:p>
            <w:pPr>
              <w:ind w:left="60"/>
              <w:spacing w:after="0"/>
              <w:rPr>
                <w:sz w:val="20"/>
                <w:szCs w:val="20"/>
                <w:color w:val="auto"/>
              </w:rPr>
            </w:pPr>
            <w:r>
              <w:rPr>
                <w:rFonts w:ascii="Arial" w:cs="Arial" w:eastAsia="Arial" w:hAnsi="Arial"/>
                <w:sz w:val="19"/>
                <w:szCs w:val="19"/>
                <w:color w:val="auto"/>
              </w:rPr>
              <w:t>2029</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383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59</w:t>
            </w:r>
          </w:p>
        </w:tc>
        <w:tc>
          <w:tcPr>
            <w:tcW w:w="0" w:type="dxa"/>
            <w:vAlign w:val="bottom"/>
          </w:tcPr>
          <w:p>
            <w:pPr>
              <w:spacing w:after="0"/>
              <w:rPr>
                <w:sz w:val="1"/>
                <w:szCs w:val="1"/>
                <w:color w:val="auto"/>
              </w:rPr>
            </w:pPr>
          </w:p>
        </w:tc>
      </w:tr>
      <w:tr>
        <w:trPr>
          <w:trHeight w:val="297"/>
        </w:trPr>
        <w:tc>
          <w:tcPr>
            <w:tcW w:w="698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2030</w:t>
            </w:r>
          </w:p>
        </w:tc>
        <w:tc>
          <w:tcPr>
            <w:tcW w:w="28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383</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54</w:t>
            </w:r>
          </w:p>
        </w:tc>
        <w:tc>
          <w:tcPr>
            <w:tcW w:w="0" w:type="dxa"/>
            <w:vAlign w:val="bottom"/>
          </w:tcPr>
          <w:p>
            <w:pPr>
              <w:spacing w:after="0"/>
              <w:rPr>
                <w:sz w:val="1"/>
                <w:szCs w:val="1"/>
                <w:color w:val="auto"/>
              </w:rPr>
            </w:pPr>
          </w:p>
        </w:tc>
      </w:tr>
      <w:tr>
        <w:trPr>
          <w:trHeight w:val="278"/>
        </w:trPr>
        <w:tc>
          <w:tcPr>
            <w:tcW w:w="6980" w:type="dxa"/>
            <w:vAlign w:val="bottom"/>
          </w:tcPr>
          <w:p>
            <w:pPr>
              <w:ind w:left="60"/>
              <w:spacing w:after="0"/>
              <w:rPr>
                <w:sz w:val="20"/>
                <w:szCs w:val="20"/>
                <w:color w:val="auto"/>
              </w:rPr>
            </w:pPr>
            <w:r>
              <w:rPr>
                <w:rFonts w:ascii="Arial" w:cs="Arial" w:eastAsia="Arial" w:hAnsi="Arial"/>
                <w:sz w:val="19"/>
                <w:szCs w:val="19"/>
                <w:color w:val="auto"/>
              </w:rPr>
              <w:t>Years 2031 – 2035</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1,927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-1113155</wp:posOffset>
            </wp:positionV>
            <wp:extent cx="94932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14">
                      <a:extLst>
                        <a:ext uri="{28A0092B-C50C-407E-A947-70E740481C1C}"/>
                      </a:extLst>
                    </a:blip>
                    <a:srcRect/>
                    <a:stretch>
                      <a:fillRect/>
                    </a:stretch>
                  </pic:blipFill>
                  <pic:spPr bwMode="auto">
                    <a:xfrm>
                      <a:off x="0" y="0"/>
                      <a:ext cx="949325" cy="25400"/>
                    </a:xfrm>
                    <a:prstGeom prst="rect">
                      <a:avLst/>
                    </a:prstGeom>
                    <a:noFill/>
                  </pic:spPr>
                </pic:pic>
              </a:graphicData>
            </a:graphic>
          </wp:anchor>
        </w:drawing>
      </w:r>
    </w:p>
    <w:p>
      <w:pPr>
        <w:spacing w:after="0" w:line="199"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b w:val="1"/>
          <w:bCs w:val="1"/>
          <w:i w:val="1"/>
          <w:iCs w:val="1"/>
          <w:color w:val="auto"/>
        </w:rPr>
        <w:t xml:space="preserve">Defined Contribution Plans. </w:t>
      </w:r>
      <w:r>
        <w:rPr>
          <w:rFonts w:ascii="Arial" w:cs="Arial" w:eastAsia="Arial" w:hAnsi="Arial"/>
          <w:sz w:val="19"/>
          <w:szCs w:val="19"/>
          <w:color w:val="auto"/>
        </w:rPr>
        <w:t>United offers several defined contribution plans to its employees. Depending upon the employee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group, employer contributions consist of matching contributions and/or non-elective employer contributions. United's employer contribution percentages to its primary 401(k) defined contribution plans vary from 1% to 17% of eligible earnings depending on the terms of each plan. United recorded expenses for its primary 401(k) defined contribution plans of $1.3 billion, $1.2 billion and $960 million in the years ended December 31, 2025, 2024 and 2023, respectively, within Salaries and related costs in the Company's statements of consolidated operations.</w:t>
      </w:r>
    </w:p>
    <w:p>
      <w:pPr>
        <w:spacing w:after="0" w:line="130"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 xml:space="preserve">Multi-Employer Plans. </w:t>
      </w:r>
      <w:r>
        <w:rPr>
          <w:rFonts w:ascii="Arial" w:cs="Arial" w:eastAsia="Arial" w:hAnsi="Arial"/>
          <w:sz w:val="18"/>
          <w:szCs w:val="18"/>
          <w:color w:val="auto"/>
        </w:rPr>
        <w:t>United contributes to the IAM National Pension Plan ("IAM Plan") under the terms of collective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bargaining agreements that cover certain of its employees represented by the International Association of Machinists and Aerospace Workers (the "IAM"). The IAM Plan provides for retirement, death and/or termination benefits for eligible employees within the applicable collective bargaining units, based on specific eligibility and participation requirements, vesting periods and benefit formulas. The risks of participating in these multi-employer plans are different from single-employer plans, as United may be subject to additional risks that others do not meet their obligations, which in certain circumstances could revert to United, or if a withdrawal from a multi-employer plan occurs for United.</w:t>
      </w:r>
    </w:p>
    <w:p>
      <w:pPr>
        <w:spacing w:after="0" w:line="125"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The IAM Plan reported $640 million of employer contributions for the year ended December 31, 2024. For 2024, the Company's contributions to the IAM Plan represented more than 5% of total contributions to the IAM Plan. The 2025 information is not available as the applicable Form 5500 is not final for the plan year. United's participation in the IAM Plan for the annual period ended December 31, 2025 is outlined in the table below.</w:t>
      </w:r>
    </w:p>
    <w:p>
      <w:pPr>
        <w:sectPr>
          <w:pgSz w:w="11880" w:h="15480" w:orient="portrait"/>
          <w:cols w:equalWidth="0" w:num="1">
            <w:col w:w="9960"/>
          </w:cols>
          <w:pgMar w:left="960" w:top="586"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9960"/>
          </w:cols>
          <w:pgMar w:left="960" w:top="586" w:right="960" w:bottom="33"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77"/>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color w:val="auto"/>
              </w:rPr>
              <w:t>Pension Fund</w:t>
            </w:r>
          </w:p>
        </w:tc>
        <w:tc>
          <w:tcPr>
            <w:tcW w:w="5520" w:type="dxa"/>
            <w:vAlign w:val="bottom"/>
            <w:shd w:val="clear" w:color="auto" w:fill="E6E6E6"/>
          </w:tcPr>
          <w:p>
            <w:pPr>
              <w:ind w:left="140"/>
              <w:spacing w:after="0"/>
              <w:rPr>
                <w:sz w:val="20"/>
                <w:szCs w:val="20"/>
                <w:color w:val="auto"/>
              </w:rPr>
            </w:pPr>
            <w:r>
              <w:rPr>
                <w:rFonts w:ascii="Arial" w:cs="Arial" w:eastAsia="Arial" w:hAnsi="Arial"/>
                <w:sz w:val="19"/>
                <w:szCs w:val="19"/>
                <w:color w:val="auto"/>
              </w:rPr>
              <w:t>IAM National Pension Fund ("IAM Fund")</w:t>
            </w:r>
          </w:p>
        </w:tc>
      </w:tr>
      <w:tr>
        <w:trPr>
          <w:trHeight w:val="253"/>
        </w:trPr>
        <w:tc>
          <w:tcPr>
            <w:tcW w:w="4320" w:type="dxa"/>
            <w:vAlign w:val="bottom"/>
          </w:tcPr>
          <w:p>
            <w:pPr>
              <w:ind w:left="60"/>
              <w:spacing w:after="0"/>
              <w:rPr>
                <w:sz w:val="20"/>
                <w:szCs w:val="20"/>
                <w:color w:val="auto"/>
              </w:rPr>
            </w:pPr>
            <w:r>
              <w:rPr>
                <w:rFonts w:ascii="Arial" w:cs="Arial" w:eastAsia="Arial" w:hAnsi="Arial"/>
                <w:sz w:val="19"/>
                <w:szCs w:val="19"/>
                <w:color w:val="auto"/>
              </w:rPr>
              <w:t>EIN/ Pension Plan Number</w:t>
            </w:r>
          </w:p>
        </w:tc>
        <w:tc>
          <w:tcPr>
            <w:tcW w:w="5520" w:type="dxa"/>
            <w:vAlign w:val="bottom"/>
          </w:tcPr>
          <w:p>
            <w:pPr>
              <w:ind w:left="140"/>
              <w:spacing w:after="0"/>
              <w:rPr>
                <w:sz w:val="20"/>
                <w:szCs w:val="20"/>
                <w:color w:val="auto"/>
              </w:rPr>
            </w:pPr>
            <w:r>
              <w:rPr>
                <w:rFonts w:ascii="Arial" w:cs="Arial" w:eastAsia="Arial" w:hAnsi="Arial"/>
                <w:sz w:val="19"/>
                <w:szCs w:val="19"/>
                <w:color w:val="auto"/>
              </w:rPr>
              <w:t>51-6031295 — 002</w:t>
            </w:r>
          </w:p>
        </w:tc>
      </w:tr>
      <w:tr>
        <w:trPr>
          <w:trHeight w:val="23"/>
        </w:trPr>
        <w:tc>
          <w:tcPr>
            <w:tcW w:w="4320" w:type="dxa"/>
            <w:vAlign w:val="bottom"/>
          </w:tcPr>
          <w:p>
            <w:pPr>
              <w:spacing w:after="0"/>
              <w:rPr>
                <w:sz w:val="2"/>
                <w:szCs w:val="2"/>
                <w:color w:val="auto"/>
              </w:rPr>
            </w:pPr>
          </w:p>
        </w:tc>
        <w:tc>
          <w:tcPr>
            <w:tcW w:w="5520" w:type="dxa"/>
            <w:vAlign w:val="bottom"/>
          </w:tcPr>
          <w:p>
            <w:pPr>
              <w:spacing w:after="0"/>
              <w:rPr>
                <w:sz w:val="2"/>
                <w:szCs w:val="2"/>
                <w:color w:val="auto"/>
              </w:rPr>
            </w:pPr>
          </w:p>
        </w:tc>
      </w:tr>
      <w:tr>
        <w:trPr>
          <w:trHeight w:val="185"/>
        </w:trPr>
        <w:tc>
          <w:tcPr>
            <w:tcW w:w="4320" w:type="dxa"/>
            <w:vAlign w:val="bottom"/>
            <w:shd w:val="clear" w:color="auto" w:fill="E6E6E6"/>
          </w:tcPr>
          <w:p>
            <w:pPr>
              <w:ind w:left="60"/>
              <w:spacing w:after="0" w:line="185" w:lineRule="exact"/>
              <w:rPr>
                <w:sz w:val="20"/>
                <w:szCs w:val="20"/>
                <w:color w:val="auto"/>
              </w:rPr>
            </w:pPr>
            <w:r>
              <w:rPr>
                <w:rFonts w:ascii="Arial" w:cs="Arial" w:eastAsia="Arial" w:hAnsi="Arial"/>
                <w:sz w:val="19"/>
                <w:szCs w:val="19"/>
                <w:color w:val="auto"/>
                <w:w w:val="95"/>
              </w:rPr>
              <w:t>Pension Protection Act Zone Status (2025 and 2024)</w:t>
            </w:r>
          </w:p>
        </w:tc>
        <w:tc>
          <w:tcPr>
            <w:tcW w:w="5520" w:type="dxa"/>
            <w:vAlign w:val="bottom"/>
            <w:shd w:val="clear" w:color="auto" w:fill="E6E6E6"/>
          </w:tcPr>
          <w:p>
            <w:pPr>
              <w:ind w:left="140"/>
              <w:spacing w:after="0" w:line="185" w:lineRule="exact"/>
              <w:rPr>
                <w:sz w:val="20"/>
                <w:szCs w:val="20"/>
                <w:color w:val="auto"/>
              </w:rPr>
            </w:pPr>
            <w:r>
              <w:rPr>
                <w:rFonts w:ascii="Arial" w:cs="Arial" w:eastAsia="Arial" w:hAnsi="Arial"/>
                <w:sz w:val="19"/>
                <w:szCs w:val="19"/>
                <w:color w:val="auto"/>
                <w:w w:val="98"/>
              </w:rPr>
              <w:t>Critical (2025 and 2024). A plan is in "critical" status if the funded</w:t>
            </w:r>
          </w:p>
        </w:tc>
      </w:tr>
      <w:tr>
        <w:trPr>
          <w:trHeight w:val="194"/>
        </w:trPr>
        <w:tc>
          <w:tcPr>
            <w:tcW w:w="4320" w:type="dxa"/>
            <w:vAlign w:val="bottom"/>
            <w:shd w:val="clear" w:color="auto" w:fill="E6E6E6"/>
          </w:tcPr>
          <w:p>
            <w:pPr>
              <w:spacing w:after="0"/>
              <w:rPr>
                <w:sz w:val="16"/>
                <w:szCs w:val="16"/>
                <w:color w:val="auto"/>
              </w:rPr>
            </w:pPr>
          </w:p>
        </w:tc>
        <w:tc>
          <w:tcPr>
            <w:tcW w:w="5520" w:type="dxa"/>
            <w:vAlign w:val="bottom"/>
            <w:shd w:val="clear" w:color="auto" w:fill="E6E6E6"/>
          </w:tcPr>
          <w:p>
            <w:pPr>
              <w:ind w:left="140"/>
              <w:spacing w:after="0" w:line="194" w:lineRule="exact"/>
              <w:rPr>
                <w:sz w:val="20"/>
                <w:szCs w:val="20"/>
                <w:color w:val="auto"/>
              </w:rPr>
            </w:pPr>
            <w:r>
              <w:rPr>
                <w:rFonts w:ascii="Arial" w:cs="Arial" w:eastAsia="Arial" w:hAnsi="Arial"/>
                <w:sz w:val="19"/>
                <w:szCs w:val="19"/>
                <w:color w:val="auto"/>
              </w:rPr>
              <w:t>percentage is less than 65 percent. On April 17, 2019, the IAM</w:t>
            </w:r>
          </w:p>
        </w:tc>
      </w:tr>
      <w:tr>
        <w:trPr>
          <w:trHeight w:val="194"/>
        </w:trPr>
        <w:tc>
          <w:tcPr>
            <w:tcW w:w="4320" w:type="dxa"/>
            <w:vAlign w:val="bottom"/>
            <w:shd w:val="clear" w:color="auto" w:fill="E6E6E6"/>
          </w:tcPr>
          <w:p>
            <w:pPr>
              <w:spacing w:after="0"/>
              <w:rPr>
                <w:sz w:val="16"/>
                <w:szCs w:val="16"/>
                <w:color w:val="auto"/>
              </w:rPr>
            </w:pPr>
          </w:p>
        </w:tc>
        <w:tc>
          <w:tcPr>
            <w:tcW w:w="5520" w:type="dxa"/>
            <w:vAlign w:val="bottom"/>
            <w:shd w:val="clear" w:color="auto" w:fill="E6E6E6"/>
          </w:tcPr>
          <w:p>
            <w:pPr>
              <w:ind w:left="140"/>
              <w:spacing w:after="0" w:line="194" w:lineRule="exact"/>
              <w:rPr>
                <w:sz w:val="20"/>
                <w:szCs w:val="20"/>
                <w:color w:val="auto"/>
              </w:rPr>
            </w:pPr>
            <w:r>
              <w:rPr>
                <w:rFonts w:ascii="Arial" w:cs="Arial" w:eastAsia="Arial" w:hAnsi="Arial"/>
                <w:sz w:val="19"/>
                <w:szCs w:val="19"/>
                <w:color w:val="auto"/>
                <w:w w:val="94"/>
              </w:rPr>
              <w:t>National Pension Fund Board of Trustees voluntarily elected for the</w:t>
            </w:r>
          </w:p>
        </w:tc>
      </w:tr>
      <w:tr>
        <w:trPr>
          <w:trHeight w:val="194"/>
        </w:trPr>
        <w:tc>
          <w:tcPr>
            <w:tcW w:w="4320" w:type="dxa"/>
            <w:vAlign w:val="bottom"/>
            <w:shd w:val="clear" w:color="auto" w:fill="E6E6E6"/>
          </w:tcPr>
          <w:p>
            <w:pPr>
              <w:spacing w:after="0"/>
              <w:rPr>
                <w:sz w:val="16"/>
                <w:szCs w:val="16"/>
                <w:color w:val="auto"/>
              </w:rPr>
            </w:pPr>
          </w:p>
        </w:tc>
        <w:tc>
          <w:tcPr>
            <w:tcW w:w="5520" w:type="dxa"/>
            <w:vAlign w:val="bottom"/>
            <w:shd w:val="clear" w:color="auto" w:fill="E6E6E6"/>
          </w:tcPr>
          <w:p>
            <w:pPr>
              <w:ind w:left="140"/>
              <w:spacing w:after="0" w:line="194" w:lineRule="exact"/>
              <w:rPr>
                <w:sz w:val="20"/>
                <w:szCs w:val="20"/>
                <w:color w:val="auto"/>
              </w:rPr>
            </w:pPr>
            <w:r>
              <w:rPr>
                <w:rFonts w:ascii="Arial" w:cs="Arial" w:eastAsia="Arial" w:hAnsi="Arial"/>
                <w:sz w:val="19"/>
                <w:szCs w:val="19"/>
                <w:color w:val="auto"/>
              </w:rPr>
              <w:t>IAM Fund to be in critical status effective for the plan year</w:t>
            </w:r>
          </w:p>
        </w:tc>
      </w:tr>
      <w:tr>
        <w:trPr>
          <w:trHeight w:val="194"/>
        </w:trPr>
        <w:tc>
          <w:tcPr>
            <w:tcW w:w="4320" w:type="dxa"/>
            <w:vAlign w:val="bottom"/>
            <w:shd w:val="clear" w:color="auto" w:fill="E6E6E6"/>
          </w:tcPr>
          <w:p>
            <w:pPr>
              <w:spacing w:after="0"/>
              <w:rPr>
                <w:sz w:val="16"/>
                <w:szCs w:val="16"/>
                <w:color w:val="auto"/>
              </w:rPr>
            </w:pPr>
          </w:p>
        </w:tc>
        <w:tc>
          <w:tcPr>
            <w:tcW w:w="5520" w:type="dxa"/>
            <w:vAlign w:val="bottom"/>
            <w:shd w:val="clear" w:color="auto" w:fill="E6E6E6"/>
          </w:tcPr>
          <w:p>
            <w:pPr>
              <w:ind w:left="140"/>
              <w:spacing w:after="0" w:line="194" w:lineRule="exact"/>
              <w:rPr>
                <w:sz w:val="20"/>
                <w:szCs w:val="20"/>
                <w:color w:val="auto"/>
              </w:rPr>
            </w:pPr>
            <w:r>
              <w:rPr>
                <w:rFonts w:ascii="Arial" w:cs="Arial" w:eastAsia="Arial" w:hAnsi="Arial"/>
                <w:sz w:val="19"/>
                <w:szCs w:val="19"/>
                <w:color w:val="auto"/>
                <w:w w:val="97"/>
              </w:rPr>
              <w:t>beginning January 1, 2019 to strengthen the IAM Fund's financial</w:t>
            </w:r>
          </w:p>
        </w:tc>
      </w:tr>
      <w:tr>
        <w:trPr>
          <w:trHeight w:val="194"/>
        </w:trPr>
        <w:tc>
          <w:tcPr>
            <w:tcW w:w="4320" w:type="dxa"/>
            <w:vAlign w:val="bottom"/>
            <w:shd w:val="clear" w:color="auto" w:fill="E6E6E6"/>
          </w:tcPr>
          <w:p>
            <w:pPr>
              <w:spacing w:after="0"/>
              <w:rPr>
                <w:sz w:val="16"/>
                <w:szCs w:val="16"/>
                <w:color w:val="auto"/>
              </w:rPr>
            </w:pPr>
          </w:p>
        </w:tc>
        <w:tc>
          <w:tcPr>
            <w:tcW w:w="5520" w:type="dxa"/>
            <w:vAlign w:val="bottom"/>
            <w:shd w:val="clear" w:color="auto" w:fill="E6E6E6"/>
          </w:tcPr>
          <w:p>
            <w:pPr>
              <w:ind w:left="140"/>
              <w:spacing w:after="0" w:line="194" w:lineRule="exact"/>
              <w:rPr>
                <w:sz w:val="20"/>
                <w:szCs w:val="20"/>
                <w:color w:val="auto"/>
              </w:rPr>
            </w:pPr>
            <w:r>
              <w:rPr>
                <w:rFonts w:ascii="Arial" w:cs="Arial" w:eastAsia="Arial" w:hAnsi="Arial"/>
                <w:sz w:val="19"/>
                <w:szCs w:val="19"/>
                <w:color w:val="auto"/>
                <w:w w:val="92"/>
              </w:rPr>
              <w:t>health. The IAM Fund's funded percentage was 88.0% as of January</w:t>
            </w:r>
          </w:p>
        </w:tc>
      </w:tr>
      <w:tr>
        <w:trPr>
          <w:trHeight w:val="265"/>
        </w:trPr>
        <w:tc>
          <w:tcPr>
            <w:tcW w:w="4320" w:type="dxa"/>
            <w:vAlign w:val="bottom"/>
            <w:tcBorders>
              <w:bottom w:val="single" w:sz="8" w:color="E6E6E6"/>
            </w:tcBorders>
            <w:shd w:val="clear" w:color="auto" w:fill="E6E6E6"/>
          </w:tcPr>
          <w:p>
            <w:pPr>
              <w:spacing w:after="0"/>
              <w:rPr>
                <w:sz w:val="23"/>
                <w:szCs w:val="23"/>
                <w:color w:val="auto"/>
              </w:rPr>
            </w:pPr>
          </w:p>
        </w:tc>
        <w:tc>
          <w:tcPr>
            <w:tcW w:w="5520" w:type="dxa"/>
            <w:vAlign w:val="bottom"/>
            <w:tcBorders>
              <w:bottom w:val="single" w:sz="8" w:color="E6E6E6"/>
            </w:tcBorders>
            <w:shd w:val="clear" w:color="auto" w:fill="E6E6E6"/>
          </w:tcPr>
          <w:p>
            <w:pPr>
              <w:ind w:left="140"/>
              <w:spacing w:after="0"/>
              <w:rPr>
                <w:sz w:val="20"/>
                <w:szCs w:val="20"/>
                <w:color w:val="auto"/>
              </w:rPr>
            </w:pPr>
            <w:r>
              <w:rPr>
                <w:rFonts w:ascii="Arial" w:cs="Arial" w:eastAsia="Arial" w:hAnsi="Arial"/>
                <w:sz w:val="19"/>
                <w:szCs w:val="19"/>
                <w:color w:val="auto"/>
              </w:rPr>
              <w:t>1, 2024.</w:t>
            </w:r>
          </w:p>
        </w:tc>
      </w:tr>
      <w:tr>
        <w:trPr>
          <w:trHeight w:val="185"/>
        </w:trPr>
        <w:tc>
          <w:tcPr>
            <w:tcW w:w="4320" w:type="dxa"/>
            <w:vAlign w:val="bottom"/>
          </w:tcPr>
          <w:p>
            <w:pPr>
              <w:ind w:left="60"/>
              <w:spacing w:after="0" w:line="185" w:lineRule="exact"/>
              <w:rPr>
                <w:sz w:val="20"/>
                <w:szCs w:val="20"/>
                <w:color w:val="auto"/>
              </w:rPr>
            </w:pPr>
            <w:r>
              <w:rPr>
                <w:rFonts w:ascii="Arial" w:cs="Arial" w:eastAsia="Arial" w:hAnsi="Arial"/>
                <w:sz w:val="19"/>
                <w:szCs w:val="19"/>
                <w:color w:val="auto"/>
              </w:rPr>
              <w:t>FIP/RP Status Pending/Implemented</w:t>
            </w:r>
          </w:p>
        </w:tc>
        <w:tc>
          <w:tcPr>
            <w:tcW w:w="5520" w:type="dxa"/>
            <w:vAlign w:val="bottom"/>
          </w:tcPr>
          <w:p>
            <w:pPr>
              <w:ind w:left="140"/>
              <w:spacing w:after="0" w:line="185" w:lineRule="exact"/>
              <w:rPr>
                <w:sz w:val="20"/>
                <w:szCs w:val="20"/>
                <w:color w:val="auto"/>
              </w:rPr>
            </w:pPr>
            <w:r>
              <w:rPr>
                <w:rFonts w:ascii="Arial" w:cs="Arial" w:eastAsia="Arial" w:hAnsi="Arial"/>
                <w:sz w:val="19"/>
                <w:szCs w:val="19"/>
                <w:color w:val="auto"/>
              </w:rPr>
              <w:t>A 10-year Rehabilitation Plan effective, January 1, 2022, was</w:t>
            </w:r>
          </w:p>
        </w:tc>
      </w:tr>
      <w:tr>
        <w:trPr>
          <w:trHeight w:val="194"/>
        </w:trPr>
        <w:tc>
          <w:tcPr>
            <w:tcW w:w="4320" w:type="dxa"/>
            <w:vAlign w:val="bottom"/>
          </w:tcPr>
          <w:p>
            <w:pPr>
              <w:spacing w:after="0"/>
              <w:rPr>
                <w:sz w:val="16"/>
                <w:szCs w:val="16"/>
                <w:color w:val="auto"/>
              </w:rPr>
            </w:pPr>
          </w:p>
        </w:tc>
        <w:tc>
          <w:tcPr>
            <w:tcW w:w="5520" w:type="dxa"/>
            <w:vAlign w:val="bottom"/>
          </w:tcPr>
          <w:p>
            <w:pPr>
              <w:ind w:left="140"/>
              <w:spacing w:after="0" w:line="194" w:lineRule="exact"/>
              <w:rPr>
                <w:sz w:val="20"/>
                <w:szCs w:val="20"/>
                <w:color w:val="auto"/>
              </w:rPr>
            </w:pPr>
            <w:r>
              <w:rPr>
                <w:rFonts w:ascii="Arial" w:cs="Arial" w:eastAsia="Arial" w:hAnsi="Arial"/>
                <w:sz w:val="19"/>
                <w:szCs w:val="19"/>
                <w:color w:val="auto"/>
                <w:w w:val="98"/>
              </w:rPr>
              <w:t>adopted on April 17, 2019 that requires the Company to make an</w:t>
            </w:r>
          </w:p>
        </w:tc>
      </w:tr>
      <w:tr>
        <w:trPr>
          <w:trHeight w:val="194"/>
        </w:trPr>
        <w:tc>
          <w:tcPr>
            <w:tcW w:w="4320" w:type="dxa"/>
            <w:vAlign w:val="bottom"/>
          </w:tcPr>
          <w:p>
            <w:pPr>
              <w:spacing w:after="0"/>
              <w:rPr>
                <w:sz w:val="16"/>
                <w:szCs w:val="16"/>
                <w:color w:val="auto"/>
              </w:rPr>
            </w:pPr>
          </w:p>
        </w:tc>
        <w:tc>
          <w:tcPr>
            <w:tcW w:w="5520" w:type="dxa"/>
            <w:vAlign w:val="bottom"/>
          </w:tcPr>
          <w:p>
            <w:pPr>
              <w:ind w:left="140"/>
              <w:spacing w:after="0" w:line="194" w:lineRule="exact"/>
              <w:rPr>
                <w:sz w:val="20"/>
                <w:szCs w:val="20"/>
                <w:color w:val="auto"/>
              </w:rPr>
            </w:pPr>
            <w:r>
              <w:rPr>
                <w:rFonts w:ascii="Arial" w:cs="Arial" w:eastAsia="Arial" w:hAnsi="Arial"/>
                <w:sz w:val="19"/>
                <w:szCs w:val="19"/>
                <w:color w:val="auto"/>
              </w:rPr>
              <w:t>additional contribution of 2.5% of the hourly contribution rate,</w:t>
            </w:r>
          </w:p>
        </w:tc>
      </w:tr>
      <w:tr>
        <w:trPr>
          <w:trHeight w:val="194"/>
        </w:trPr>
        <w:tc>
          <w:tcPr>
            <w:tcW w:w="4320" w:type="dxa"/>
            <w:vAlign w:val="bottom"/>
          </w:tcPr>
          <w:p>
            <w:pPr>
              <w:spacing w:after="0"/>
              <w:rPr>
                <w:sz w:val="16"/>
                <w:szCs w:val="16"/>
                <w:color w:val="auto"/>
              </w:rPr>
            </w:pPr>
          </w:p>
        </w:tc>
        <w:tc>
          <w:tcPr>
            <w:tcW w:w="5520" w:type="dxa"/>
            <w:vAlign w:val="bottom"/>
          </w:tcPr>
          <w:p>
            <w:pPr>
              <w:ind w:left="140"/>
              <w:spacing w:after="0" w:line="194" w:lineRule="exact"/>
              <w:rPr>
                <w:sz w:val="20"/>
                <w:szCs w:val="20"/>
                <w:color w:val="auto"/>
              </w:rPr>
            </w:pPr>
            <w:r>
              <w:rPr>
                <w:rFonts w:ascii="Arial" w:cs="Arial" w:eastAsia="Arial" w:hAnsi="Arial"/>
                <w:sz w:val="19"/>
                <w:szCs w:val="19"/>
                <w:color w:val="auto"/>
              </w:rPr>
              <w:t>compounded annually for the length of the Rehabilitation Plan,</w:t>
            </w:r>
          </w:p>
        </w:tc>
      </w:tr>
      <w:tr>
        <w:trPr>
          <w:trHeight w:val="260"/>
        </w:trPr>
        <w:tc>
          <w:tcPr>
            <w:tcW w:w="4320" w:type="dxa"/>
            <w:vAlign w:val="bottom"/>
          </w:tcPr>
          <w:p>
            <w:pPr>
              <w:spacing w:after="0"/>
              <w:rPr>
                <w:sz w:val="22"/>
                <w:szCs w:val="22"/>
                <w:color w:val="auto"/>
              </w:rPr>
            </w:pPr>
          </w:p>
        </w:tc>
        <w:tc>
          <w:tcPr>
            <w:tcW w:w="5520" w:type="dxa"/>
            <w:vAlign w:val="bottom"/>
          </w:tcPr>
          <w:p>
            <w:pPr>
              <w:ind w:left="140"/>
              <w:spacing w:after="0"/>
              <w:rPr>
                <w:sz w:val="20"/>
                <w:szCs w:val="20"/>
                <w:color w:val="auto"/>
              </w:rPr>
            </w:pPr>
            <w:r>
              <w:rPr>
                <w:rFonts w:ascii="Arial" w:cs="Arial" w:eastAsia="Arial" w:hAnsi="Arial"/>
                <w:sz w:val="19"/>
                <w:szCs w:val="19"/>
                <w:color w:val="auto"/>
              </w:rPr>
              <w:t>effective June 1, 2019.</w:t>
            </w:r>
          </w:p>
        </w:tc>
      </w:tr>
      <w:tr>
        <w:trPr>
          <w:trHeight w:val="192"/>
        </w:trPr>
        <w:tc>
          <w:tcPr>
            <w:tcW w:w="4320" w:type="dxa"/>
            <w:vAlign w:val="bottom"/>
            <w:shd w:val="clear" w:color="auto" w:fill="E6E6E6"/>
          </w:tcPr>
          <w:p>
            <w:pPr>
              <w:ind w:left="60"/>
              <w:spacing w:after="0" w:line="192" w:lineRule="exact"/>
              <w:rPr>
                <w:sz w:val="20"/>
                <w:szCs w:val="20"/>
                <w:color w:val="auto"/>
              </w:rPr>
            </w:pPr>
            <w:r>
              <w:rPr>
                <w:rFonts w:ascii="Arial" w:cs="Arial" w:eastAsia="Arial" w:hAnsi="Arial"/>
                <w:sz w:val="19"/>
                <w:szCs w:val="19"/>
                <w:color w:val="auto"/>
              </w:rPr>
              <w:t>United's Contributions</w:t>
            </w:r>
          </w:p>
        </w:tc>
        <w:tc>
          <w:tcPr>
            <w:tcW w:w="5520" w:type="dxa"/>
            <w:vAlign w:val="bottom"/>
            <w:shd w:val="clear" w:color="auto" w:fill="E6E6E6"/>
          </w:tcPr>
          <w:p>
            <w:pPr>
              <w:ind w:left="140"/>
              <w:spacing w:after="0" w:line="192" w:lineRule="exact"/>
              <w:rPr>
                <w:sz w:val="20"/>
                <w:szCs w:val="20"/>
                <w:color w:val="auto"/>
              </w:rPr>
            </w:pPr>
            <w:r>
              <w:rPr>
                <w:rFonts w:ascii="Arial" w:cs="Arial" w:eastAsia="Arial" w:hAnsi="Arial"/>
                <w:sz w:val="19"/>
                <w:szCs w:val="19"/>
                <w:color w:val="auto"/>
              </w:rPr>
              <w:t>$97 million, $95 million and $87 million in the years ended</w:t>
            </w:r>
          </w:p>
        </w:tc>
      </w:tr>
      <w:tr>
        <w:trPr>
          <w:trHeight w:val="266"/>
        </w:trPr>
        <w:tc>
          <w:tcPr>
            <w:tcW w:w="4320" w:type="dxa"/>
            <w:vAlign w:val="bottom"/>
            <w:shd w:val="clear" w:color="auto" w:fill="E6E6E6"/>
          </w:tcPr>
          <w:p>
            <w:pPr>
              <w:spacing w:after="0"/>
              <w:rPr>
                <w:sz w:val="23"/>
                <w:szCs w:val="23"/>
                <w:color w:val="auto"/>
              </w:rPr>
            </w:pPr>
          </w:p>
        </w:tc>
        <w:tc>
          <w:tcPr>
            <w:tcW w:w="5520" w:type="dxa"/>
            <w:vAlign w:val="bottom"/>
            <w:shd w:val="clear" w:color="auto" w:fill="E6E6E6"/>
          </w:tcPr>
          <w:p>
            <w:pPr>
              <w:ind w:left="140"/>
              <w:spacing w:after="0"/>
              <w:rPr>
                <w:sz w:val="20"/>
                <w:szCs w:val="20"/>
                <w:color w:val="auto"/>
              </w:rPr>
            </w:pPr>
            <w:r>
              <w:rPr>
                <w:rFonts w:ascii="Arial" w:cs="Arial" w:eastAsia="Arial" w:hAnsi="Arial"/>
                <w:sz w:val="19"/>
                <w:szCs w:val="19"/>
                <w:color w:val="auto"/>
              </w:rPr>
              <w:t>December 31, 2025, 2024 and 2023, respectively.</w:t>
            </w:r>
          </w:p>
        </w:tc>
      </w:tr>
      <w:tr>
        <w:trPr>
          <w:trHeight w:val="253"/>
        </w:trPr>
        <w:tc>
          <w:tcPr>
            <w:tcW w:w="4320" w:type="dxa"/>
            <w:vAlign w:val="bottom"/>
          </w:tcPr>
          <w:p>
            <w:pPr>
              <w:ind w:left="60"/>
              <w:spacing w:after="0"/>
              <w:rPr>
                <w:sz w:val="20"/>
                <w:szCs w:val="20"/>
                <w:color w:val="auto"/>
              </w:rPr>
            </w:pPr>
            <w:r>
              <w:rPr>
                <w:rFonts w:ascii="Arial" w:cs="Arial" w:eastAsia="Arial" w:hAnsi="Arial"/>
                <w:sz w:val="19"/>
                <w:szCs w:val="19"/>
                <w:color w:val="auto"/>
              </w:rPr>
              <w:t>Surcharge Imposed</w:t>
            </w:r>
          </w:p>
        </w:tc>
        <w:tc>
          <w:tcPr>
            <w:tcW w:w="5520" w:type="dxa"/>
            <w:vAlign w:val="bottom"/>
          </w:tcPr>
          <w:p>
            <w:pPr>
              <w:ind w:left="140"/>
              <w:spacing w:after="0"/>
              <w:rPr>
                <w:sz w:val="20"/>
                <w:szCs w:val="20"/>
                <w:color w:val="auto"/>
              </w:rPr>
            </w:pPr>
            <w:r>
              <w:rPr>
                <w:rFonts w:ascii="Arial" w:cs="Arial" w:eastAsia="Arial" w:hAnsi="Arial"/>
                <w:sz w:val="19"/>
                <w:szCs w:val="19"/>
                <w:color w:val="auto"/>
              </w:rPr>
              <w:t>No</w:t>
            </w:r>
          </w:p>
        </w:tc>
      </w:tr>
      <w:tr>
        <w:trPr>
          <w:trHeight w:val="23"/>
        </w:trPr>
        <w:tc>
          <w:tcPr>
            <w:tcW w:w="4320" w:type="dxa"/>
            <w:vAlign w:val="bottom"/>
          </w:tcPr>
          <w:p>
            <w:pPr>
              <w:spacing w:after="0"/>
              <w:rPr>
                <w:sz w:val="2"/>
                <w:szCs w:val="2"/>
                <w:color w:val="auto"/>
              </w:rPr>
            </w:pPr>
          </w:p>
        </w:tc>
        <w:tc>
          <w:tcPr>
            <w:tcW w:w="5520" w:type="dxa"/>
            <w:vAlign w:val="bottom"/>
          </w:tcPr>
          <w:p>
            <w:pPr>
              <w:spacing w:after="0"/>
              <w:rPr>
                <w:sz w:val="2"/>
                <w:szCs w:val="2"/>
                <w:color w:val="auto"/>
              </w:rPr>
            </w:pPr>
          </w:p>
        </w:tc>
      </w:tr>
      <w:tr>
        <w:trPr>
          <w:trHeight w:val="253"/>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color w:val="auto"/>
                <w:w w:val="97"/>
              </w:rPr>
              <w:t>Expiration Date of Collective Bargaining Agreement</w:t>
            </w:r>
          </w:p>
        </w:tc>
        <w:tc>
          <w:tcPr>
            <w:tcW w:w="5520" w:type="dxa"/>
            <w:vAlign w:val="bottom"/>
            <w:shd w:val="clear" w:color="auto" w:fill="E6E6E6"/>
          </w:tcPr>
          <w:p>
            <w:pPr>
              <w:ind w:left="140"/>
              <w:spacing w:after="0"/>
              <w:rPr>
                <w:sz w:val="20"/>
                <w:szCs w:val="20"/>
                <w:color w:val="auto"/>
              </w:rPr>
            </w:pPr>
            <w:r>
              <w:rPr>
                <w:rFonts w:ascii="Arial" w:cs="Arial" w:eastAsia="Arial" w:hAnsi="Arial"/>
                <w:sz w:val="19"/>
                <w:szCs w:val="19"/>
                <w:color w:val="auto"/>
              </w:rPr>
              <w:t>N/A</w:t>
            </w:r>
          </w:p>
        </w:tc>
      </w:tr>
      <w:tr>
        <w:trPr>
          <w:trHeight w:val="23"/>
        </w:trPr>
        <w:tc>
          <w:tcPr>
            <w:tcW w:w="4320" w:type="dxa"/>
            <w:vAlign w:val="bottom"/>
            <w:shd w:val="clear" w:color="auto" w:fill="E6E6E6"/>
          </w:tcPr>
          <w:p>
            <w:pPr>
              <w:spacing w:after="0"/>
              <w:rPr>
                <w:sz w:val="2"/>
                <w:szCs w:val="2"/>
                <w:color w:val="auto"/>
              </w:rPr>
            </w:pPr>
          </w:p>
        </w:tc>
        <w:tc>
          <w:tcPr>
            <w:tcW w:w="5520" w:type="dxa"/>
            <w:vAlign w:val="bottom"/>
            <w:shd w:val="clear" w:color="auto" w:fill="E6E6E6"/>
          </w:tcPr>
          <w:p>
            <w:pPr>
              <w:spacing w:after="0"/>
              <w:rPr>
                <w:sz w:val="2"/>
                <w:szCs w:val="2"/>
                <w:color w:val="auto"/>
              </w:rPr>
            </w:pPr>
          </w:p>
        </w:tc>
      </w:tr>
    </w:tbl>
    <w:p>
      <w:pPr>
        <w:spacing w:after="0" w:line="206"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b w:val="1"/>
          <w:bCs w:val="1"/>
          <w:i w:val="1"/>
          <w:iCs w:val="1"/>
          <w:color w:val="auto"/>
        </w:rPr>
        <w:t xml:space="preserve">Profit Sharing. </w:t>
      </w:r>
      <w:r>
        <w:rPr>
          <w:rFonts w:ascii="Arial" w:cs="Arial" w:eastAsia="Arial" w:hAnsi="Arial"/>
          <w:sz w:val="18"/>
          <w:szCs w:val="18"/>
          <w:color w:val="auto"/>
        </w:rPr>
        <w:t>Substantially all of our employees are eligible to participate in our profit sharing plan. Under the plan, for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in which our adjusted pre-tax profit (which is calculated as pre-tax profit, excluding unusual, special or non-recurring charges, profit sharing expense and share-based compensation) exceeds a certain amount, a specified portion of that profit will be distributed to eligible employees. The Company recorded profit sharing and related payroll tax expense of $704 million, $713 million and $681 million in 2025, 2024 and 2023, respectively. Profit sharing expense is recorded as a component of Salaries and related costs in the Company's statements of consolidated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9 - FAIR VALUE MEASUREMENTS, INVESTMENTS AND NOTES RECEIVABLE</w:t>
      </w:r>
    </w:p>
    <w:p>
      <w:pPr>
        <w:spacing w:after="0" w:line="191" w:lineRule="exact"/>
        <w:rPr>
          <w:sz w:val="20"/>
          <w:szCs w:val="20"/>
          <w:color w:val="auto"/>
        </w:rPr>
      </w:pPr>
    </w:p>
    <w:p>
      <w:pPr>
        <w:jc w:val="both"/>
        <w:ind w:right="440"/>
        <w:spacing w:after="0" w:line="277" w:lineRule="auto"/>
        <w:rPr>
          <w:sz w:val="20"/>
          <w:szCs w:val="20"/>
          <w:color w:val="auto"/>
        </w:rPr>
      </w:pPr>
      <w:r>
        <w:rPr>
          <w:rFonts w:ascii="Arial" w:cs="Arial" w:eastAsia="Arial" w:hAnsi="Arial"/>
          <w:sz w:val="19"/>
          <w:szCs w:val="19"/>
          <w:b w:val="1"/>
          <w:bCs w:val="1"/>
          <w:i w:val="1"/>
          <w:iCs w:val="1"/>
          <w:color w:val="auto"/>
        </w:rPr>
        <w:t xml:space="preserve">Fair Value Measurement. </w:t>
      </w:r>
      <w:r>
        <w:rPr>
          <w:rFonts w:ascii="Arial" w:cs="Arial" w:eastAsia="Arial" w:hAnsi="Arial"/>
          <w:sz w:val="19"/>
          <w:szCs w:val="19"/>
          <w:color w:val="auto"/>
        </w:rPr>
        <w:t>The table below presents the fair value of financial assets and liabilities measured at fair value,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based on the inputs described in Note 1, on a recurring basis in the Company's financial statements as of December 31 (in millions):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332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b w:val="1"/>
                <w:bCs w:val="1"/>
                <w:color w:val="auto"/>
              </w:rPr>
              <w:t>2025</w:t>
            </w: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b w:val="1"/>
                <w:bCs w:val="1"/>
                <w:color w:val="auto"/>
              </w:rPr>
              <w:t>2024</w:t>
            </w: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3320" w:type="dxa"/>
            <w:vAlign w:val="bottom"/>
            <w:tcBorders>
              <w:bottom w:val="single" w:sz="8" w:color="E6E6E6"/>
            </w:tcBorders>
          </w:tcPr>
          <w:p>
            <w:pPr>
              <w:spacing w:after="0"/>
              <w:rPr>
                <w:sz w:val="17"/>
                <w:szCs w:val="17"/>
                <w:color w:val="auto"/>
              </w:rPr>
            </w:pPr>
          </w:p>
        </w:tc>
        <w:tc>
          <w:tcPr>
            <w:tcW w:w="740" w:type="dxa"/>
            <w:vAlign w:val="bottom"/>
            <w:tcBorders>
              <w:bottom w:val="single" w:sz="8" w:color="auto"/>
            </w:tcBorders>
          </w:tcPr>
          <w:p>
            <w:pPr>
              <w:jc w:val="right"/>
              <w:ind w:right="63"/>
              <w:spacing w:after="0" w:line="199" w:lineRule="exact"/>
              <w:rPr>
                <w:sz w:val="20"/>
                <w:szCs w:val="20"/>
                <w:color w:val="auto"/>
              </w:rPr>
            </w:pPr>
            <w:r>
              <w:rPr>
                <w:rFonts w:ascii="Arial" w:cs="Arial" w:eastAsia="Arial" w:hAnsi="Arial"/>
                <w:sz w:val="19"/>
                <w:szCs w:val="19"/>
                <w:b w:val="1"/>
                <w:bCs w:val="1"/>
                <w:color w:val="auto"/>
              </w:rPr>
              <w:t>Total</w:t>
            </w:r>
          </w:p>
        </w:tc>
        <w:tc>
          <w:tcPr>
            <w:tcW w:w="80" w:type="dxa"/>
            <w:vAlign w:val="bottom"/>
            <w:tcBorders>
              <w:bottom w:val="single" w:sz="8" w:color="E6E6E6"/>
            </w:tcBorders>
          </w:tcPr>
          <w:p>
            <w:pPr>
              <w:spacing w:after="0"/>
              <w:rPr>
                <w:sz w:val="17"/>
                <w:szCs w:val="17"/>
                <w:color w:val="auto"/>
              </w:rPr>
            </w:pPr>
          </w:p>
        </w:tc>
        <w:tc>
          <w:tcPr>
            <w:tcW w:w="7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9"/>
                <w:szCs w:val="19"/>
                <w:b w:val="1"/>
                <w:bCs w:val="1"/>
                <w:color w:val="auto"/>
              </w:rPr>
              <w:t>Level 1</w:t>
            </w:r>
          </w:p>
        </w:tc>
        <w:tc>
          <w:tcPr>
            <w:tcW w:w="60" w:type="dxa"/>
            <w:vAlign w:val="bottom"/>
            <w:tcBorders>
              <w:bottom w:val="single" w:sz="8" w:color="E6E6E6"/>
            </w:tcBorders>
          </w:tcPr>
          <w:p>
            <w:pPr>
              <w:spacing w:after="0"/>
              <w:rPr>
                <w:sz w:val="17"/>
                <w:szCs w:val="17"/>
                <w:color w:val="auto"/>
              </w:rPr>
            </w:pPr>
          </w:p>
        </w:tc>
        <w:tc>
          <w:tcPr>
            <w:tcW w:w="760" w:type="dxa"/>
            <w:vAlign w:val="bottom"/>
            <w:tcBorders>
              <w:bottom w:val="single" w:sz="8" w:color="auto"/>
            </w:tcBorders>
            <w:gridSpan w:val="2"/>
          </w:tcPr>
          <w:p>
            <w:pPr>
              <w:jc w:val="right"/>
              <w:spacing w:after="0" w:line="199" w:lineRule="exact"/>
              <w:rPr>
                <w:sz w:val="20"/>
                <w:szCs w:val="20"/>
                <w:color w:val="auto"/>
              </w:rPr>
            </w:pPr>
            <w:r>
              <w:rPr>
                <w:rFonts w:ascii="Arial" w:cs="Arial" w:eastAsia="Arial" w:hAnsi="Arial"/>
                <w:sz w:val="19"/>
                <w:szCs w:val="19"/>
                <w:b w:val="1"/>
                <w:bCs w:val="1"/>
                <w:color w:val="auto"/>
              </w:rPr>
              <w:t>Level 2</w:t>
            </w:r>
          </w:p>
        </w:tc>
        <w:tc>
          <w:tcPr>
            <w:tcW w:w="80" w:type="dxa"/>
            <w:vAlign w:val="bottom"/>
            <w:tcBorders>
              <w:bottom w:val="single" w:sz="8" w:color="E6E6E6"/>
            </w:tcBorders>
          </w:tcPr>
          <w:p>
            <w:pPr>
              <w:spacing w:after="0"/>
              <w:rPr>
                <w:sz w:val="17"/>
                <w:szCs w:val="17"/>
                <w:color w:val="auto"/>
              </w:rPr>
            </w:pPr>
          </w:p>
        </w:tc>
        <w:tc>
          <w:tcPr>
            <w:tcW w:w="760" w:type="dxa"/>
            <w:vAlign w:val="bottom"/>
            <w:tcBorders>
              <w:bottom w:val="single" w:sz="8" w:color="auto"/>
            </w:tcBorders>
            <w:gridSpan w:val="2"/>
          </w:tcPr>
          <w:p>
            <w:pPr>
              <w:ind w:left="140"/>
              <w:spacing w:after="0" w:line="199" w:lineRule="exact"/>
              <w:rPr>
                <w:sz w:val="20"/>
                <w:szCs w:val="20"/>
                <w:color w:val="auto"/>
              </w:rPr>
            </w:pPr>
            <w:r>
              <w:rPr>
                <w:rFonts w:ascii="Arial" w:cs="Arial" w:eastAsia="Arial" w:hAnsi="Arial"/>
                <w:sz w:val="19"/>
                <w:szCs w:val="19"/>
                <w:b w:val="1"/>
                <w:bCs w:val="1"/>
                <w:color w:val="auto"/>
                <w:w w:val="93"/>
              </w:rPr>
              <w:t>Level 3</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760" w:type="dxa"/>
            <w:vAlign w:val="bottom"/>
            <w:tcBorders>
              <w:bottom w:val="single" w:sz="8" w:color="auto"/>
            </w:tcBorders>
          </w:tcPr>
          <w:p>
            <w:pPr>
              <w:jc w:val="right"/>
              <w:ind w:right="63"/>
              <w:spacing w:after="0" w:line="199" w:lineRule="exact"/>
              <w:rPr>
                <w:sz w:val="20"/>
                <w:szCs w:val="20"/>
                <w:color w:val="auto"/>
              </w:rPr>
            </w:pPr>
            <w:r>
              <w:rPr>
                <w:rFonts w:ascii="Arial" w:cs="Arial" w:eastAsia="Arial" w:hAnsi="Arial"/>
                <w:sz w:val="19"/>
                <w:szCs w:val="19"/>
                <w:b w:val="1"/>
                <w:bCs w:val="1"/>
                <w:color w:val="auto"/>
              </w:rPr>
              <w:t>Total</w:t>
            </w:r>
          </w:p>
        </w:tc>
        <w:tc>
          <w:tcPr>
            <w:tcW w:w="80" w:type="dxa"/>
            <w:vAlign w:val="bottom"/>
            <w:tcBorders>
              <w:bottom w:val="single" w:sz="8" w:color="E6E6E6"/>
            </w:tcBorders>
          </w:tcPr>
          <w:p>
            <w:pPr>
              <w:spacing w:after="0"/>
              <w:rPr>
                <w:sz w:val="17"/>
                <w:szCs w:val="17"/>
                <w:color w:val="auto"/>
              </w:rPr>
            </w:pPr>
          </w:p>
        </w:tc>
        <w:tc>
          <w:tcPr>
            <w:tcW w:w="7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9"/>
                <w:szCs w:val="19"/>
                <w:b w:val="1"/>
                <w:bCs w:val="1"/>
                <w:color w:val="auto"/>
              </w:rPr>
              <w:t>Level 1</w:t>
            </w:r>
          </w:p>
        </w:tc>
        <w:tc>
          <w:tcPr>
            <w:tcW w:w="60" w:type="dxa"/>
            <w:vAlign w:val="bottom"/>
            <w:tcBorders>
              <w:bottom w:val="single" w:sz="8" w:color="E6E6E6"/>
            </w:tcBorders>
          </w:tcPr>
          <w:p>
            <w:pPr>
              <w:spacing w:after="0"/>
              <w:rPr>
                <w:sz w:val="17"/>
                <w:szCs w:val="17"/>
                <w:color w:val="auto"/>
              </w:rPr>
            </w:pPr>
          </w:p>
        </w:tc>
        <w:tc>
          <w:tcPr>
            <w:tcW w:w="760" w:type="dxa"/>
            <w:vAlign w:val="bottom"/>
            <w:tcBorders>
              <w:bottom w:val="single" w:sz="8" w:color="auto"/>
            </w:tcBorders>
            <w:gridSpan w:val="2"/>
          </w:tcPr>
          <w:p>
            <w:pPr>
              <w:jc w:val="right"/>
              <w:spacing w:after="0" w:line="199" w:lineRule="exact"/>
              <w:rPr>
                <w:sz w:val="20"/>
                <w:szCs w:val="20"/>
                <w:color w:val="auto"/>
              </w:rPr>
            </w:pPr>
            <w:r>
              <w:rPr>
                <w:rFonts w:ascii="Arial" w:cs="Arial" w:eastAsia="Arial" w:hAnsi="Arial"/>
                <w:sz w:val="19"/>
                <w:szCs w:val="19"/>
                <w:b w:val="1"/>
                <w:bCs w:val="1"/>
                <w:color w:val="auto"/>
              </w:rPr>
              <w:t>Level 2</w:t>
            </w:r>
          </w:p>
        </w:tc>
        <w:tc>
          <w:tcPr>
            <w:tcW w:w="80" w:type="dxa"/>
            <w:vAlign w:val="bottom"/>
            <w:tcBorders>
              <w:bottom w:val="single" w:sz="8" w:color="E6E6E6"/>
            </w:tcBorders>
          </w:tcPr>
          <w:p>
            <w:pPr>
              <w:spacing w:after="0"/>
              <w:rPr>
                <w:sz w:val="17"/>
                <w:szCs w:val="17"/>
                <w:color w:val="auto"/>
              </w:rPr>
            </w:pPr>
          </w:p>
        </w:tc>
        <w:tc>
          <w:tcPr>
            <w:tcW w:w="760" w:type="dxa"/>
            <w:vAlign w:val="bottom"/>
            <w:tcBorders>
              <w:bottom w:val="single" w:sz="8" w:color="auto"/>
            </w:tcBorders>
            <w:gridSpan w:val="2"/>
          </w:tcPr>
          <w:p>
            <w:pPr>
              <w:ind w:left="140"/>
              <w:spacing w:after="0" w:line="199" w:lineRule="exact"/>
              <w:rPr>
                <w:sz w:val="20"/>
                <w:szCs w:val="20"/>
                <w:color w:val="auto"/>
              </w:rPr>
            </w:pPr>
            <w:r>
              <w:rPr>
                <w:rFonts w:ascii="Arial" w:cs="Arial" w:eastAsia="Arial" w:hAnsi="Arial"/>
                <w:sz w:val="19"/>
                <w:szCs w:val="19"/>
                <w:b w:val="1"/>
                <w:bCs w:val="1"/>
                <w:color w:val="auto"/>
                <w:w w:val="93"/>
              </w:rPr>
              <w:t>Level 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3320" w:type="dxa"/>
            <w:vAlign w:val="bottom"/>
            <w:shd w:val="clear" w:color="auto" w:fill="E6E6E6"/>
          </w:tcPr>
          <w:p>
            <w:pPr>
              <w:ind w:left="60"/>
              <w:spacing w:after="0"/>
              <w:rPr>
                <w:sz w:val="20"/>
                <w:szCs w:val="20"/>
                <w:color w:val="auto"/>
              </w:rPr>
            </w:pPr>
            <w:r>
              <w:rPr>
                <w:rFonts w:ascii="Arial" w:cs="Arial" w:eastAsia="Arial" w:hAnsi="Arial"/>
                <w:sz w:val="19"/>
                <w:szCs w:val="19"/>
                <w:color w:val="auto"/>
              </w:rPr>
              <w:t>Cash and cash equivalents</w:t>
            </w: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$ 5,942</w:t>
            </w:r>
          </w:p>
        </w:tc>
        <w:tc>
          <w:tcPr>
            <w:tcW w:w="8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$ 5,942</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400" w:type="dxa"/>
            <w:vAlign w:val="bottom"/>
            <w:gridSpan w:val="2"/>
            <w:shd w:val="clear" w:color="auto" w:fill="E6E6E6"/>
          </w:tcPr>
          <w:p>
            <w:pPr>
              <w:jc w:val="right"/>
              <w:ind w:right="83"/>
              <w:spacing w:after="0"/>
              <w:rPr>
                <w:sz w:val="20"/>
                <w:szCs w:val="20"/>
                <w:color w:val="auto"/>
              </w:rPr>
            </w:pPr>
            <w:r>
              <w:rPr>
                <w:rFonts w:ascii="Arial" w:cs="Arial" w:eastAsia="Arial" w:hAnsi="Arial"/>
                <w:sz w:val="19"/>
                <w:szCs w:val="19"/>
                <w:color w:val="auto"/>
              </w:rPr>
              <w:t>$</w:t>
            </w:r>
          </w:p>
        </w:tc>
        <w:tc>
          <w:tcPr>
            <w:tcW w:w="440" w:type="dxa"/>
            <w:vAlign w:val="bottom"/>
            <w:shd w:val="clear" w:color="auto" w:fill="E6E6E6"/>
          </w:tcPr>
          <w:p>
            <w:pPr>
              <w:ind w:left="160"/>
              <w:spacing w:after="0"/>
              <w:rPr>
                <w:sz w:val="20"/>
                <w:szCs w:val="20"/>
                <w:color w:val="auto"/>
              </w:rPr>
            </w:pPr>
            <w:r>
              <w:rPr>
                <w:rFonts w:ascii="Arial" w:cs="Arial" w:eastAsia="Arial" w:hAnsi="Arial"/>
                <w:sz w:val="19"/>
                <w:szCs w:val="19"/>
                <w:color w:val="auto"/>
              </w:rPr>
              <w:t>—</w:t>
            </w:r>
          </w:p>
        </w:tc>
        <w:tc>
          <w:tcPr>
            <w:tcW w:w="820" w:type="dxa"/>
            <w:vAlign w:val="bottom"/>
            <w:gridSpan w:val="3"/>
            <w:shd w:val="clear" w:color="auto" w:fill="E6E6E6"/>
          </w:tcPr>
          <w:p>
            <w:pPr>
              <w:jc w:val="right"/>
              <w:spacing w:after="0"/>
              <w:rPr>
                <w:sz w:val="20"/>
                <w:szCs w:val="20"/>
                <w:color w:val="auto"/>
              </w:rPr>
            </w:pPr>
            <w:r>
              <w:rPr>
                <w:rFonts w:ascii="Arial" w:cs="Arial" w:eastAsia="Arial" w:hAnsi="Arial"/>
                <w:sz w:val="19"/>
                <w:szCs w:val="19"/>
                <w:color w:val="auto"/>
              </w:rPr>
              <w:t>$ 8,769</w:t>
            </w:r>
          </w:p>
        </w:tc>
        <w:tc>
          <w:tcPr>
            <w:tcW w:w="8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$ 8,769</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400" w:type="dxa"/>
            <w:vAlign w:val="bottom"/>
            <w:gridSpan w:val="2"/>
            <w:shd w:val="clear" w:color="auto" w:fill="E6E6E6"/>
          </w:tcPr>
          <w:p>
            <w:pPr>
              <w:jc w:val="right"/>
              <w:ind w:right="83"/>
              <w:spacing w:after="0"/>
              <w:rPr>
                <w:sz w:val="20"/>
                <w:szCs w:val="20"/>
                <w:color w:val="auto"/>
              </w:rPr>
            </w:pPr>
            <w:r>
              <w:rPr>
                <w:rFonts w:ascii="Arial" w:cs="Arial" w:eastAsia="Arial" w:hAnsi="Arial"/>
                <w:sz w:val="19"/>
                <w:szCs w:val="19"/>
                <w:color w:val="auto"/>
              </w:rPr>
              <w:t>$</w:t>
            </w:r>
          </w:p>
        </w:tc>
        <w:tc>
          <w:tcPr>
            <w:tcW w:w="460" w:type="dxa"/>
            <w:vAlign w:val="bottom"/>
            <w:gridSpan w:val="2"/>
            <w:shd w:val="clear" w:color="auto" w:fill="E6E6E6"/>
          </w:tcPr>
          <w:p>
            <w:pPr>
              <w:ind w:left="1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3320" w:type="dxa"/>
            <w:vAlign w:val="bottom"/>
          </w:tcPr>
          <w:p>
            <w:pPr>
              <w:ind w:left="60"/>
              <w:spacing w:after="0"/>
              <w:rPr>
                <w:sz w:val="20"/>
                <w:szCs w:val="20"/>
                <w:color w:val="auto"/>
              </w:rPr>
            </w:pPr>
            <w:r>
              <w:rPr>
                <w:rFonts w:ascii="Arial" w:cs="Arial" w:eastAsia="Arial" w:hAnsi="Arial"/>
                <w:sz w:val="19"/>
                <w:szCs w:val="19"/>
                <w:color w:val="auto"/>
              </w:rPr>
              <w:t>Restricted cash - current</w:t>
            </w: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ind w:left="160"/>
              <w:spacing w:after="0"/>
              <w:rPr>
                <w:sz w:val="20"/>
                <w:szCs w:val="20"/>
                <w:color w:val="auto"/>
              </w:rPr>
            </w:pPr>
            <w:r>
              <w:rPr>
                <w:rFonts w:ascii="Arial" w:cs="Arial" w:eastAsia="Arial" w:hAnsi="Arial"/>
                <w:sz w:val="19"/>
                <w:szCs w:val="19"/>
                <w:color w:val="auto"/>
              </w:rPr>
              <w:t>—</w:t>
            </w:r>
          </w:p>
        </w:tc>
        <w:tc>
          <w:tcPr>
            <w:tcW w:w="820" w:type="dxa"/>
            <w:vAlign w:val="bottom"/>
            <w:gridSpan w:val="3"/>
          </w:tcPr>
          <w:p>
            <w:pPr>
              <w:jc w:val="right"/>
              <w:spacing w:after="0"/>
              <w:rPr>
                <w:sz w:val="20"/>
                <w:szCs w:val="20"/>
                <w:color w:val="auto"/>
              </w:rPr>
            </w:pPr>
            <w:r>
              <w:rPr>
                <w:rFonts w:ascii="Arial" w:cs="Arial" w:eastAsia="Arial" w:hAnsi="Arial"/>
                <w:sz w:val="19"/>
                <w:szCs w:val="19"/>
                <w:color w:val="auto"/>
              </w:rPr>
              <w:t>11</w:t>
            </w: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11</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gridSpan w:val="2"/>
          </w:tcPr>
          <w:p>
            <w:pPr>
              <w:ind w:left="1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83"/>
        </w:trPr>
        <w:tc>
          <w:tcPr>
            <w:tcW w:w="3320" w:type="dxa"/>
            <w:vAlign w:val="bottom"/>
            <w:shd w:val="clear" w:color="auto" w:fill="E6E6E6"/>
          </w:tcPr>
          <w:p>
            <w:pPr>
              <w:ind w:left="60"/>
              <w:spacing w:after="0"/>
              <w:rPr>
                <w:sz w:val="20"/>
                <w:szCs w:val="20"/>
                <w:color w:val="auto"/>
              </w:rPr>
            </w:pPr>
            <w:r>
              <w:rPr>
                <w:rFonts w:ascii="Arial" w:cs="Arial" w:eastAsia="Arial" w:hAnsi="Arial"/>
                <w:sz w:val="19"/>
                <w:szCs w:val="19"/>
                <w:color w:val="auto"/>
              </w:rPr>
              <w:t>Restricted cash - non-current</w:t>
            </w: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139</w:t>
            </w:r>
          </w:p>
        </w:tc>
        <w:tc>
          <w:tcPr>
            <w:tcW w:w="8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139</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440" w:type="dxa"/>
            <w:vAlign w:val="bottom"/>
            <w:shd w:val="clear" w:color="auto" w:fill="E6E6E6"/>
          </w:tcPr>
          <w:p>
            <w:pPr>
              <w:ind w:left="160"/>
              <w:spacing w:after="0"/>
              <w:rPr>
                <w:sz w:val="20"/>
                <w:szCs w:val="20"/>
                <w:color w:val="auto"/>
              </w:rPr>
            </w:pPr>
            <w:r>
              <w:rPr>
                <w:rFonts w:ascii="Arial" w:cs="Arial" w:eastAsia="Arial" w:hAnsi="Arial"/>
                <w:sz w:val="19"/>
                <w:szCs w:val="19"/>
                <w:color w:val="auto"/>
              </w:rPr>
              <w:t>—</w:t>
            </w:r>
          </w:p>
        </w:tc>
        <w:tc>
          <w:tcPr>
            <w:tcW w:w="820" w:type="dxa"/>
            <w:vAlign w:val="bottom"/>
            <w:gridSpan w:val="3"/>
            <w:shd w:val="clear" w:color="auto" w:fill="E6E6E6"/>
          </w:tcPr>
          <w:p>
            <w:pPr>
              <w:jc w:val="right"/>
              <w:spacing w:after="0"/>
              <w:rPr>
                <w:sz w:val="20"/>
                <w:szCs w:val="20"/>
                <w:color w:val="auto"/>
              </w:rPr>
            </w:pPr>
            <w:r>
              <w:rPr>
                <w:rFonts w:ascii="Arial" w:cs="Arial" w:eastAsia="Arial" w:hAnsi="Arial"/>
                <w:sz w:val="19"/>
                <w:szCs w:val="19"/>
                <w:color w:val="auto"/>
              </w:rPr>
              <w:t>166</w:t>
            </w:r>
          </w:p>
        </w:tc>
        <w:tc>
          <w:tcPr>
            <w:tcW w:w="8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166</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460" w:type="dxa"/>
            <w:vAlign w:val="bottom"/>
            <w:gridSpan w:val="2"/>
            <w:shd w:val="clear" w:color="auto" w:fill="E6E6E6"/>
          </w:tcPr>
          <w:p>
            <w:pPr>
              <w:ind w:left="1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3320" w:type="dxa"/>
            <w:vAlign w:val="bottom"/>
          </w:tcPr>
          <w:p>
            <w:pPr>
              <w:ind w:left="60"/>
              <w:spacing w:after="0"/>
              <w:rPr>
                <w:sz w:val="20"/>
                <w:szCs w:val="20"/>
                <w:color w:val="auto"/>
              </w:rPr>
            </w:pPr>
            <w:r>
              <w:rPr>
                <w:rFonts w:ascii="Arial" w:cs="Arial" w:eastAsia="Arial" w:hAnsi="Arial"/>
                <w:sz w:val="19"/>
                <w:szCs w:val="19"/>
                <w:color w:val="auto"/>
              </w:rPr>
              <w:t>Short-term investments:</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320" w:type="dxa"/>
            <w:vAlign w:val="bottom"/>
            <w:shd w:val="clear" w:color="auto" w:fill="E6E6E6"/>
          </w:tcPr>
          <w:p>
            <w:pPr>
              <w:ind w:left="180"/>
              <w:spacing w:after="0"/>
              <w:rPr>
                <w:sz w:val="20"/>
                <w:szCs w:val="20"/>
                <w:color w:val="auto"/>
              </w:rPr>
            </w:pPr>
            <w:r>
              <w:rPr>
                <w:rFonts w:ascii="Arial" w:cs="Arial" w:eastAsia="Arial" w:hAnsi="Arial"/>
                <w:sz w:val="19"/>
                <w:szCs w:val="19"/>
                <w:color w:val="auto"/>
              </w:rPr>
              <w:t>Corporate debt</w:t>
            </w: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3,399</w:t>
            </w:r>
          </w:p>
        </w:tc>
        <w:tc>
          <w:tcPr>
            <w:tcW w:w="8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6"/>
              </w:rPr>
              <w:t>3,399</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440" w:type="dxa"/>
            <w:vAlign w:val="bottom"/>
            <w:shd w:val="clear" w:color="auto" w:fill="E6E6E6"/>
          </w:tcPr>
          <w:p>
            <w:pPr>
              <w:ind w:left="160"/>
              <w:spacing w:after="0"/>
              <w:rPr>
                <w:sz w:val="20"/>
                <w:szCs w:val="20"/>
                <w:color w:val="auto"/>
              </w:rPr>
            </w:pPr>
            <w:r>
              <w:rPr>
                <w:rFonts w:ascii="Arial" w:cs="Arial" w:eastAsia="Arial" w:hAnsi="Arial"/>
                <w:sz w:val="19"/>
                <w:szCs w:val="19"/>
                <w:color w:val="auto"/>
              </w:rPr>
              <w:t>—</w:t>
            </w:r>
          </w:p>
        </w:tc>
        <w:tc>
          <w:tcPr>
            <w:tcW w:w="820" w:type="dxa"/>
            <w:vAlign w:val="bottom"/>
            <w:gridSpan w:val="3"/>
            <w:shd w:val="clear" w:color="auto" w:fill="E6E6E6"/>
          </w:tcPr>
          <w:p>
            <w:pPr>
              <w:jc w:val="right"/>
              <w:spacing w:after="0"/>
              <w:rPr>
                <w:sz w:val="20"/>
                <w:szCs w:val="20"/>
                <w:color w:val="auto"/>
              </w:rPr>
            </w:pPr>
            <w:r>
              <w:rPr>
                <w:rFonts w:ascii="Arial" w:cs="Arial" w:eastAsia="Arial" w:hAnsi="Arial"/>
                <w:sz w:val="19"/>
                <w:szCs w:val="19"/>
                <w:color w:val="auto"/>
              </w:rPr>
              <w:t>3,127</w:t>
            </w:r>
          </w:p>
        </w:tc>
        <w:tc>
          <w:tcPr>
            <w:tcW w:w="8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6"/>
              </w:rPr>
              <w:t>3,127</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460" w:type="dxa"/>
            <w:vAlign w:val="bottom"/>
            <w:gridSpan w:val="2"/>
            <w:shd w:val="clear" w:color="auto" w:fill="E6E6E6"/>
          </w:tcPr>
          <w:p>
            <w:pPr>
              <w:ind w:left="1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3320" w:type="dxa"/>
            <w:vAlign w:val="bottom"/>
          </w:tcPr>
          <w:p>
            <w:pPr>
              <w:ind w:left="180"/>
              <w:spacing w:after="0"/>
              <w:rPr>
                <w:sz w:val="20"/>
                <w:szCs w:val="20"/>
                <w:color w:val="auto"/>
              </w:rPr>
            </w:pPr>
            <w:r>
              <w:rPr>
                <w:rFonts w:ascii="Arial" w:cs="Arial" w:eastAsia="Arial" w:hAnsi="Arial"/>
                <w:sz w:val="19"/>
                <w:szCs w:val="19"/>
                <w:color w:val="auto"/>
              </w:rPr>
              <w:t>U.S. government and agency notes</w:t>
            </w:r>
          </w:p>
        </w:tc>
        <w:tc>
          <w:tcPr>
            <w:tcW w:w="740" w:type="dxa"/>
            <w:vAlign w:val="bottom"/>
          </w:tcPr>
          <w:p>
            <w:pPr>
              <w:jc w:val="right"/>
              <w:spacing w:after="0"/>
              <w:rPr>
                <w:sz w:val="20"/>
                <w:szCs w:val="20"/>
                <w:color w:val="auto"/>
              </w:rPr>
            </w:pPr>
            <w:r>
              <w:rPr>
                <w:rFonts w:ascii="Arial" w:cs="Arial" w:eastAsia="Arial" w:hAnsi="Arial"/>
                <w:sz w:val="19"/>
                <w:szCs w:val="19"/>
                <w:color w:val="auto"/>
              </w:rPr>
              <w:t>2,465</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w w:val="96"/>
              </w:rPr>
              <w:t>2,465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ind w:left="160"/>
              <w:spacing w:after="0"/>
              <w:rPr>
                <w:sz w:val="20"/>
                <w:szCs w:val="20"/>
                <w:color w:val="auto"/>
              </w:rPr>
            </w:pPr>
            <w:r>
              <w:rPr>
                <w:rFonts w:ascii="Arial" w:cs="Arial" w:eastAsia="Arial" w:hAnsi="Arial"/>
                <w:sz w:val="19"/>
                <w:szCs w:val="19"/>
                <w:color w:val="auto"/>
              </w:rPr>
              <w:t>—</w:t>
            </w:r>
          </w:p>
        </w:tc>
        <w:tc>
          <w:tcPr>
            <w:tcW w:w="820" w:type="dxa"/>
            <w:vAlign w:val="bottom"/>
            <w:gridSpan w:val="3"/>
          </w:tcPr>
          <w:p>
            <w:pPr>
              <w:jc w:val="right"/>
              <w:spacing w:after="0"/>
              <w:rPr>
                <w:sz w:val="20"/>
                <w:szCs w:val="20"/>
                <w:color w:val="auto"/>
              </w:rPr>
            </w:pPr>
            <w:r>
              <w:rPr>
                <w:rFonts w:ascii="Arial" w:cs="Arial" w:eastAsia="Arial" w:hAnsi="Arial"/>
                <w:sz w:val="19"/>
                <w:szCs w:val="19"/>
                <w:color w:val="auto"/>
              </w:rPr>
              <w:t>2,280</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w w:val="96"/>
              </w:rPr>
              <w:t>2,280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gridSpan w:val="2"/>
          </w:tcPr>
          <w:p>
            <w:pPr>
              <w:ind w:left="1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193"/>
        </w:trPr>
        <w:tc>
          <w:tcPr>
            <w:tcW w:w="3320" w:type="dxa"/>
            <w:vAlign w:val="bottom"/>
            <w:shd w:val="clear" w:color="auto" w:fill="E6E6E6"/>
          </w:tcPr>
          <w:p>
            <w:pPr>
              <w:ind w:left="180"/>
              <w:spacing w:after="0" w:line="193" w:lineRule="exact"/>
              <w:rPr>
                <w:sz w:val="20"/>
                <w:szCs w:val="20"/>
                <w:color w:val="auto"/>
              </w:rPr>
            </w:pPr>
            <w:r>
              <w:rPr>
                <w:rFonts w:ascii="Arial" w:cs="Arial" w:eastAsia="Arial" w:hAnsi="Arial"/>
                <w:sz w:val="19"/>
                <w:szCs w:val="19"/>
                <w:color w:val="auto"/>
                <w:w w:val="99"/>
              </w:rPr>
              <w:t>Certificates of deposit placed through</w:t>
            </w: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E6E6E6"/>
          </w:tcPr>
          <w:p>
            <w:pPr>
              <w:spacing w:after="0"/>
              <w:rPr>
                <w:sz w:val="16"/>
                <w:szCs w:val="16"/>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6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E6E6E6"/>
          </w:tcPr>
          <w:p>
            <w:pPr>
              <w:spacing w:after="0"/>
              <w:rPr>
                <w:sz w:val="16"/>
                <w:szCs w:val="16"/>
                <w:color w:val="auto"/>
              </w:rPr>
            </w:pPr>
          </w:p>
        </w:tc>
        <w:tc>
          <w:tcPr>
            <w:tcW w:w="320" w:type="dxa"/>
            <w:vAlign w:val="bottom"/>
            <w:shd w:val="clear" w:color="auto" w:fill="E6E6E6"/>
          </w:tcPr>
          <w:p>
            <w:pPr>
              <w:spacing w:after="0"/>
              <w:rPr>
                <w:sz w:val="16"/>
                <w:szCs w:val="16"/>
                <w:color w:val="auto"/>
              </w:rPr>
            </w:pPr>
          </w:p>
        </w:tc>
        <w:tc>
          <w:tcPr>
            <w:tcW w:w="440" w:type="dxa"/>
            <w:vAlign w:val="bottom"/>
            <w:vMerge w:val="restart"/>
            <w:shd w:val="clear" w:color="auto" w:fill="E6E6E6"/>
          </w:tcPr>
          <w:p>
            <w:pPr>
              <w:ind w:left="160"/>
              <w:spacing w:after="0"/>
              <w:rPr>
                <w:sz w:val="20"/>
                <w:szCs w:val="20"/>
                <w:color w:val="auto"/>
              </w:rPr>
            </w:pPr>
            <w:r>
              <w:rPr>
                <w:rFonts w:ascii="Arial" w:cs="Arial" w:eastAsia="Arial" w:hAnsi="Arial"/>
                <w:sz w:val="19"/>
                <w:szCs w:val="19"/>
                <w:color w:val="auto"/>
              </w:rPr>
              <w:t>—</w:t>
            </w:r>
          </w:p>
        </w:tc>
        <w:tc>
          <w:tcPr>
            <w:tcW w:w="820" w:type="dxa"/>
            <w:vAlign w:val="bottom"/>
            <w:gridSpan w:val="3"/>
            <w:vMerge w:val="restart"/>
            <w:shd w:val="clear" w:color="auto" w:fill="E6E6E6"/>
          </w:tcPr>
          <w:p>
            <w:pPr>
              <w:jc w:val="right"/>
              <w:spacing w:after="0"/>
              <w:rPr>
                <w:sz w:val="20"/>
                <w:szCs w:val="20"/>
                <w:color w:val="auto"/>
              </w:rPr>
            </w:pPr>
            <w:r>
              <w:rPr>
                <w:rFonts w:ascii="Arial" w:cs="Arial" w:eastAsia="Arial" w:hAnsi="Arial"/>
                <w:sz w:val="19"/>
                <w:szCs w:val="19"/>
                <w:color w:val="auto"/>
              </w:rPr>
              <w:t>59</w:t>
            </w:r>
          </w:p>
        </w:tc>
        <w:tc>
          <w:tcPr>
            <w:tcW w:w="80" w:type="dxa"/>
            <w:vAlign w:val="bottom"/>
            <w:shd w:val="clear" w:color="auto" w:fill="E6E6E6"/>
          </w:tcPr>
          <w:p>
            <w:pPr>
              <w:spacing w:after="0"/>
              <w:rPr>
                <w:sz w:val="16"/>
                <w:szCs w:val="16"/>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6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59</w:t>
            </w:r>
          </w:p>
        </w:tc>
        <w:tc>
          <w:tcPr>
            <w:tcW w:w="80" w:type="dxa"/>
            <w:vAlign w:val="bottom"/>
            <w:shd w:val="clear" w:color="auto" w:fill="E6E6E6"/>
          </w:tcPr>
          <w:p>
            <w:pPr>
              <w:spacing w:after="0"/>
              <w:rPr>
                <w:sz w:val="16"/>
                <w:szCs w:val="16"/>
                <w:color w:val="auto"/>
              </w:rPr>
            </w:pPr>
          </w:p>
        </w:tc>
        <w:tc>
          <w:tcPr>
            <w:tcW w:w="320" w:type="dxa"/>
            <w:vAlign w:val="bottom"/>
            <w:shd w:val="clear" w:color="auto" w:fill="E6E6E6"/>
          </w:tcPr>
          <w:p>
            <w:pPr>
              <w:spacing w:after="0"/>
              <w:rPr>
                <w:sz w:val="16"/>
                <w:szCs w:val="16"/>
                <w:color w:val="auto"/>
              </w:rPr>
            </w:pPr>
          </w:p>
        </w:tc>
        <w:tc>
          <w:tcPr>
            <w:tcW w:w="460" w:type="dxa"/>
            <w:vAlign w:val="bottom"/>
            <w:gridSpan w:val="2"/>
            <w:vMerge w:val="restart"/>
            <w:shd w:val="clear" w:color="auto" w:fill="E6E6E6"/>
          </w:tcPr>
          <w:p>
            <w:pPr>
              <w:ind w:left="1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5"/>
        </w:trPr>
        <w:tc>
          <w:tcPr>
            <w:tcW w:w="3320" w:type="dxa"/>
            <w:vAlign w:val="bottom"/>
            <w:shd w:val="clear" w:color="auto" w:fill="E6E6E6"/>
          </w:tcPr>
          <w:p>
            <w:pPr>
              <w:ind w:left="180"/>
              <w:spacing w:after="0"/>
              <w:rPr>
                <w:sz w:val="20"/>
                <w:szCs w:val="20"/>
                <w:color w:val="auto"/>
              </w:rPr>
            </w:pPr>
            <w:r>
              <w:rPr>
                <w:rFonts w:ascii="Arial" w:cs="Arial" w:eastAsia="Arial" w:hAnsi="Arial"/>
                <w:sz w:val="19"/>
                <w:szCs w:val="19"/>
                <w:color w:val="auto"/>
                <w:w w:val="96"/>
              </w:rPr>
              <w:t>an account registry service ("CDARS")</w:t>
            </w:r>
          </w:p>
        </w:tc>
        <w:tc>
          <w:tcPr>
            <w:tcW w:w="74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760" w:type="dxa"/>
            <w:vAlign w:val="bottom"/>
            <w:vMerge w:val="continue"/>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56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440" w:type="dxa"/>
            <w:vAlign w:val="bottom"/>
            <w:vMerge w:val="continue"/>
            <w:shd w:val="clear" w:color="auto" w:fill="E6E6E6"/>
          </w:tcPr>
          <w:p>
            <w:pPr>
              <w:spacing w:after="0"/>
              <w:rPr>
                <w:sz w:val="23"/>
                <w:szCs w:val="23"/>
                <w:color w:val="auto"/>
              </w:rPr>
            </w:pPr>
          </w:p>
        </w:tc>
        <w:tc>
          <w:tcPr>
            <w:tcW w:w="820" w:type="dxa"/>
            <w:vAlign w:val="bottom"/>
            <w:gridSpan w:val="3"/>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760" w:type="dxa"/>
            <w:vAlign w:val="bottom"/>
            <w:vMerge w:val="continue"/>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56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460" w:type="dxa"/>
            <w:vAlign w:val="bottom"/>
            <w:gridSpan w:val="2"/>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20" w:type="dxa"/>
            <w:vAlign w:val="bottom"/>
          </w:tcPr>
          <w:p>
            <w:pPr>
              <w:ind w:left="180"/>
              <w:spacing w:after="0"/>
              <w:rPr>
                <w:sz w:val="20"/>
                <w:szCs w:val="20"/>
                <w:color w:val="auto"/>
              </w:rPr>
            </w:pPr>
            <w:r>
              <w:rPr>
                <w:rFonts w:ascii="Arial" w:cs="Arial" w:eastAsia="Arial" w:hAnsi="Arial"/>
                <w:sz w:val="19"/>
                <w:szCs w:val="19"/>
                <w:color w:val="auto"/>
              </w:rPr>
              <w:t>Other fixed-income securities</w:t>
            </w:r>
          </w:p>
        </w:tc>
        <w:tc>
          <w:tcPr>
            <w:tcW w:w="740" w:type="dxa"/>
            <w:vAlign w:val="bottom"/>
          </w:tcPr>
          <w:p>
            <w:pPr>
              <w:jc w:val="right"/>
              <w:spacing w:after="0"/>
              <w:rPr>
                <w:sz w:val="20"/>
                <w:szCs w:val="20"/>
                <w:color w:val="auto"/>
              </w:rPr>
            </w:pPr>
            <w:r>
              <w:rPr>
                <w:rFonts w:ascii="Arial" w:cs="Arial" w:eastAsia="Arial" w:hAnsi="Arial"/>
                <w:sz w:val="19"/>
                <w:szCs w:val="19"/>
                <w:color w:val="auto"/>
              </w:rPr>
              <w:t>433</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433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ind w:left="160"/>
              <w:spacing w:after="0"/>
              <w:rPr>
                <w:sz w:val="20"/>
                <w:szCs w:val="20"/>
                <w:color w:val="auto"/>
              </w:rPr>
            </w:pPr>
            <w:r>
              <w:rPr>
                <w:rFonts w:ascii="Arial" w:cs="Arial" w:eastAsia="Arial" w:hAnsi="Arial"/>
                <w:sz w:val="19"/>
                <w:szCs w:val="19"/>
                <w:color w:val="auto"/>
              </w:rPr>
              <w:t>—</w:t>
            </w:r>
          </w:p>
        </w:tc>
        <w:tc>
          <w:tcPr>
            <w:tcW w:w="820" w:type="dxa"/>
            <w:vAlign w:val="bottom"/>
            <w:gridSpan w:val="3"/>
          </w:tcPr>
          <w:p>
            <w:pPr>
              <w:jc w:val="right"/>
              <w:spacing w:after="0"/>
              <w:rPr>
                <w:sz w:val="20"/>
                <w:szCs w:val="20"/>
                <w:color w:val="auto"/>
              </w:rPr>
            </w:pPr>
            <w:r>
              <w:rPr>
                <w:rFonts w:ascii="Arial" w:cs="Arial" w:eastAsia="Arial" w:hAnsi="Arial"/>
                <w:sz w:val="19"/>
                <w:szCs w:val="19"/>
                <w:color w:val="auto"/>
              </w:rPr>
              <w:t>240</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240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gridSpan w:val="2"/>
          </w:tcPr>
          <w:p>
            <w:pPr>
              <w:ind w:left="160"/>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83"/>
        </w:trPr>
        <w:tc>
          <w:tcPr>
            <w:tcW w:w="3320" w:type="dxa"/>
            <w:vAlign w:val="bottom"/>
            <w:shd w:val="clear" w:color="auto" w:fill="E6E6E6"/>
          </w:tcPr>
          <w:p>
            <w:pPr>
              <w:ind w:left="60"/>
              <w:spacing w:after="0"/>
              <w:rPr>
                <w:sz w:val="20"/>
                <w:szCs w:val="20"/>
                <w:color w:val="auto"/>
              </w:rPr>
            </w:pPr>
            <w:r>
              <w:rPr>
                <w:rFonts w:ascii="Arial" w:cs="Arial" w:eastAsia="Arial" w:hAnsi="Arial"/>
                <w:sz w:val="19"/>
                <w:szCs w:val="19"/>
                <w:color w:val="auto"/>
              </w:rPr>
              <w:t>Long-term investments:</w:t>
            </w:r>
          </w:p>
        </w:tc>
        <w:tc>
          <w:tcPr>
            <w:tcW w:w="7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180"/>
              <w:spacing w:after="0"/>
              <w:rPr>
                <w:sz w:val="20"/>
                <w:szCs w:val="20"/>
                <w:color w:val="auto"/>
              </w:rPr>
            </w:pPr>
            <w:r>
              <w:rPr>
                <w:rFonts w:ascii="Arial" w:cs="Arial" w:eastAsia="Arial" w:hAnsi="Arial"/>
                <w:sz w:val="19"/>
                <w:szCs w:val="19"/>
                <w:color w:val="auto"/>
              </w:rPr>
              <w:t>Equity securities</w:t>
            </w:r>
          </w:p>
        </w:tc>
        <w:tc>
          <w:tcPr>
            <w:tcW w:w="740" w:type="dxa"/>
            <w:vAlign w:val="bottom"/>
          </w:tcPr>
          <w:p>
            <w:pPr>
              <w:jc w:val="right"/>
              <w:spacing w:after="0"/>
              <w:rPr>
                <w:sz w:val="20"/>
                <w:szCs w:val="20"/>
                <w:color w:val="auto"/>
              </w:rPr>
            </w:pPr>
            <w:r>
              <w:rPr>
                <w:rFonts w:ascii="Arial" w:cs="Arial" w:eastAsia="Arial" w:hAnsi="Arial"/>
                <w:sz w:val="19"/>
                <w:szCs w:val="19"/>
                <w:color w:val="auto"/>
              </w:rPr>
              <w:t>34</w:t>
            </w: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34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9"/>
                <w:szCs w:val="19"/>
                <w:color w:val="auto"/>
              </w:rPr>
              <w:t>—</w:t>
            </w:r>
          </w:p>
        </w:tc>
        <w:tc>
          <w:tcPr>
            <w:tcW w:w="820" w:type="dxa"/>
            <w:vAlign w:val="bottom"/>
            <w:gridSpan w:val="3"/>
          </w:tcPr>
          <w:p>
            <w:pPr>
              <w:jc w:val="right"/>
              <w:spacing w:after="0"/>
              <w:rPr>
                <w:sz w:val="20"/>
                <w:szCs w:val="20"/>
                <w:color w:val="auto"/>
              </w:rPr>
            </w:pPr>
            <w:r>
              <w:rPr>
                <w:rFonts w:ascii="Arial" w:cs="Arial" w:eastAsia="Arial" w:hAnsi="Arial"/>
                <w:sz w:val="19"/>
                <w:szCs w:val="19"/>
                <w:color w:val="auto"/>
              </w:rPr>
              <w:t>71</w:t>
            </w: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71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gridSpan w:val="2"/>
          </w:tcPr>
          <w:p>
            <w:pPr>
              <w:ind w:left="1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-1870710</wp:posOffset>
            </wp:positionV>
            <wp:extent cx="419290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15">
                      <a:extLst>
                        <a:ext uri="{28A0092B-C50C-407E-A947-70E740481C1C}"/>
                      </a:extLst>
                    </a:blip>
                    <a:srcRect/>
                    <a:stretch>
                      <a:fillRect/>
                    </a:stretch>
                  </pic:blipFill>
                  <pic:spPr bwMode="auto">
                    <a:xfrm>
                      <a:off x="0" y="0"/>
                      <a:ext cx="4192905" cy="2540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Investments presented in the table above have the same fair value as their carrying value.</w:t>
      </w:r>
    </w:p>
    <w:p>
      <w:pPr>
        <w:spacing w:after="0" w:line="183" w:lineRule="exact"/>
        <w:rPr>
          <w:sz w:val="20"/>
          <w:szCs w:val="20"/>
          <w:color w:val="auto"/>
        </w:rPr>
      </w:pPr>
    </w:p>
    <w:p>
      <w:pPr>
        <w:ind w:right="120"/>
        <w:spacing w:after="0" w:line="301" w:lineRule="auto"/>
        <w:rPr>
          <w:sz w:val="20"/>
          <w:szCs w:val="20"/>
          <w:color w:val="auto"/>
        </w:rPr>
      </w:pPr>
      <w:r>
        <w:rPr>
          <w:rFonts w:ascii="Arial" w:cs="Arial" w:eastAsia="Arial" w:hAnsi="Arial"/>
          <w:sz w:val="19"/>
          <w:szCs w:val="19"/>
          <w:b w:val="1"/>
          <w:bCs w:val="1"/>
          <w:color w:val="auto"/>
        </w:rPr>
        <w:t xml:space="preserve">Short-term investments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21"/>
          <w:szCs w:val="21"/>
          <w:color w:val="auto"/>
        </w:rPr>
        <w:t>T</w:t>
      </w:r>
      <w:r>
        <w:rPr>
          <w:rFonts w:ascii="Arial" w:cs="Arial" w:eastAsia="Arial" w:hAnsi="Arial"/>
          <w:sz w:val="19"/>
          <w:szCs w:val="19"/>
          <w:color w:val="auto"/>
        </w:rPr>
        <w:t>he short-term investments shown in the table above are classified as available-for-sale and have</w:t>
      </w:r>
      <w:r>
        <w:rPr>
          <w:rFonts w:ascii="Arial" w:cs="Arial" w:eastAsia="Arial" w:hAnsi="Arial"/>
          <w:sz w:val="19"/>
          <w:szCs w:val="19"/>
          <w:b w:val="1"/>
          <w:bCs w:val="1"/>
          <w:color w:val="auto"/>
        </w:rPr>
        <w:t xml:space="preserve"> </w:t>
      </w:r>
      <w:r>
        <w:rPr>
          <w:rFonts w:ascii="Arial" w:cs="Arial" w:eastAsia="Arial" w:hAnsi="Arial"/>
          <w:sz w:val="19"/>
          <w:szCs w:val="19"/>
          <w:color w:val="auto"/>
        </w:rPr>
        <w:t>remaining maturities of less than two years.</w:t>
      </w:r>
    </w:p>
    <w:p>
      <w:pPr>
        <w:spacing w:after="0" w:line="89" w:lineRule="exact"/>
        <w:rPr>
          <w:sz w:val="20"/>
          <w:szCs w:val="20"/>
          <w:color w:val="auto"/>
        </w:rPr>
      </w:pPr>
    </w:p>
    <w:p>
      <w:pPr>
        <w:jc w:val="both"/>
        <w:ind w:right="280"/>
        <w:spacing w:after="0" w:line="276" w:lineRule="auto"/>
        <w:rPr>
          <w:sz w:val="20"/>
          <w:szCs w:val="20"/>
          <w:color w:val="auto"/>
        </w:rPr>
      </w:pPr>
      <w:r>
        <w:rPr>
          <w:rFonts w:ascii="Arial" w:cs="Arial" w:eastAsia="Arial" w:hAnsi="Arial"/>
          <w:sz w:val="19"/>
          <w:szCs w:val="19"/>
          <w:b w:val="1"/>
          <w:bCs w:val="1"/>
          <w:color w:val="auto"/>
        </w:rPr>
        <w:t xml:space="preserve">Long-term investments: Equity securities </w:t>
      </w:r>
      <w:r>
        <w:rPr>
          <w:rFonts w:ascii="Arial" w:cs="Arial" w:eastAsia="Arial" w:hAnsi="Arial"/>
          <w:sz w:val="19"/>
          <w:szCs w:val="19"/>
          <w:color w:val="auto"/>
        </w:rPr>
        <w:t>— Represents equity and equity-linked securities (such as vested warrants) that</w:t>
      </w:r>
      <w:r>
        <w:rPr>
          <w:rFonts w:ascii="Arial" w:cs="Arial" w:eastAsia="Arial" w:hAnsi="Arial"/>
          <w:sz w:val="19"/>
          <w:szCs w:val="19"/>
          <w:b w:val="1"/>
          <w:bCs w:val="1"/>
          <w:color w:val="auto"/>
        </w:rPr>
        <w:t xml:space="preserve"> </w:t>
      </w:r>
      <w:r>
        <w:rPr>
          <w:rFonts w:ascii="Arial" w:cs="Arial" w:eastAsia="Arial" w:hAnsi="Arial"/>
          <w:sz w:val="19"/>
          <w:szCs w:val="19"/>
          <w:color w:val="auto"/>
        </w:rPr>
        <w:t>make up United's investments in Azul Linhas Aéreas Brasileiras S.A. ("Azul"), Archer Aviation Inc. and Eve Holding, Inc. Equity securities at December 31, 2024 also included Mesa Air Group, Inc. ("Mesa").</w:t>
      </w:r>
    </w:p>
    <w:p>
      <w:pPr>
        <w:spacing w:after="0" w:line="123" w:lineRule="exact"/>
        <w:rPr>
          <w:sz w:val="20"/>
          <w:szCs w:val="20"/>
          <w:color w:val="auto"/>
        </w:rPr>
      </w:pPr>
    </w:p>
    <w:p>
      <w:pPr>
        <w:ind w:right="40"/>
        <w:spacing w:after="0" w:line="321" w:lineRule="auto"/>
        <w:rPr>
          <w:sz w:val="20"/>
          <w:szCs w:val="20"/>
          <w:color w:val="auto"/>
        </w:rPr>
      </w:pPr>
      <w:r>
        <w:rPr>
          <w:rFonts w:ascii="Arial" w:cs="Arial" w:eastAsia="Arial" w:hAnsi="Arial"/>
          <w:sz w:val="17"/>
          <w:szCs w:val="17"/>
          <w:color w:val="auto"/>
        </w:rPr>
        <w:t>On May 28, 2025, Azul announced it had entered into restructuring agreements with its key stakeholders and strategic partners, including United, to effectuate a proactive reorganization process. On November 7, 2025, United entered into an equity investment agreement with Azul and certain of Azul's subsidiaries, pursuant to which United subscribed for $100 million of</w:t>
      </w:r>
    </w:p>
    <w:p>
      <w:pPr>
        <w:sectPr>
          <w:pgSz w:w="11880" w:h="15480" w:orient="portrait"/>
          <w:cols w:equalWidth="0" w:num="1">
            <w:col w:w="9920"/>
          </w:cols>
          <w:pgMar w:left="960" w:top="647"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9920"/>
          </w:cols>
          <w:pgMar w:left="960" w:top="647" w:right="1000" w:bottom="33" w:gutter="0" w:footer="0" w:header="0"/>
          <w:type w:val="continuous"/>
        </w:sectPr>
      </w:pPr>
    </w:p>
    <w:bookmarkStart w:id="86" w:name="page87"/>
    <w:bookmarkEnd w:id="86"/>
    <w:p>
      <w:pPr>
        <w:ind w:right="60"/>
        <w:spacing w:after="0" w:line="357" w:lineRule="auto"/>
        <w:rPr>
          <w:sz w:val="20"/>
          <w:szCs w:val="20"/>
          <w:color w:val="auto"/>
        </w:rPr>
      </w:pPr>
      <w:r>
        <w:rPr>
          <w:rFonts w:ascii="Arial" w:cs="Arial" w:eastAsia="Arial" w:hAnsi="Arial"/>
          <w:sz w:val="17"/>
          <w:szCs w:val="17"/>
          <w:color w:val="auto"/>
        </w:rPr>
        <w:t>Azul shares in connection with Azul's completion of the reorganization process. Consummation of United's investment is subject to the satisfaction of certain conditions precedent, including but not limited to completion of Azul's reorganization plan.</w:t>
      </w:r>
    </w:p>
    <w:p>
      <w:pPr>
        <w:spacing w:after="0" w:line="55"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b w:val="1"/>
          <w:bCs w:val="1"/>
          <w:color w:val="auto"/>
        </w:rPr>
        <w:t xml:space="preserve">Other fair value information - </w:t>
      </w:r>
      <w:r>
        <w:rPr>
          <w:rFonts w:ascii="Arial" w:cs="Arial" w:eastAsia="Arial" w:hAnsi="Arial"/>
          <w:sz w:val="19"/>
          <w:szCs w:val="19"/>
          <w:color w:val="auto"/>
        </w:rPr>
        <w:t>The table below presents the carrying values and estimated fair values of financial instruments</w:t>
      </w:r>
      <w:r>
        <w:rPr>
          <w:rFonts w:ascii="Arial" w:cs="Arial" w:eastAsia="Arial" w:hAnsi="Arial"/>
          <w:sz w:val="19"/>
          <w:szCs w:val="19"/>
          <w:b w:val="1"/>
          <w:bCs w:val="1"/>
          <w:color w:val="auto"/>
        </w:rPr>
        <w:t xml:space="preserve"> </w:t>
      </w:r>
      <w:r>
        <w:rPr>
          <w:rFonts w:ascii="Arial" w:cs="Arial" w:eastAsia="Arial" w:hAnsi="Arial"/>
          <w:sz w:val="19"/>
          <w:szCs w:val="19"/>
          <w:color w:val="auto"/>
        </w:rPr>
        <w:t>not presented in the tables above as of December 31 (in millions). Carrying amounts include any related discounts, premiums and issuance costs: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38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9"/>
                <w:szCs w:val="19"/>
                <w:b w:val="1"/>
                <w:bCs w:val="1"/>
                <w:color w:val="auto"/>
              </w:rPr>
              <w:t>2025</w:t>
            </w: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ind w:left="160"/>
              <w:spacing w:after="0"/>
              <w:rPr>
                <w:sz w:val="20"/>
                <w:szCs w:val="20"/>
                <w:color w:val="auto"/>
              </w:rPr>
            </w:pPr>
            <w:r>
              <w:rPr>
                <w:rFonts w:ascii="Arial" w:cs="Arial" w:eastAsia="Arial" w:hAnsi="Arial"/>
                <w:sz w:val="19"/>
                <w:szCs w:val="19"/>
                <w:b w:val="1"/>
                <w:bCs w:val="1"/>
                <w:color w:val="auto"/>
              </w:rPr>
              <w:t>2024</w:t>
            </w:r>
          </w:p>
        </w:tc>
        <w:tc>
          <w:tcPr>
            <w:tcW w:w="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380" w:type="dxa"/>
            <w:vAlign w:val="bottom"/>
          </w:tcPr>
          <w:p>
            <w:pPr>
              <w:spacing w:after="0"/>
              <w:rPr>
                <w:sz w:val="17"/>
                <w:szCs w:val="17"/>
                <w:color w:val="auto"/>
              </w:rPr>
            </w:pPr>
          </w:p>
        </w:tc>
        <w:tc>
          <w:tcPr>
            <w:tcW w:w="900" w:type="dxa"/>
            <w:vAlign w:val="bottom"/>
          </w:tcPr>
          <w:p>
            <w:pPr>
              <w:jc w:val="center"/>
              <w:spacing w:after="0" w:line="205" w:lineRule="exact"/>
              <w:rPr>
                <w:sz w:val="20"/>
                <w:szCs w:val="20"/>
                <w:color w:val="auto"/>
              </w:rPr>
            </w:pPr>
            <w:r>
              <w:rPr>
                <w:rFonts w:ascii="Arial" w:cs="Arial" w:eastAsia="Arial" w:hAnsi="Arial"/>
                <w:sz w:val="19"/>
                <w:szCs w:val="19"/>
                <w:b w:val="1"/>
                <w:bCs w:val="1"/>
                <w:color w:val="auto"/>
                <w:w w:val="99"/>
              </w:rPr>
              <w:t>Carrying</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4"/>
            <w:vMerge w:val="restart"/>
          </w:tcPr>
          <w:p>
            <w:pPr>
              <w:ind w:left="100"/>
              <w:spacing w:after="0"/>
              <w:rPr>
                <w:sz w:val="20"/>
                <w:szCs w:val="20"/>
                <w:color w:val="auto"/>
              </w:rPr>
            </w:pPr>
            <w:r>
              <w:rPr>
                <w:rFonts w:ascii="Arial" w:cs="Arial" w:eastAsia="Arial" w:hAnsi="Arial"/>
                <w:sz w:val="19"/>
                <w:szCs w:val="19"/>
                <w:b w:val="1"/>
                <w:bCs w:val="1"/>
                <w:color w:val="auto"/>
              </w:rPr>
              <w:t>Fair Value</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center"/>
              <w:spacing w:after="0" w:line="205" w:lineRule="exact"/>
              <w:rPr>
                <w:sz w:val="20"/>
                <w:szCs w:val="20"/>
                <w:color w:val="auto"/>
              </w:rPr>
            </w:pPr>
            <w:r>
              <w:rPr>
                <w:rFonts w:ascii="Arial" w:cs="Arial" w:eastAsia="Arial" w:hAnsi="Arial"/>
                <w:sz w:val="19"/>
                <w:szCs w:val="19"/>
                <w:b w:val="1"/>
                <w:bCs w:val="1"/>
                <w:color w:val="auto"/>
                <w:w w:val="97"/>
              </w:rPr>
              <w:t>Carrying</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vMerge w:val="restart"/>
          </w:tcPr>
          <w:p>
            <w:pPr>
              <w:ind w:left="100"/>
              <w:spacing w:after="0"/>
              <w:rPr>
                <w:sz w:val="20"/>
                <w:szCs w:val="20"/>
                <w:color w:val="auto"/>
              </w:rPr>
            </w:pPr>
            <w:r>
              <w:rPr>
                <w:rFonts w:ascii="Arial" w:cs="Arial" w:eastAsia="Arial" w:hAnsi="Arial"/>
                <w:sz w:val="19"/>
                <w:szCs w:val="19"/>
                <w:b w:val="1"/>
                <w:bCs w:val="1"/>
                <w:color w:val="auto"/>
              </w:rPr>
              <w:t>Fair Value</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38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Amount</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vMerge w:val="continue"/>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Amount</w:t>
            </w:r>
          </w:p>
        </w:tc>
        <w:tc>
          <w:tcPr>
            <w:tcW w:w="8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380" w:type="dxa"/>
            <w:vAlign w:val="bottom"/>
            <w:tcBorders>
              <w:bottom w:val="single" w:sz="8" w:color="E6E6E6"/>
            </w:tcBorders>
          </w:tcPr>
          <w:p>
            <w:pPr>
              <w:spacing w:after="0"/>
              <w:rPr>
                <w:sz w:val="19"/>
                <w:szCs w:val="19"/>
                <w:color w:val="auto"/>
              </w:rPr>
            </w:pPr>
          </w:p>
        </w:tc>
        <w:tc>
          <w:tcPr>
            <w:tcW w:w="900" w:type="dxa"/>
            <w:vAlign w:val="bottom"/>
            <w:tcBorders>
              <w:bottom w:val="single" w:sz="8" w:color="E6E6E6"/>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6"/>
              </w:rPr>
              <w:t>Total</w:t>
            </w:r>
          </w:p>
        </w:tc>
        <w:tc>
          <w:tcPr>
            <w:tcW w:w="80" w:type="dxa"/>
            <w:vAlign w:val="bottom"/>
            <w:tcBorders>
              <w:bottom w:val="single" w:sz="8" w:color="E6E6E6"/>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w w:val="99"/>
              </w:rPr>
              <w:t>Level 1</w:t>
            </w:r>
          </w:p>
        </w:tc>
        <w:tc>
          <w:tcPr>
            <w:tcW w:w="80" w:type="dxa"/>
            <w:vAlign w:val="bottom"/>
            <w:tcBorders>
              <w:bottom w:val="single" w:sz="8" w:color="E6E6E6"/>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3"/>
              </w:rPr>
              <w:t>Level 2</w:t>
            </w:r>
          </w:p>
        </w:tc>
        <w:tc>
          <w:tcPr>
            <w:tcW w:w="60" w:type="dxa"/>
            <w:vAlign w:val="bottom"/>
            <w:tcBorders>
              <w:bottom w:val="single" w:sz="8" w:color="E6E6E6"/>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Level 3</w:t>
            </w:r>
          </w:p>
        </w:tc>
        <w:tc>
          <w:tcPr>
            <w:tcW w:w="20" w:type="dxa"/>
            <w:vAlign w:val="bottom"/>
            <w:tcBorders>
              <w:bottom w:val="single" w:sz="8" w:color="E6E6E6"/>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880" w:type="dxa"/>
            <w:vAlign w:val="bottom"/>
            <w:tcBorders>
              <w:bottom w:val="single" w:sz="8" w:color="E6E6E6"/>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6"/>
              </w:rPr>
              <w:t>Total</w:t>
            </w:r>
          </w:p>
        </w:tc>
        <w:tc>
          <w:tcPr>
            <w:tcW w:w="80" w:type="dxa"/>
            <w:vAlign w:val="bottom"/>
            <w:tcBorders>
              <w:bottom w:val="single" w:sz="8" w:color="E6E6E6"/>
            </w:tcBorders>
          </w:tcPr>
          <w:p>
            <w:pPr>
              <w:spacing w:after="0"/>
              <w:rPr>
                <w:sz w:val="19"/>
                <w:szCs w:val="19"/>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b w:val="1"/>
                <w:bCs w:val="1"/>
                <w:color w:val="auto"/>
              </w:rPr>
              <w:t>Level 1</w:t>
            </w:r>
          </w:p>
        </w:tc>
        <w:tc>
          <w:tcPr>
            <w:tcW w:w="80" w:type="dxa"/>
            <w:vAlign w:val="bottom"/>
            <w:tcBorders>
              <w:bottom w:val="single" w:sz="8" w:color="E6E6E6"/>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3"/>
              </w:rPr>
              <w:t>Level 2</w:t>
            </w:r>
          </w:p>
        </w:tc>
        <w:tc>
          <w:tcPr>
            <w:tcW w:w="80" w:type="dxa"/>
            <w:vAlign w:val="bottom"/>
            <w:tcBorders>
              <w:bottom w:val="single" w:sz="8" w:color="E6E6E6"/>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9"/>
              </w:rPr>
              <w:t>Level 3</w:t>
            </w:r>
          </w:p>
        </w:tc>
        <w:tc>
          <w:tcPr>
            <w:tcW w:w="0" w:type="dxa"/>
            <w:vAlign w:val="bottom"/>
          </w:tcPr>
          <w:p>
            <w:pPr>
              <w:spacing w:after="0"/>
              <w:rPr>
                <w:sz w:val="1"/>
                <w:szCs w:val="1"/>
                <w:color w:val="auto"/>
              </w:rPr>
            </w:pPr>
          </w:p>
        </w:tc>
      </w:tr>
      <w:tr>
        <w:trPr>
          <w:trHeight w:val="266"/>
        </w:trPr>
        <w:tc>
          <w:tcPr>
            <w:tcW w:w="228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Long-term debt  $  21,266</w:t>
            </w:r>
          </w:p>
        </w:tc>
        <w:tc>
          <w:tcPr>
            <w:tcW w:w="860" w:type="dxa"/>
            <w:vAlign w:val="bottom"/>
            <w:gridSpan w:val="3"/>
            <w:shd w:val="clear" w:color="auto" w:fill="E6E6E6"/>
          </w:tcPr>
          <w:p>
            <w:pPr>
              <w:jc w:val="right"/>
              <w:spacing w:after="0"/>
              <w:rPr>
                <w:sz w:val="20"/>
                <w:szCs w:val="20"/>
                <w:color w:val="auto"/>
              </w:rPr>
            </w:pPr>
            <w:r>
              <w:rPr>
                <w:rFonts w:ascii="Arial" w:cs="Arial" w:eastAsia="Arial" w:hAnsi="Arial"/>
                <w:sz w:val="19"/>
                <w:szCs w:val="19"/>
                <w:color w:val="auto"/>
              </w:rPr>
              <w:t>$ 21,489</w:t>
            </w:r>
          </w:p>
        </w:tc>
        <w:tc>
          <w:tcPr>
            <w:tcW w:w="320" w:type="dxa"/>
            <w:vAlign w:val="bottom"/>
            <w:gridSpan w:val="2"/>
            <w:shd w:val="clear" w:color="auto" w:fill="E6E6E6"/>
          </w:tcPr>
          <w:p>
            <w:pPr>
              <w:jc w:val="right"/>
              <w:ind w:right="3"/>
              <w:spacing w:after="0"/>
              <w:rPr>
                <w:sz w:val="20"/>
                <w:szCs w:val="20"/>
                <w:color w:val="auto"/>
              </w:rPr>
            </w:pPr>
            <w:r>
              <w:rPr>
                <w:rFonts w:ascii="Arial" w:cs="Arial" w:eastAsia="Arial" w:hAnsi="Arial"/>
                <w:sz w:val="19"/>
                <w:szCs w:val="19"/>
                <w:color w:val="auto"/>
              </w:rPr>
              <w:t>$</w:t>
            </w:r>
          </w:p>
        </w:tc>
        <w:tc>
          <w:tcPr>
            <w:tcW w:w="580" w:type="dxa"/>
            <w:vAlign w:val="bottom"/>
            <w:gridSpan w:val="2"/>
            <w:shd w:val="clear" w:color="auto" w:fill="E6E6E6"/>
          </w:tcPr>
          <w:p>
            <w:pPr>
              <w:jc w:val="right"/>
              <w:ind w:right="160"/>
              <w:spacing w:after="0"/>
              <w:rPr>
                <w:sz w:val="20"/>
                <w:szCs w:val="20"/>
                <w:color w:val="auto"/>
              </w:rPr>
            </w:pPr>
            <w:r>
              <w:rPr>
                <w:rFonts w:ascii="Arial" w:cs="Arial" w:eastAsia="Arial" w:hAnsi="Arial"/>
                <w:sz w:val="19"/>
                <w:szCs w:val="19"/>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9"/>
                <w:szCs w:val="19"/>
                <w:color w:val="auto"/>
                <w:w w:val="94"/>
              </w:rPr>
              <w:t>$ 14,030</w:t>
            </w:r>
          </w:p>
        </w:tc>
        <w:tc>
          <w:tcPr>
            <w:tcW w:w="60" w:type="dxa"/>
            <w:vAlign w:val="bottom"/>
            <w:shd w:val="clear" w:color="auto" w:fill="E6E6E6"/>
          </w:tcPr>
          <w:p>
            <w:pPr>
              <w:spacing w:after="0"/>
              <w:rPr>
                <w:sz w:val="23"/>
                <w:szCs w:val="23"/>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$ 7,458</w:t>
            </w:r>
          </w:p>
        </w:tc>
        <w:tc>
          <w:tcPr>
            <w:tcW w:w="960" w:type="dxa"/>
            <w:vAlign w:val="bottom"/>
            <w:gridSpan w:val="3"/>
            <w:shd w:val="clear" w:color="auto" w:fill="E6E6E6"/>
          </w:tcPr>
          <w:p>
            <w:pPr>
              <w:jc w:val="center"/>
              <w:spacing w:after="0"/>
              <w:rPr>
                <w:sz w:val="20"/>
                <w:szCs w:val="20"/>
                <w:color w:val="auto"/>
              </w:rPr>
            </w:pPr>
            <w:r>
              <w:rPr>
                <w:rFonts w:ascii="Arial" w:cs="Arial" w:eastAsia="Arial" w:hAnsi="Arial"/>
                <w:sz w:val="19"/>
                <w:szCs w:val="19"/>
                <w:color w:val="auto"/>
                <w:w w:val="95"/>
              </w:rPr>
              <w:t>$  24,653</w:t>
            </w: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$ 24,423</w:t>
            </w:r>
          </w:p>
        </w:tc>
        <w:tc>
          <w:tcPr>
            <w:tcW w:w="300" w:type="dxa"/>
            <w:vAlign w:val="bottom"/>
            <w:gridSpan w:val="2"/>
            <w:shd w:val="clear" w:color="auto" w:fill="E6E6E6"/>
          </w:tcPr>
          <w:p>
            <w:pPr>
              <w:ind w:left="120"/>
              <w:spacing w:after="0"/>
              <w:rPr>
                <w:sz w:val="20"/>
                <w:szCs w:val="20"/>
                <w:color w:val="auto"/>
              </w:rPr>
            </w:pPr>
            <w:r>
              <w:rPr>
                <w:rFonts w:ascii="Arial" w:cs="Arial" w:eastAsia="Arial" w:hAnsi="Arial"/>
                <w:sz w:val="19"/>
                <w:szCs w:val="19"/>
                <w:color w:val="auto"/>
              </w:rPr>
              <w:t>$</w:t>
            </w:r>
          </w:p>
        </w:tc>
        <w:tc>
          <w:tcPr>
            <w:tcW w:w="520" w:type="dxa"/>
            <w:vAlign w:val="bottom"/>
            <w:shd w:val="clear" w:color="auto" w:fill="E6E6E6"/>
          </w:tcPr>
          <w:p>
            <w:pPr>
              <w:ind w:left="240"/>
              <w:spacing w:after="0"/>
              <w:rPr>
                <w:sz w:val="20"/>
                <w:szCs w:val="20"/>
                <w:color w:val="auto"/>
              </w:rPr>
            </w:pPr>
            <w:r>
              <w:rPr>
                <w:rFonts w:ascii="Arial" w:cs="Arial" w:eastAsia="Arial" w:hAnsi="Arial"/>
                <w:sz w:val="19"/>
                <w:szCs w:val="19"/>
                <w:color w:val="auto"/>
              </w:rPr>
              <w:t>—</w:t>
            </w:r>
          </w:p>
        </w:tc>
        <w:tc>
          <w:tcPr>
            <w:tcW w:w="8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$ 17,300</w:t>
            </w:r>
          </w:p>
        </w:tc>
        <w:tc>
          <w:tcPr>
            <w:tcW w:w="8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$ 7,123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1477010</wp:posOffset>
            </wp:positionH>
            <wp:positionV relativeFrom="paragraph">
              <wp:posOffset>-187325</wp:posOffset>
            </wp:positionV>
            <wp:extent cx="485838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16">
                      <a:extLst>
                        <a:ext uri="{28A0092B-C50C-407E-A947-70E740481C1C}"/>
                      </a:extLst>
                    </a:blip>
                    <a:srcRect/>
                    <a:stretch>
                      <a:fillRect/>
                    </a:stretch>
                  </pic:blipFill>
                  <pic:spPr bwMode="auto">
                    <a:xfrm>
                      <a:off x="0" y="0"/>
                      <a:ext cx="4858385" cy="25400"/>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Fair value of the financial instruments included in the tables above was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207645</wp:posOffset>
            </wp:positionV>
            <wp:extent cx="614299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17">
                      <a:extLst>
                        <a:ext uri="{28A0092B-C50C-407E-A947-70E740481C1C}"/>
                      </a:extLst>
                    </a:blip>
                    <a:srcRect/>
                    <a:stretch>
                      <a:fillRect/>
                    </a:stretch>
                  </pic:blipFill>
                  <pic:spPr bwMode="auto">
                    <a:xfrm>
                      <a:off x="0" y="0"/>
                      <a:ext cx="6142990" cy="25400"/>
                    </a:xfrm>
                    <a:prstGeom prst="rect">
                      <a:avLst/>
                    </a:prstGeom>
                    <a:noFill/>
                  </pic:spPr>
                </pic:pic>
              </a:graphicData>
            </a:graphic>
          </wp:anchor>
        </w:drawing>
      </w: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3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Description</w:t>
            </w:r>
          </w:p>
        </w:tc>
        <w:tc>
          <w:tcPr>
            <w:tcW w:w="6260" w:type="dxa"/>
            <w:vAlign w:val="bottom"/>
            <w:tcBorders>
              <w:top w:val="single" w:sz="8" w:color="auto"/>
              <w:bottom w:val="single" w:sz="8" w:color="auto"/>
              <w:right w:val="single" w:sz="8" w:color="auto"/>
            </w:tcBorders>
          </w:tcPr>
          <w:p>
            <w:pPr>
              <w:ind w:left="2320"/>
              <w:spacing w:after="0"/>
              <w:rPr>
                <w:sz w:val="20"/>
                <w:szCs w:val="20"/>
                <w:color w:val="auto"/>
              </w:rPr>
            </w:pPr>
            <w:r>
              <w:rPr>
                <w:rFonts w:ascii="Arial" w:cs="Arial" w:eastAsia="Arial" w:hAnsi="Arial"/>
                <w:sz w:val="16"/>
                <w:szCs w:val="16"/>
                <w:b w:val="1"/>
                <w:bCs w:val="1"/>
                <w:color w:val="auto"/>
              </w:rPr>
              <w:t>Fair Value Methodology</w:t>
            </w:r>
          </w:p>
        </w:tc>
      </w:tr>
      <w:tr>
        <w:trPr>
          <w:trHeight w:val="176"/>
        </w:trPr>
        <w:tc>
          <w:tcPr>
            <w:tcW w:w="3380" w:type="dxa"/>
            <w:vAlign w:val="bottom"/>
            <w:tcBorders>
              <w:left w:val="single" w:sz="8" w:color="auto"/>
              <w:right w:val="single" w:sz="8" w:color="auto"/>
            </w:tcBorders>
          </w:tcPr>
          <w:p>
            <w:pPr>
              <w:ind w:left="60"/>
              <w:spacing w:after="0" w:line="176" w:lineRule="exact"/>
              <w:rPr>
                <w:sz w:val="20"/>
                <w:szCs w:val="20"/>
                <w:color w:val="auto"/>
              </w:rPr>
            </w:pPr>
            <w:r>
              <w:rPr>
                <w:rFonts w:ascii="Arial" w:cs="Arial" w:eastAsia="Arial" w:hAnsi="Arial"/>
                <w:sz w:val="19"/>
                <w:szCs w:val="19"/>
                <w:color w:val="auto"/>
              </w:rPr>
              <w:t>Cash and cash equivalents and</w:t>
            </w:r>
          </w:p>
        </w:tc>
        <w:tc>
          <w:tcPr>
            <w:tcW w:w="626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9"/>
                <w:szCs w:val="19"/>
                <w:color w:val="auto"/>
              </w:rPr>
              <w:t>The carrying amounts of these assets approximate fair value.</w:t>
            </w:r>
          </w:p>
        </w:tc>
      </w:tr>
      <w:tr>
        <w:trPr>
          <w:trHeight w:val="253"/>
        </w:trPr>
        <w:tc>
          <w:tcPr>
            <w:tcW w:w="33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w w:val="94"/>
              </w:rPr>
              <w:t>Restricted cash (current and non-current)</w:t>
            </w:r>
          </w:p>
        </w:tc>
        <w:tc>
          <w:tcPr>
            <w:tcW w:w="6260" w:type="dxa"/>
            <w:vAlign w:val="bottom"/>
            <w:tcBorders>
              <w:right w:val="single" w:sz="8" w:color="auto"/>
            </w:tcBorders>
          </w:tcPr>
          <w:p>
            <w:pPr>
              <w:spacing w:after="0"/>
              <w:rPr>
                <w:sz w:val="22"/>
                <w:szCs w:val="22"/>
                <w:color w:val="auto"/>
              </w:rPr>
            </w:pPr>
          </w:p>
        </w:tc>
      </w:tr>
      <w:tr>
        <w:trPr>
          <w:trHeight w:val="32"/>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6260" w:type="dxa"/>
            <w:vAlign w:val="bottom"/>
            <w:tcBorders>
              <w:bottom w:val="single" w:sz="8" w:color="auto"/>
              <w:right w:val="single" w:sz="8" w:color="auto"/>
            </w:tcBorders>
          </w:tcPr>
          <w:p>
            <w:pPr>
              <w:spacing w:after="0"/>
              <w:rPr>
                <w:sz w:val="2"/>
                <w:szCs w:val="2"/>
                <w:color w:val="auto"/>
              </w:rPr>
            </w:pPr>
          </w:p>
        </w:tc>
      </w:tr>
      <w:tr>
        <w:trPr>
          <w:trHeight w:val="175"/>
        </w:trPr>
        <w:tc>
          <w:tcPr>
            <w:tcW w:w="3380" w:type="dxa"/>
            <w:vAlign w:val="bottom"/>
            <w:tcBorders>
              <w:left w:val="single" w:sz="8" w:color="auto"/>
              <w:right w:val="single" w:sz="8" w:color="auto"/>
            </w:tcBorders>
          </w:tcPr>
          <w:p>
            <w:pPr>
              <w:ind w:left="60"/>
              <w:spacing w:after="0" w:line="175" w:lineRule="exact"/>
              <w:rPr>
                <w:sz w:val="20"/>
                <w:szCs w:val="20"/>
                <w:color w:val="auto"/>
              </w:rPr>
            </w:pPr>
            <w:r>
              <w:rPr>
                <w:rFonts w:ascii="Arial" w:cs="Arial" w:eastAsia="Arial" w:hAnsi="Arial"/>
                <w:sz w:val="19"/>
                <w:szCs w:val="19"/>
                <w:color w:val="auto"/>
              </w:rPr>
              <w:t>Short-term and Long-term investments</w:t>
            </w:r>
          </w:p>
        </w:tc>
        <w:tc>
          <w:tcPr>
            <w:tcW w:w="626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9"/>
                <w:szCs w:val="19"/>
                <w:color w:val="auto"/>
              </w:rPr>
              <w:t>Fair value is based on (a) the trading prices of the investment or similar</w:t>
            </w:r>
          </w:p>
        </w:tc>
      </w:tr>
      <w:tr>
        <w:trPr>
          <w:trHeight w:val="255"/>
        </w:trPr>
        <w:tc>
          <w:tcPr>
            <w:tcW w:w="3380" w:type="dxa"/>
            <w:vAlign w:val="bottom"/>
            <w:tcBorders>
              <w:left w:val="single" w:sz="8" w:color="auto"/>
              <w:bottom w:val="single" w:sz="8" w:color="auto"/>
              <w:right w:val="single" w:sz="8" w:color="auto"/>
            </w:tcBorders>
          </w:tcPr>
          <w:p>
            <w:pPr>
              <w:spacing w:after="0"/>
              <w:rPr>
                <w:sz w:val="22"/>
                <w:szCs w:val="22"/>
                <w:color w:val="auto"/>
              </w:rPr>
            </w:pPr>
          </w:p>
        </w:tc>
        <w:tc>
          <w:tcPr>
            <w:tcW w:w="6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w w:val="98"/>
              </w:rPr>
              <w:t>instruments or (b) broker quotes obtained by third-party valuation services.</w:t>
            </w:r>
          </w:p>
        </w:tc>
      </w:tr>
      <w:tr>
        <w:trPr>
          <w:trHeight w:val="215"/>
        </w:trPr>
        <w:tc>
          <w:tcPr>
            <w:tcW w:w="3380" w:type="dxa"/>
            <w:vAlign w:val="bottom"/>
            <w:tcBorders>
              <w:left w:val="single" w:sz="8" w:color="auto"/>
              <w:right w:val="single" w:sz="8" w:color="auto"/>
            </w:tcBorders>
          </w:tcPr>
          <w:p>
            <w:pPr>
              <w:ind w:left="60"/>
              <w:spacing w:after="0" w:line="215" w:lineRule="exact"/>
              <w:rPr>
                <w:sz w:val="20"/>
                <w:szCs w:val="20"/>
                <w:color w:val="auto"/>
              </w:rPr>
            </w:pPr>
            <w:r>
              <w:rPr>
                <w:rFonts w:ascii="Arial" w:cs="Arial" w:eastAsia="Arial" w:hAnsi="Arial"/>
                <w:sz w:val="19"/>
                <w:szCs w:val="19"/>
                <w:color w:val="auto"/>
              </w:rPr>
              <w:t>Long-term debt</w:t>
            </w:r>
          </w:p>
        </w:tc>
        <w:tc>
          <w:tcPr>
            <w:tcW w:w="6260" w:type="dxa"/>
            <w:vAlign w:val="bottom"/>
            <w:tcBorders>
              <w:right w:val="single" w:sz="8" w:color="auto"/>
            </w:tcBorders>
          </w:tcPr>
          <w:p>
            <w:pPr>
              <w:ind w:left="40"/>
              <w:spacing w:after="0" w:line="215" w:lineRule="exact"/>
              <w:rPr>
                <w:sz w:val="20"/>
                <w:szCs w:val="20"/>
                <w:color w:val="auto"/>
              </w:rPr>
            </w:pPr>
            <w:r>
              <w:rPr>
                <w:rFonts w:ascii="Arial" w:cs="Arial" w:eastAsia="Arial" w:hAnsi="Arial"/>
                <w:sz w:val="19"/>
                <w:szCs w:val="19"/>
                <w:color w:val="auto"/>
                <w:w w:val="99"/>
              </w:rPr>
              <w:t>Fair values are based on either market prices or the discounted amount of</w:t>
            </w:r>
          </w:p>
        </w:tc>
      </w:tr>
      <w:tr>
        <w:trPr>
          <w:trHeight w:val="194"/>
        </w:trPr>
        <w:tc>
          <w:tcPr>
            <w:tcW w:w="3380" w:type="dxa"/>
            <w:vAlign w:val="bottom"/>
            <w:tcBorders>
              <w:left w:val="single" w:sz="8" w:color="auto"/>
              <w:right w:val="single" w:sz="8" w:color="auto"/>
            </w:tcBorders>
          </w:tcPr>
          <w:p>
            <w:pPr>
              <w:spacing w:after="0"/>
              <w:rPr>
                <w:sz w:val="16"/>
                <w:szCs w:val="16"/>
                <w:color w:val="auto"/>
              </w:rPr>
            </w:pPr>
          </w:p>
        </w:tc>
        <w:tc>
          <w:tcPr>
            <w:tcW w:w="6260" w:type="dxa"/>
            <w:vAlign w:val="bottom"/>
            <w:tcBorders>
              <w:right w:val="single" w:sz="8" w:color="auto"/>
            </w:tcBorders>
          </w:tcPr>
          <w:p>
            <w:pPr>
              <w:ind w:left="40"/>
              <w:spacing w:after="0" w:line="194" w:lineRule="exact"/>
              <w:rPr>
                <w:sz w:val="20"/>
                <w:szCs w:val="20"/>
                <w:color w:val="auto"/>
              </w:rPr>
            </w:pPr>
            <w:r>
              <w:rPr>
                <w:rFonts w:ascii="Arial" w:cs="Arial" w:eastAsia="Arial" w:hAnsi="Arial"/>
                <w:sz w:val="19"/>
                <w:szCs w:val="19"/>
                <w:color w:val="auto"/>
                <w:w w:val="98"/>
              </w:rPr>
              <w:t>future cash flows using our current incremental rate of borrowing for similar</w:t>
            </w:r>
          </w:p>
        </w:tc>
      </w:tr>
      <w:tr>
        <w:trPr>
          <w:trHeight w:val="255"/>
        </w:trPr>
        <w:tc>
          <w:tcPr>
            <w:tcW w:w="3380" w:type="dxa"/>
            <w:vAlign w:val="bottom"/>
            <w:tcBorders>
              <w:left w:val="single" w:sz="8" w:color="auto"/>
              <w:bottom w:val="single" w:sz="8" w:color="auto"/>
              <w:right w:val="single" w:sz="8" w:color="auto"/>
            </w:tcBorders>
          </w:tcPr>
          <w:p>
            <w:pPr>
              <w:spacing w:after="0"/>
              <w:rPr>
                <w:sz w:val="22"/>
                <w:szCs w:val="22"/>
                <w:color w:val="auto"/>
              </w:rPr>
            </w:pPr>
          </w:p>
        </w:tc>
        <w:tc>
          <w:tcPr>
            <w:tcW w:w="6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liabilities.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-1043940</wp:posOffset>
            </wp:positionV>
            <wp:extent cx="614299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18">
                      <a:extLst>
                        <a:ext uri="{28A0092B-C50C-407E-A947-70E740481C1C}"/>
                      </a:extLst>
                    </a:blip>
                    <a:srcRect/>
                    <a:stretch>
                      <a:fillRect/>
                    </a:stretch>
                  </pic:blipFill>
                  <pic:spPr bwMode="auto">
                    <a:xfrm>
                      <a:off x="0" y="0"/>
                      <a:ext cx="6142990" cy="25400"/>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-739140</wp:posOffset>
            </wp:positionV>
            <wp:extent cx="400812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19">
                      <a:extLst>
                        <a:ext uri="{28A0092B-C50C-407E-A947-70E740481C1C}"/>
                      </a:extLst>
                    </a:blip>
                    <a:srcRect/>
                    <a:stretch>
                      <a:fillRect/>
                    </a:stretch>
                  </pic:blipFill>
                  <pic:spPr bwMode="auto">
                    <a:xfrm>
                      <a:off x="0" y="0"/>
                      <a:ext cx="4008120" cy="25400"/>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-452755</wp:posOffset>
            </wp:positionV>
            <wp:extent cx="400812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20">
                      <a:extLst>
                        <a:ext uri="{28A0092B-C50C-407E-A947-70E740481C1C}"/>
                      </a:extLst>
                    </a:blip>
                    <a:srcRect/>
                    <a:stretch>
                      <a:fillRect/>
                    </a:stretch>
                  </pic:blipFill>
                  <pic:spPr bwMode="auto">
                    <a:xfrm>
                      <a:off x="0" y="0"/>
                      <a:ext cx="4008120" cy="2540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-18415</wp:posOffset>
            </wp:positionV>
            <wp:extent cx="614299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21">
                      <a:extLst>
                        <a:ext uri="{28A0092B-C50C-407E-A947-70E740481C1C}"/>
                      </a:extLst>
                    </a:blip>
                    <a:srcRect/>
                    <a:stretch>
                      <a:fillRect/>
                    </a:stretch>
                  </pic:blipFill>
                  <pic:spPr bwMode="auto">
                    <a:xfrm>
                      <a:off x="0" y="0"/>
                      <a:ext cx="6142990" cy="25400"/>
                    </a:xfrm>
                    <a:prstGeom prst="rect">
                      <a:avLst/>
                    </a:prstGeom>
                    <a:noFill/>
                  </pic:spPr>
                </pic:pic>
              </a:graphicData>
            </a:graphic>
          </wp:anchor>
        </w:drawing>
      </w:r>
    </w:p>
    <w:p>
      <w:pPr>
        <w:spacing w:after="0" w:line="177" w:lineRule="exact"/>
        <w:rPr>
          <w:sz w:val="20"/>
          <w:szCs w:val="20"/>
          <w:color w:val="auto"/>
        </w:rPr>
      </w:pPr>
    </w:p>
    <w:p>
      <w:pPr>
        <w:jc w:val="both"/>
        <w:ind w:right="340"/>
        <w:spacing w:after="0" w:line="342" w:lineRule="auto"/>
        <w:rPr>
          <w:sz w:val="20"/>
          <w:szCs w:val="20"/>
          <w:color w:val="auto"/>
        </w:rPr>
      </w:pPr>
      <w:r>
        <w:rPr>
          <w:rFonts w:ascii="Arial" w:cs="Arial" w:eastAsia="Arial" w:hAnsi="Arial"/>
          <w:sz w:val="17"/>
          <w:szCs w:val="17"/>
          <w:b w:val="1"/>
          <w:bCs w:val="1"/>
          <w:color w:val="auto"/>
        </w:rPr>
        <w:t xml:space="preserve">Equity Method Investments. </w:t>
      </w:r>
      <w:r>
        <w:rPr>
          <w:rFonts w:ascii="Arial" w:cs="Arial" w:eastAsia="Arial" w:hAnsi="Arial"/>
          <w:sz w:val="17"/>
          <w:szCs w:val="17"/>
          <w:color w:val="auto"/>
        </w:rPr>
        <w:t>As of December 31, 2025, United holds investments, accounted for using the equity method,</w:t>
      </w:r>
      <w:r>
        <w:rPr>
          <w:rFonts w:ascii="Arial" w:cs="Arial" w:eastAsia="Arial" w:hAnsi="Arial"/>
          <w:sz w:val="17"/>
          <w:szCs w:val="17"/>
          <w:b w:val="1"/>
          <w:bCs w:val="1"/>
          <w:color w:val="auto"/>
        </w:rPr>
        <w:t xml:space="preserve"> </w:t>
      </w:r>
      <w:r>
        <w:rPr>
          <w:rFonts w:ascii="Arial" w:cs="Arial" w:eastAsia="Arial" w:hAnsi="Arial"/>
          <w:sz w:val="17"/>
          <w:szCs w:val="17"/>
          <w:color w:val="auto"/>
        </w:rPr>
        <w:t>with a combined carrying value of approximately $273 million. Significant equity method investments are described below:</w:t>
      </w:r>
    </w:p>
    <w:p>
      <w:pPr>
        <w:spacing w:after="0" w:line="53" w:lineRule="exact"/>
        <w:rPr>
          <w:sz w:val="20"/>
          <w:szCs w:val="20"/>
          <w:color w:val="auto"/>
        </w:rPr>
      </w:pPr>
    </w:p>
    <w:p>
      <w:pPr>
        <w:ind w:left="700" w:right="20" w:hanging="348"/>
        <w:spacing w:after="0" w:line="273"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Republic Airways Holdings Inc. </w:t>
      </w:r>
      <w:r>
        <w:rPr>
          <w:rFonts w:ascii="Arial" w:cs="Arial" w:eastAsia="Arial" w:hAnsi="Arial"/>
          <w:sz w:val="18"/>
          <w:szCs w:val="18"/>
          <w:color w:val="auto"/>
        </w:rPr>
        <w:t>On November 25, 2025, Mesa consummated the transactions contemplated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Plan of Conversion and Plan of Merger, dated April 4, 2025 (the "Merger Agreement"), with Republic Airways Holdings Inc. ("Legacy Republic"). Subject to the terms and conditions of the Merger Agreement, Legacy Republic merged with and into Mesa (the "Merger"), with the Mesa legal entity continuing as the surviving corporation following the Merger and renamed "Republic Airways Holdings Inc." ("Republic"). Concurrent with the execution of the Merger Agreement, Legacy Republic, Mesa and its affiliates, and United entered into a Three Party Agreement that provided for certain actions to be taken subject to the terms and conditions therein to facilitate transactions related to the Merger, including United's commitment to facilitate, by making certain financial contributions to Mesa, Mesa's disposition of certain assets and its extinguishment of certain liabilities in exchange for United receiving additional shares of up to 6% of the total equity interests of Republic, subject to final determination within 60 days of the completion of the Merger. As of December 31, 2025, United accounted for the consideration to be received within Receivables, net on its consolidated balance sheets. On February 3, 2026, the Company and Republic reached an agreement on the remaining shares and the Company received an additional allocation of 2,744,348 shares, or approximately 5.8% of Republic, for a total ownership interest of approximately 22.3% of the issued and outstanding common stock of Republic. As of December 31, 2025, United held approximately 16.5% minority interest in Republic. As of December 31, 2024, United held a 19% minority interest in Legacy Republic and a 10% minority interest in Mesa. Republic Airways Inc. currently operates 66 regional aircraft under CPAs with United that have terms through 2037. Mesa Airlines, Inc. currently operates 60 regional aircraft under a CPA with a term through 2036.</w:t>
      </w:r>
    </w:p>
    <w:p>
      <w:pPr>
        <w:spacing w:after="0" w:line="125" w:lineRule="exact"/>
        <w:rPr>
          <w:rFonts w:ascii="Arial" w:cs="Arial" w:eastAsia="Arial" w:hAnsi="Arial"/>
          <w:sz w:val="18"/>
          <w:szCs w:val="18"/>
          <w:color w:val="auto"/>
        </w:rPr>
      </w:pPr>
    </w:p>
    <w:p>
      <w:pPr>
        <w:ind w:left="700" w:right="60" w:hanging="348"/>
        <w:spacing w:after="0" w:line="297" w:lineRule="auto"/>
        <w:tabs>
          <w:tab w:leader="none" w:pos="700" w:val="left"/>
        </w:tabs>
        <w:numPr>
          <w:ilvl w:val="0"/>
          <w:numId w:val="3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CommuteAir LLC. </w:t>
      </w:r>
      <w:r>
        <w:rPr>
          <w:rFonts w:ascii="Arial" w:cs="Arial" w:eastAsia="Arial" w:hAnsi="Arial"/>
          <w:sz w:val="19"/>
          <w:szCs w:val="19"/>
          <w:color w:val="auto"/>
        </w:rPr>
        <w:t>United owns a 40% minority ownership stake in CommuteAir LLC ("CommuteAir"). CommuteAir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currently operates 59 regional aircraft under a CPA that has a term through 2028.</w:t>
      </w:r>
    </w:p>
    <w:p>
      <w:pPr>
        <w:spacing w:after="0" w:line="109" w:lineRule="exact"/>
        <w:rPr>
          <w:rFonts w:ascii="Arial" w:cs="Arial" w:eastAsia="Arial" w:hAnsi="Arial"/>
          <w:sz w:val="19"/>
          <w:szCs w:val="19"/>
          <w:color w:val="auto"/>
        </w:rPr>
      </w:pPr>
    </w:p>
    <w:p>
      <w:pPr>
        <w:ind w:left="700" w:right="220" w:hanging="348"/>
        <w:spacing w:after="0" w:line="284" w:lineRule="auto"/>
        <w:tabs>
          <w:tab w:leader="none" w:pos="700" w:val="left"/>
        </w:tabs>
        <w:numPr>
          <w:ilvl w:val="0"/>
          <w:numId w:val="34"/>
        </w:numPr>
        <w:rPr>
          <w:rFonts w:ascii="Arial" w:cs="Arial" w:eastAsia="Arial" w:hAnsi="Arial"/>
          <w:sz w:val="21"/>
          <w:szCs w:val="21"/>
          <w:b w:val="1"/>
          <w:bCs w:val="1"/>
          <w:i w:val="1"/>
          <w:iCs w:val="1"/>
          <w:color w:val="auto"/>
        </w:rPr>
      </w:pPr>
      <w:r>
        <w:rPr>
          <w:rFonts w:ascii="Arial" w:cs="Arial" w:eastAsia="Arial" w:hAnsi="Arial"/>
          <w:sz w:val="19"/>
          <w:szCs w:val="19"/>
          <w:b w:val="1"/>
          <w:bCs w:val="1"/>
          <w:i w:val="1"/>
          <w:iCs w:val="1"/>
          <w:color w:val="auto"/>
        </w:rPr>
        <w:t>United Airlines Ventures Sustainable Flight Fund (the "Fund")</w:t>
      </w:r>
      <w:r>
        <w:rPr>
          <w:rFonts w:ascii="Arial" w:cs="Arial" w:eastAsia="Arial" w:hAnsi="Arial"/>
          <w:sz w:val="19"/>
          <w:szCs w:val="19"/>
          <w:color w:val="auto"/>
        </w:rPr>
        <w:t>. United holds, through its corporate venture capital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arm, United Airlines Ventures, Ltd., a 33% ownership interest in the Fund. The Fund is an investment vehicle designed to support start-ups developing technologies focused on decarbonizing aviation and its associated energy supply chains, including through research and production, and technologies associated with sustainable aviation fuel (SAF).</w:t>
      </w:r>
    </w:p>
    <w:p>
      <w:pPr>
        <w:spacing w:after="0" w:line="125" w:lineRule="exact"/>
        <w:rPr>
          <w:sz w:val="20"/>
          <w:szCs w:val="20"/>
          <w:color w:val="auto"/>
        </w:rPr>
      </w:pPr>
    </w:p>
    <w:p>
      <w:pPr>
        <w:ind w:right="20"/>
        <w:spacing w:after="0" w:line="323" w:lineRule="auto"/>
        <w:rPr>
          <w:sz w:val="20"/>
          <w:szCs w:val="20"/>
          <w:color w:val="auto"/>
        </w:rPr>
      </w:pPr>
      <w:r>
        <w:rPr>
          <w:rFonts w:ascii="Arial" w:cs="Arial" w:eastAsia="Arial" w:hAnsi="Arial"/>
          <w:sz w:val="17"/>
          <w:szCs w:val="17"/>
          <w:b w:val="1"/>
          <w:bCs w:val="1"/>
          <w:color w:val="auto"/>
        </w:rPr>
        <w:t xml:space="preserve">Other Investments. </w:t>
      </w:r>
      <w:r>
        <w:rPr>
          <w:rFonts w:ascii="Arial" w:cs="Arial" w:eastAsia="Arial" w:hAnsi="Arial"/>
          <w:sz w:val="17"/>
          <w:szCs w:val="17"/>
          <w:color w:val="auto"/>
        </w:rPr>
        <w:t>United has equity investments in Abra Group Limited, a multinational airline holding company, JetSuiteX,</w:t>
      </w:r>
      <w:r>
        <w:rPr>
          <w:rFonts w:ascii="Arial" w:cs="Arial" w:eastAsia="Arial" w:hAnsi="Arial"/>
          <w:sz w:val="17"/>
          <w:szCs w:val="17"/>
          <w:b w:val="1"/>
          <w:bCs w:val="1"/>
          <w:color w:val="auto"/>
        </w:rPr>
        <w:t xml:space="preserve"> </w:t>
      </w:r>
      <w:r>
        <w:rPr>
          <w:rFonts w:ascii="Arial" w:cs="Arial" w:eastAsia="Arial" w:hAnsi="Arial"/>
          <w:sz w:val="17"/>
          <w:szCs w:val="17"/>
          <w:color w:val="auto"/>
        </w:rPr>
        <w:t>Inc., an independent air carrier doing business as JSX, as well as a number of companies with emerging technologies and sustainable solutions. None of these investments have readily determinable fair values. We account for these investments at cost</w:t>
      </w:r>
    </w:p>
    <w:p>
      <w:pPr>
        <w:sectPr>
          <w:pgSz w:w="11880" w:h="15480" w:orient="portrait"/>
          <w:cols w:equalWidth="0" w:num="1">
            <w:col w:w="9960"/>
          </w:cols>
          <w:pgMar w:left="960" w:top="586" w:right="960" w:bottom="33" w:gutter="0" w:footer="0" w:header="0"/>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9960"/>
          </w:cols>
          <w:pgMar w:left="960" w:top="586" w:right="960" w:bottom="33" w:gutter="0" w:footer="0" w:header="0"/>
          <w:type w:val="continuous"/>
        </w:sectPr>
      </w:pPr>
    </w:p>
    <w:bookmarkStart w:id="87" w:name="page88"/>
    <w:bookmarkEnd w:id="87"/>
    <w:p>
      <w:pPr>
        <w:ind w:right="60"/>
        <w:spacing w:after="0" w:line="294" w:lineRule="auto"/>
        <w:rPr>
          <w:sz w:val="20"/>
          <w:szCs w:val="20"/>
          <w:color w:val="auto"/>
        </w:rPr>
      </w:pPr>
      <w:r>
        <w:rPr>
          <w:rFonts w:ascii="Arial" w:cs="Arial" w:eastAsia="Arial" w:hAnsi="Arial"/>
          <w:sz w:val="19"/>
          <w:szCs w:val="19"/>
          <w:color w:val="auto"/>
        </w:rPr>
        <w:t>less impairment, adjusted for observable price changes in orderly transactions for an identical or similar investment of the same issuer. As of December 31, 2025, the carrying value of these investments was $339 million.</w:t>
      </w:r>
    </w:p>
    <w:p>
      <w:pPr>
        <w:spacing w:after="0" w:line="101"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b w:val="1"/>
          <w:bCs w:val="1"/>
          <w:color w:val="auto"/>
        </w:rPr>
        <w:t xml:space="preserve">Notes Receivable. </w:t>
      </w:r>
      <w:r>
        <w:rPr>
          <w:rFonts w:ascii="Arial" w:cs="Arial" w:eastAsia="Arial" w:hAnsi="Arial"/>
          <w:sz w:val="19"/>
          <w:szCs w:val="19"/>
          <w:color w:val="auto"/>
        </w:rPr>
        <w:t>As of December 31, 2025, the Company has $54 million of notes receivable, net of allowance for credit</w:t>
      </w:r>
      <w:r>
        <w:rPr>
          <w:rFonts w:ascii="Arial" w:cs="Arial" w:eastAsia="Arial" w:hAnsi="Arial"/>
          <w:sz w:val="19"/>
          <w:szCs w:val="19"/>
          <w:b w:val="1"/>
          <w:bCs w:val="1"/>
          <w:color w:val="auto"/>
        </w:rPr>
        <w:t xml:space="preserve"> </w:t>
      </w:r>
      <w:r>
        <w:rPr>
          <w:rFonts w:ascii="Arial" w:cs="Arial" w:eastAsia="Arial" w:hAnsi="Arial"/>
          <w:sz w:val="19"/>
          <w:szCs w:val="19"/>
          <w:color w:val="auto"/>
        </w:rPr>
        <w:t>losses, the majority of which is from certain of its regional carriers. The current portions of the notes receivable are recorded in Receivables, net and the noncurrent portions are recorded in Investments in affiliates and other, net on the Company's consolidated balance sheet.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580" w:type="dxa"/>
            <w:vAlign w:val="bottom"/>
            <w:gridSpan w:val="4"/>
          </w:tcPr>
          <w:p>
            <w:pPr>
              <w:spacing w:after="0"/>
              <w:rPr>
                <w:sz w:val="20"/>
                <w:szCs w:val="20"/>
                <w:color w:val="auto"/>
              </w:rPr>
            </w:pPr>
            <w:r>
              <w:rPr>
                <w:rFonts w:ascii="Arial" w:cs="Arial" w:eastAsia="Arial" w:hAnsi="Arial"/>
                <w:sz w:val="19"/>
                <w:szCs w:val="19"/>
                <w:b w:val="1"/>
                <w:bCs w:val="1"/>
                <w:color w:val="auto"/>
              </w:rPr>
              <w:t>NOTE 10 - DEBT</w:t>
            </w:r>
          </w:p>
        </w:tc>
        <w:tc>
          <w:tcPr>
            <w:tcW w:w="1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60" w:type="dxa"/>
            <w:vAlign w:val="bottom"/>
          </w:tcPr>
          <w:p>
            <w:pPr>
              <w:spacing w:after="0"/>
              <w:rPr>
                <w:sz w:val="24"/>
                <w:szCs w:val="24"/>
                <w:color w:val="auto"/>
              </w:rPr>
            </w:pPr>
          </w:p>
        </w:tc>
        <w:tc>
          <w:tcPr>
            <w:tcW w:w="4520" w:type="dxa"/>
            <w:vAlign w:val="bottom"/>
            <w:gridSpan w:val="3"/>
            <w:vMerge w:val="restart"/>
          </w:tcPr>
          <w:p>
            <w:pPr>
              <w:spacing w:after="0"/>
              <w:rPr>
                <w:sz w:val="20"/>
                <w:szCs w:val="20"/>
                <w:color w:val="auto"/>
              </w:rPr>
            </w:pPr>
            <w:r>
              <w:rPr>
                <w:rFonts w:ascii="Arial" w:cs="Arial" w:eastAsia="Arial" w:hAnsi="Arial"/>
                <w:sz w:val="19"/>
                <w:szCs w:val="19"/>
                <w:b w:val="1"/>
                <w:bCs w:val="1"/>
                <w:color w:val="auto"/>
              </w:rPr>
              <w:t>(In millions)</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right="220"/>
              <w:spacing w:after="0"/>
              <w:rPr>
                <w:sz w:val="20"/>
                <w:szCs w:val="20"/>
                <w:color w:val="auto"/>
              </w:rPr>
            </w:pPr>
            <w:r>
              <w:rPr>
                <w:rFonts w:ascii="Arial" w:cs="Arial" w:eastAsia="Arial" w:hAnsi="Arial"/>
                <w:sz w:val="19"/>
                <w:szCs w:val="19"/>
                <w:b w:val="1"/>
                <w:bCs w:val="1"/>
                <w:color w:val="auto"/>
                <w:w w:val="93"/>
              </w:rPr>
              <w:t>Interest Rate(s)</w:t>
            </w:r>
          </w:p>
        </w:tc>
        <w:tc>
          <w:tcPr>
            <w:tcW w:w="200" w:type="dxa"/>
            <w:vAlign w:val="bottom"/>
          </w:tcPr>
          <w:p>
            <w:pPr>
              <w:spacing w:after="0"/>
              <w:rPr>
                <w:sz w:val="24"/>
                <w:szCs w:val="24"/>
                <w:color w:val="auto"/>
              </w:rPr>
            </w:pPr>
          </w:p>
        </w:tc>
        <w:tc>
          <w:tcPr>
            <w:tcW w:w="1700" w:type="dxa"/>
            <w:vAlign w:val="bottom"/>
            <w:gridSpan w:val="4"/>
            <w:vMerge w:val="restart"/>
          </w:tcPr>
          <w:p>
            <w:pPr>
              <w:jc w:val="right"/>
              <w:ind w:right="143"/>
              <w:spacing w:after="0"/>
              <w:rPr>
                <w:sz w:val="20"/>
                <w:szCs w:val="20"/>
                <w:color w:val="auto"/>
              </w:rPr>
            </w:pPr>
            <w:r>
              <w:rPr>
                <w:rFonts w:ascii="Arial" w:cs="Arial" w:eastAsia="Arial" w:hAnsi="Arial"/>
                <w:sz w:val="19"/>
                <w:szCs w:val="19"/>
                <w:b w:val="1"/>
                <w:bCs w:val="1"/>
                <w:color w:val="auto"/>
                <w:w w:val="96"/>
              </w:rPr>
              <w:t>At December 31,</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4520" w:type="dxa"/>
            <w:vAlign w:val="bottom"/>
            <w:gridSpan w:val="3"/>
            <w:vMerge w:val="continue"/>
          </w:tcPr>
          <w:p>
            <w:pPr>
              <w:spacing w:after="0"/>
              <w:rPr>
                <w:sz w:val="9"/>
                <w:szCs w:val="9"/>
                <w:color w:val="auto"/>
              </w:rPr>
            </w:pPr>
          </w:p>
        </w:tc>
        <w:tc>
          <w:tcPr>
            <w:tcW w:w="1320" w:type="dxa"/>
            <w:vAlign w:val="bottom"/>
            <w:vMerge w:val="restart"/>
          </w:tcPr>
          <w:p>
            <w:pPr>
              <w:jc w:val="center"/>
              <w:spacing w:after="0" w:line="158" w:lineRule="exact"/>
              <w:rPr>
                <w:sz w:val="20"/>
                <w:szCs w:val="20"/>
                <w:color w:val="auto"/>
              </w:rPr>
            </w:pPr>
            <w:r>
              <w:rPr>
                <w:rFonts w:ascii="Arial" w:cs="Arial" w:eastAsia="Arial" w:hAnsi="Arial"/>
                <w:sz w:val="18"/>
                <w:szCs w:val="18"/>
                <w:b w:val="1"/>
                <w:bCs w:val="1"/>
                <w:color w:val="auto"/>
              </w:rPr>
              <w:t>Maturity</w:t>
            </w:r>
          </w:p>
        </w:tc>
        <w:tc>
          <w:tcPr>
            <w:tcW w:w="280" w:type="dxa"/>
            <w:vAlign w:val="bottom"/>
          </w:tcPr>
          <w:p>
            <w:pPr>
              <w:spacing w:after="0"/>
              <w:rPr>
                <w:sz w:val="9"/>
                <w:szCs w:val="9"/>
                <w:color w:val="auto"/>
              </w:rPr>
            </w:pPr>
          </w:p>
        </w:tc>
        <w:tc>
          <w:tcPr>
            <w:tcW w:w="1800" w:type="dxa"/>
            <w:vAlign w:val="bottom"/>
            <w:gridSpan w:val="3"/>
            <w:vMerge w:val="restart"/>
          </w:tcPr>
          <w:p>
            <w:pPr>
              <w:jc w:val="center"/>
              <w:ind w:right="220"/>
              <w:spacing w:after="0" w:line="158" w:lineRule="exact"/>
              <w:rPr>
                <w:sz w:val="20"/>
                <w:szCs w:val="20"/>
                <w:color w:val="auto"/>
              </w:rPr>
            </w:pPr>
            <w:r>
              <w:rPr>
                <w:rFonts w:ascii="Arial" w:cs="Arial" w:eastAsia="Arial" w:hAnsi="Arial"/>
                <w:sz w:val="18"/>
                <w:szCs w:val="18"/>
                <w:b w:val="1"/>
                <w:bCs w:val="1"/>
                <w:color w:val="auto"/>
                <w:w w:val="97"/>
              </w:rPr>
              <w:t>at December 31,</w:t>
            </w:r>
          </w:p>
        </w:tc>
        <w:tc>
          <w:tcPr>
            <w:tcW w:w="20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5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60" w:type="dxa"/>
            <w:vAlign w:val="bottom"/>
            <w:tcBorders>
              <w:bottom w:val="single" w:sz="8" w:color="E6E6E6"/>
            </w:tcBorders>
          </w:tcPr>
          <w:p>
            <w:pPr>
              <w:spacing w:after="0"/>
              <w:rPr>
                <w:sz w:val="23"/>
                <w:szCs w:val="23"/>
                <w:color w:val="auto"/>
              </w:rPr>
            </w:pPr>
          </w:p>
        </w:tc>
        <w:tc>
          <w:tcPr>
            <w:tcW w:w="820" w:type="dxa"/>
            <w:vAlign w:val="bottom"/>
            <w:tcBorders>
              <w:bottom w:val="single" w:sz="8" w:color="E6E6E6"/>
            </w:tcBorders>
          </w:tcPr>
          <w:p>
            <w:pPr>
              <w:spacing w:after="0"/>
              <w:rPr>
                <w:sz w:val="23"/>
                <w:szCs w:val="23"/>
                <w:color w:val="auto"/>
              </w:rPr>
            </w:pPr>
          </w:p>
        </w:tc>
        <w:tc>
          <w:tcPr>
            <w:tcW w:w="200" w:type="dxa"/>
            <w:vAlign w:val="bottom"/>
            <w:tcBorders>
              <w:bottom w:val="single" w:sz="8" w:color="E6E6E6"/>
            </w:tcBorders>
          </w:tcPr>
          <w:p>
            <w:pPr>
              <w:spacing w:after="0"/>
              <w:rPr>
                <w:sz w:val="23"/>
                <w:szCs w:val="23"/>
                <w:color w:val="auto"/>
              </w:rPr>
            </w:pPr>
          </w:p>
        </w:tc>
        <w:tc>
          <w:tcPr>
            <w:tcW w:w="3500" w:type="dxa"/>
            <w:vAlign w:val="bottom"/>
            <w:tcBorders>
              <w:bottom w:val="single" w:sz="8" w:color="E6E6E6"/>
            </w:tcBorders>
          </w:tcPr>
          <w:p>
            <w:pPr>
              <w:spacing w:after="0"/>
              <w:rPr>
                <w:sz w:val="23"/>
                <w:szCs w:val="2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88"/>
              </w:rPr>
              <w:t>Dates</w:t>
            </w:r>
          </w:p>
        </w:tc>
        <w:tc>
          <w:tcPr>
            <w:tcW w:w="280" w:type="dxa"/>
            <w:vAlign w:val="bottom"/>
            <w:tcBorders>
              <w:bottom w:val="single" w:sz="8" w:color="E6E6E6"/>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463"/>
              <w:spacing w:after="0"/>
              <w:rPr>
                <w:sz w:val="20"/>
                <w:szCs w:val="20"/>
                <w:color w:val="auto"/>
              </w:rPr>
            </w:pPr>
            <w:r>
              <w:rPr>
                <w:rFonts w:ascii="Arial" w:cs="Arial" w:eastAsia="Arial" w:hAnsi="Arial"/>
                <w:sz w:val="19"/>
                <w:szCs w:val="19"/>
                <w:b w:val="1"/>
                <w:bCs w:val="1"/>
                <w:color w:val="auto"/>
                <w:w w:val="89"/>
              </w:rPr>
              <w:t>2025</w:t>
            </w:r>
          </w:p>
        </w:tc>
        <w:tc>
          <w:tcPr>
            <w:tcW w:w="24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19"/>
                <w:szCs w:val="19"/>
                <w:b w:val="1"/>
                <w:bCs w:val="1"/>
                <w:color w:val="auto"/>
              </w:rPr>
              <w:t>2025</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63"/>
              <w:spacing w:after="0"/>
              <w:rPr>
                <w:sz w:val="20"/>
                <w:szCs w:val="20"/>
                <w:color w:val="auto"/>
              </w:rPr>
            </w:pPr>
            <w:r>
              <w:rPr>
                <w:rFonts w:ascii="Arial" w:cs="Arial" w:eastAsia="Arial" w:hAnsi="Arial"/>
                <w:sz w:val="19"/>
                <w:szCs w:val="19"/>
                <w:b w:val="1"/>
                <w:bCs w:val="1"/>
                <w:color w:val="auto"/>
                <w:w w:val="99"/>
              </w:rPr>
              <w:t>2024</w:t>
            </w:r>
          </w:p>
        </w:tc>
        <w:tc>
          <w:tcPr>
            <w:tcW w:w="0" w:type="dxa"/>
            <w:vAlign w:val="bottom"/>
          </w:tcPr>
          <w:p>
            <w:pPr>
              <w:spacing w:after="0"/>
              <w:rPr>
                <w:sz w:val="1"/>
                <w:szCs w:val="1"/>
                <w:color w:val="auto"/>
              </w:rPr>
            </w:pPr>
          </w:p>
        </w:tc>
      </w:tr>
      <w:tr>
        <w:trPr>
          <w:trHeight w:val="266"/>
        </w:trPr>
        <w:tc>
          <w:tcPr>
            <w:tcW w:w="60" w:type="dxa"/>
            <w:vAlign w:val="bottom"/>
            <w:shd w:val="clear" w:color="auto" w:fill="E6E6E6"/>
          </w:tcPr>
          <w:p>
            <w:pPr>
              <w:spacing w:after="0"/>
              <w:rPr>
                <w:sz w:val="23"/>
                <w:szCs w:val="23"/>
                <w:color w:val="auto"/>
              </w:rPr>
            </w:pPr>
          </w:p>
        </w:tc>
        <w:tc>
          <w:tcPr>
            <w:tcW w:w="4520" w:type="dxa"/>
            <w:vAlign w:val="bottom"/>
            <w:gridSpan w:val="3"/>
            <w:shd w:val="clear" w:color="auto" w:fill="E6E6E6"/>
          </w:tcPr>
          <w:p>
            <w:pPr>
              <w:ind w:left="120"/>
              <w:spacing w:after="0"/>
              <w:rPr>
                <w:sz w:val="20"/>
                <w:szCs w:val="20"/>
                <w:color w:val="auto"/>
              </w:rPr>
            </w:pPr>
            <w:r>
              <w:rPr>
                <w:rFonts w:ascii="Arial" w:cs="Arial" w:eastAsia="Arial" w:hAnsi="Arial"/>
                <w:sz w:val="19"/>
                <w:szCs w:val="19"/>
                <w:color w:val="auto"/>
              </w:rPr>
              <w:t>Equipment Notes (a)</w:t>
            </w:r>
          </w:p>
        </w:tc>
        <w:tc>
          <w:tcPr>
            <w:tcW w:w="1320" w:type="dxa"/>
            <w:vAlign w:val="bottom"/>
            <w:shd w:val="clear" w:color="auto" w:fill="E6E6E6"/>
          </w:tcPr>
          <w:p>
            <w:pPr>
              <w:jc w:val="center"/>
              <w:spacing w:after="0"/>
              <w:rPr>
                <w:sz w:val="20"/>
                <w:szCs w:val="20"/>
                <w:color w:val="auto"/>
              </w:rPr>
            </w:pPr>
            <w:r>
              <w:rPr>
                <w:rFonts w:ascii="Arial" w:cs="Arial" w:eastAsia="Arial" w:hAnsi="Arial"/>
                <w:sz w:val="19"/>
                <w:szCs w:val="19"/>
                <w:color w:val="auto"/>
              </w:rPr>
              <w:t>2026 — 2037</w:t>
            </w: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2.70%</w:t>
            </w:r>
          </w:p>
        </w:tc>
        <w:tc>
          <w:tcPr>
            <w:tcW w:w="1220" w:type="dxa"/>
            <w:vAlign w:val="bottom"/>
            <w:gridSpan w:val="2"/>
            <w:shd w:val="clear" w:color="auto" w:fill="E6E6E6"/>
          </w:tcPr>
          <w:p>
            <w:pPr>
              <w:ind w:left="100"/>
              <w:spacing w:after="0"/>
              <w:rPr>
                <w:sz w:val="20"/>
                <w:szCs w:val="20"/>
                <w:color w:val="auto"/>
              </w:rPr>
            </w:pPr>
            <w:r>
              <w:rPr>
                <w:rFonts w:ascii="Arial" w:cs="Arial" w:eastAsia="Arial" w:hAnsi="Arial"/>
                <w:sz w:val="19"/>
                <w:szCs w:val="19"/>
                <w:color w:val="auto"/>
              </w:rPr>
              <w:t>— 6.25%</w:t>
            </w:r>
          </w:p>
        </w:tc>
        <w:tc>
          <w:tcPr>
            <w:tcW w:w="2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11,708</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12,983</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520" w:type="dxa"/>
            <w:vAlign w:val="bottom"/>
            <w:gridSpan w:val="3"/>
          </w:tcPr>
          <w:p>
            <w:pPr>
              <w:ind w:left="120"/>
              <w:spacing w:after="0"/>
              <w:rPr>
                <w:sz w:val="20"/>
                <w:szCs w:val="20"/>
                <w:color w:val="auto"/>
              </w:rPr>
            </w:pPr>
            <w:r>
              <w:rPr>
                <w:rFonts w:ascii="Arial" w:cs="Arial" w:eastAsia="Arial" w:hAnsi="Arial"/>
                <w:sz w:val="19"/>
                <w:szCs w:val="19"/>
                <w:color w:val="auto"/>
              </w:rPr>
              <w:t>2026 and 2029 Notes</w:t>
            </w:r>
          </w:p>
        </w:tc>
        <w:tc>
          <w:tcPr>
            <w:tcW w:w="1320" w:type="dxa"/>
            <w:vAlign w:val="bottom"/>
          </w:tcPr>
          <w:p>
            <w:pPr>
              <w:jc w:val="center"/>
              <w:spacing w:after="0"/>
              <w:rPr>
                <w:sz w:val="20"/>
                <w:szCs w:val="20"/>
                <w:color w:val="auto"/>
              </w:rPr>
            </w:pPr>
            <w:r>
              <w:rPr>
                <w:rFonts w:ascii="Arial" w:cs="Arial" w:eastAsia="Arial" w:hAnsi="Arial"/>
                <w:sz w:val="19"/>
                <w:szCs w:val="19"/>
                <w:color w:val="auto"/>
              </w:rPr>
              <w:t>2026 — 2029</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4.38%</w:t>
            </w:r>
          </w:p>
        </w:tc>
        <w:tc>
          <w:tcPr>
            <w:tcW w:w="1220" w:type="dxa"/>
            <w:vAlign w:val="bottom"/>
            <w:gridSpan w:val="2"/>
          </w:tcPr>
          <w:p>
            <w:pPr>
              <w:ind w:left="100"/>
              <w:spacing w:after="0"/>
              <w:rPr>
                <w:sz w:val="20"/>
                <w:szCs w:val="20"/>
                <w:color w:val="auto"/>
              </w:rPr>
            </w:pPr>
            <w:r>
              <w:rPr>
                <w:rFonts w:ascii="Arial" w:cs="Arial" w:eastAsia="Arial" w:hAnsi="Arial"/>
                <w:sz w:val="19"/>
                <w:szCs w:val="19"/>
                <w:color w:val="auto"/>
              </w:rPr>
              <w:t>— 4.63%</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4,000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4,000</w:t>
            </w:r>
          </w:p>
        </w:tc>
        <w:tc>
          <w:tcPr>
            <w:tcW w:w="0" w:type="dxa"/>
            <w:vAlign w:val="bottom"/>
          </w:tcPr>
          <w:p>
            <w:pPr>
              <w:spacing w:after="0"/>
              <w:rPr>
                <w:sz w:val="1"/>
                <w:szCs w:val="1"/>
                <w:color w:val="auto"/>
              </w:rPr>
            </w:pPr>
          </w:p>
        </w:tc>
      </w:tr>
      <w:tr>
        <w:trPr>
          <w:trHeight w:val="283"/>
        </w:trPr>
        <w:tc>
          <w:tcPr>
            <w:tcW w:w="60" w:type="dxa"/>
            <w:vAlign w:val="bottom"/>
            <w:shd w:val="clear" w:color="auto" w:fill="E6E6E6"/>
          </w:tcPr>
          <w:p>
            <w:pPr>
              <w:spacing w:after="0"/>
              <w:rPr>
                <w:sz w:val="24"/>
                <w:szCs w:val="24"/>
                <w:color w:val="auto"/>
              </w:rPr>
            </w:pPr>
          </w:p>
        </w:tc>
        <w:tc>
          <w:tcPr>
            <w:tcW w:w="4520" w:type="dxa"/>
            <w:vAlign w:val="bottom"/>
            <w:gridSpan w:val="3"/>
            <w:shd w:val="clear" w:color="auto" w:fill="E6E6E6"/>
          </w:tcPr>
          <w:p>
            <w:pPr>
              <w:ind w:left="120"/>
              <w:spacing w:after="0"/>
              <w:rPr>
                <w:sz w:val="20"/>
                <w:szCs w:val="20"/>
                <w:color w:val="auto"/>
              </w:rPr>
            </w:pPr>
            <w:r>
              <w:rPr>
                <w:rFonts w:ascii="Arial" w:cs="Arial" w:eastAsia="Arial" w:hAnsi="Arial"/>
                <w:sz w:val="19"/>
                <w:szCs w:val="19"/>
                <w:color w:val="auto"/>
              </w:rPr>
              <w:t>2024 Term Loans (b)</w:t>
            </w:r>
          </w:p>
        </w:tc>
        <w:tc>
          <w:tcPr>
            <w:tcW w:w="1320" w:type="dxa"/>
            <w:vAlign w:val="bottom"/>
            <w:shd w:val="clear" w:color="auto" w:fill="E6E6E6"/>
          </w:tcPr>
          <w:p>
            <w:pPr>
              <w:jc w:val="center"/>
              <w:spacing w:after="0"/>
              <w:rPr>
                <w:sz w:val="20"/>
                <w:szCs w:val="20"/>
                <w:color w:val="auto"/>
              </w:rPr>
            </w:pPr>
            <w:r>
              <w:rPr>
                <w:rFonts w:ascii="Arial" w:cs="Arial" w:eastAsia="Arial" w:hAnsi="Arial"/>
                <w:sz w:val="19"/>
                <w:szCs w:val="19"/>
                <w:color w:val="auto"/>
                <w:w w:val="89"/>
              </w:rPr>
              <w:t>2031</w:t>
            </w:r>
          </w:p>
        </w:tc>
        <w:tc>
          <w:tcPr>
            <w:tcW w:w="1840" w:type="dxa"/>
            <w:vAlign w:val="bottom"/>
            <w:gridSpan w:val="3"/>
            <w:shd w:val="clear" w:color="auto" w:fill="E6E6E6"/>
          </w:tcPr>
          <w:p>
            <w:pPr>
              <w:jc w:val="center"/>
              <w:ind w:left="203"/>
              <w:spacing w:after="0"/>
              <w:rPr>
                <w:sz w:val="20"/>
                <w:szCs w:val="20"/>
                <w:color w:val="auto"/>
              </w:rPr>
            </w:pPr>
            <w:r>
              <w:rPr>
                <w:rFonts w:ascii="Arial" w:cs="Arial" w:eastAsia="Arial" w:hAnsi="Arial"/>
                <w:sz w:val="19"/>
                <w:szCs w:val="19"/>
                <w:color w:val="auto"/>
                <w:w w:val="92"/>
              </w:rPr>
              <w:t>5.73%</w:t>
            </w:r>
          </w:p>
        </w:tc>
        <w:tc>
          <w:tcPr>
            <w:tcW w:w="2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2,061</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2,082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520" w:type="dxa"/>
            <w:vAlign w:val="bottom"/>
            <w:gridSpan w:val="3"/>
          </w:tcPr>
          <w:p>
            <w:pPr>
              <w:ind w:left="120"/>
              <w:spacing w:after="0"/>
              <w:rPr>
                <w:sz w:val="20"/>
                <w:szCs w:val="20"/>
                <w:color w:val="auto"/>
              </w:rPr>
            </w:pPr>
            <w:r>
              <w:rPr>
                <w:rFonts w:ascii="Arial" w:cs="Arial" w:eastAsia="Arial" w:hAnsi="Arial"/>
                <w:sz w:val="19"/>
                <w:szCs w:val="19"/>
                <w:color w:val="auto"/>
              </w:rPr>
              <w:t>MileagePlus Senior Secured Notes</w:t>
            </w:r>
          </w:p>
        </w:tc>
        <w:tc>
          <w:tcPr>
            <w:tcW w:w="1320" w:type="dxa"/>
            <w:vAlign w:val="bottom"/>
          </w:tcPr>
          <w:p>
            <w:pPr>
              <w:jc w:val="center"/>
              <w:spacing w:after="0"/>
              <w:rPr>
                <w:sz w:val="20"/>
                <w:szCs w:val="20"/>
                <w:color w:val="auto"/>
              </w:rPr>
            </w:pPr>
            <w:r>
              <w:rPr>
                <w:rFonts w:ascii="Arial" w:cs="Arial" w:eastAsia="Arial" w:hAnsi="Arial"/>
                <w:sz w:val="19"/>
                <w:szCs w:val="19"/>
                <w:color w:val="auto"/>
                <w:w w:val="90"/>
              </w:rPr>
              <w:t>n/a</w:t>
            </w: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color w:val="auto"/>
              </w:rPr>
              <w:t>n/a</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1,900</w:t>
            </w:r>
          </w:p>
        </w:tc>
        <w:tc>
          <w:tcPr>
            <w:tcW w:w="0" w:type="dxa"/>
            <w:vAlign w:val="bottom"/>
          </w:tcPr>
          <w:p>
            <w:pPr>
              <w:spacing w:after="0"/>
              <w:rPr>
                <w:sz w:val="1"/>
                <w:szCs w:val="1"/>
                <w:color w:val="auto"/>
              </w:rPr>
            </w:pPr>
          </w:p>
        </w:tc>
      </w:tr>
      <w:tr>
        <w:trPr>
          <w:trHeight w:val="283"/>
        </w:trPr>
        <w:tc>
          <w:tcPr>
            <w:tcW w:w="60" w:type="dxa"/>
            <w:vAlign w:val="bottom"/>
            <w:shd w:val="clear" w:color="auto" w:fill="E6E6E6"/>
          </w:tcPr>
          <w:p>
            <w:pPr>
              <w:spacing w:after="0"/>
              <w:rPr>
                <w:sz w:val="24"/>
                <w:szCs w:val="24"/>
                <w:color w:val="auto"/>
              </w:rPr>
            </w:pPr>
          </w:p>
        </w:tc>
        <w:tc>
          <w:tcPr>
            <w:tcW w:w="4520" w:type="dxa"/>
            <w:vAlign w:val="bottom"/>
            <w:gridSpan w:val="3"/>
            <w:shd w:val="clear" w:color="auto" w:fill="E6E6E6"/>
          </w:tcPr>
          <w:p>
            <w:pPr>
              <w:ind w:left="120"/>
              <w:spacing w:after="0"/>
              <w:rPr>
                <w:sz w:val="20"/>
                <w:szCs w:val="20"/>
                <w:color w:val="auto"/>
              </w:rPr>
            </w:pPr>
            <w:r>
              <w:rPr>
                <w:rFonts w:ascii="Arial" w:cs="Arial" w:eastAsia="Arial" w:hAnsi="Arial"/>
                <w:sz w:val="19"/>
                <w:szCs w:val="19"/>
                <w:color w:val="auto"/>
              </w:rPr>
              <w:t>Other secured debt</w:t>
            </w:r>
          </w:p>
        </w:tc>
        <w:tc>
          <w:tcPr>
            <w:tcW w:w="1320" w:type="dxa"/>
            <w:vAlign w:val="bottom"/>
            <w:shd w:val="clear" w:color="auto" w:fill="E6E6E6"/>
          </w:tcPr>
          <w:p>
            <w:pPr>
              <w:jc w:val="center"/>
              <w:spacing w:after="0"/>
              <w:rPr>
                <w:sz w:val="20"/>
                <w:szCs w:val="20"/>
                <w:color w:val="auto"/>
              </w:rPr>
            </w:pPr>
            <w:r>
              <w:rPr>
                <w:rFonts w:ascii="Arial" w:cs="Arial" w:eastAsia="Arial" w:hAnsi="Arial"/>
                <w:sz w:val="19"/>
                <w:szCs w:val="19"/>
                <w:color w:val="auto"/>
              </w:rPr>
              <w:t>2029 — 2035</w:t>
            </w: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4.00%</w:t>
            </w:r>
          </w:p>
        </w:tc>
        <w:tc>
          <w:tcPr>
            <w:tcW w:w="1220" w:type="dxa"/>
            <w:vAlign w:val="bottom"/>
            <w:gridSpan w:val="2"/>
            <w:shd w:val="clear" w:color="auto" w:fill="E6E6E6"/>
          </w:tcPr>
          <w:p>
            <w:pPr>
              <w:ind w:left="100"/>
              <w:spacing w:after="0"/>
              <w:rPr>
                <w:sz w:val="20"/>
                <w:szCs w:val="20"/>
                <w:color w:val="auto"/>
              </w:rPr>
            </w:pPr>
            <w:r>
              <w:rPr>
                <w:rFonts w:ascii="Arial" w:cs="Arial" w:eastAsia="Arial" w:hAnsi="Arial"/>
                <w:sz w:val="19"/>
                <w:szCs w:val="19"/>
                <w:color w:val="auto"/>
              </w:rPr>
              <w:t>— 5.25%</w:t>
            </w:r>
          </w:p>
        </w:tc>
        <w:tc>
          <w:tcPr>
            <w:tcW w:w="20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361</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295</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4520" w:type="dxa"/>
            <w:vAlign w:val="bottom"/>
            <w:gridSpan w:val="3"/>
          </w:tcPr>
          <w:p>
            <w:pPr>
              <w:spacing w:after="0" w:line="212" w:lineRule="exact"/>
              <w:rPr>
                <w:sz w:val="20"/>
                <w:szCs w:val="20"/>
                <w:color w:val="auto"/>
              </w:rPr>
            </w:pPr>
            <w:r>
              <w:rPr>
                <w:rFonts w:ascii="Arial" w:cs="Arial" w:eastAsia="Arial" w:hAnsi="Arial"/>
                <w:sz w:val="19"/>
                <w:szCs w:val="19"/>
                <w:color w:val="auto"/>
              </w:rPr>
              <w:t>Unsecured</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6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0" w:type="dxa"/>
            <w:vAlign w:val="bottom"/>
            <w:shd w:val="clear" w:color="auto" w:fill="E6E6E6"/>
          </w:tcPr>
          <w:p>
            <w:pPr>
              <w:spacing w:after="0"/>
              <w:rPr>
                <w:sz w:val="24"/>
                <w:szCs w:val="24"/>
                <w:color w:val="auto"/>
              </w:rPr>
            </w:pPr>
          </w:p>
        </w:tc>
        <w:tc>
          <w:tcPr>
            <w:tcW w:w="4520" w:type="dxa"/>
            <w:vAlign w:val="bottom"/>
            <w:gridSpan w:val="3"/>
            <w:shd w:val="clear" w:color="auto" w:fill="E6E6E6"/>
          </w:tcPr>
          <w:p>
            <w:pPr>
              <w:ind w:left="120"/>
              <w:spacing w:after="0"/>
              <w:rPr>
                <w:sz w:val="20"/>
                <w:szCs w:val="20"/>
                <w:color w:val="auto"/>
              </w:rPr>
            </w:pPr>
            <w:r>
              <w:rPr>
                <w:rFonts w:ascii="Arial" w:cs="Arial" w:eastAsia="Arial" w:hAnsi="Arial"/>
                <w:sz w:val="19"/>
                <w:szCs w:val="19"/>
                <w:color w:val="auto"/>
              </w:rPr>
              <w:t>PSP Notes (c)</w:t>
            </w:r>
          </w:p>
        </w:tc>
        <w:tc>
          <w:tcPr>
            <w:tcW w:w="1320" w:type="dxa"/>
            <w:vAlign w:val="bottom"/>
            <w:shd w:val="clear" w:color="auto" w:fill="E6E6E6"/>
          </w:tcPr>
          <w:p>
            <w:pPr>
              <w:jc w:val="center"/>
              <w:spacing w:after="0"/>
              <w:rPr>
                <w:sz w:val="20"/>
                <w:szCs w:val="20"/>
                <w:color w:val="auto"/>
              </w:rPr>
            </w:pPr>
            <w:r>
              <w:rPr>
                <w:rFonts w:ascii="Arial" w:cs="Arial" w:eastAsia="Arial" w:hAnsi="Arial"/>
                <w:sz w:val="19"/>
                <w:szCs w:val="19"/>
                <w:color w:val="auto"/>
              </w:rPr>
              <w:t>2030 — 2031</w:t>
            </w: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1.00%</w:t>
            </w:r>
          </w:p>
        </w:tc>
        <w:tc>
          <w:tcPr>
            <w:tcW w:w="1220" w:type="dxa"/>
            <w:vAlign w:val="bottom"/>
            <w:gridSpan w:val="2"/>
            <w:shd w:val="clear" w:color="auto" w:fill="E6E6E6"/>
          </w:tcPr>
          <w:p>
            <w:pPr>
              <w:ind w:left="100"/>
              <w:spacing w:after="0"/>
              <w:rPr>
                <w:sz w:val="20"/>
                <w:szCs w:val="20"/>
                <w:color w:val="auto"/>
              </w:rPr>
            </w:pPr>
            <w:r>
              <w:rPr>
                <w:rFonts w:ascii="Arial" w:cs="Arial" w:eastAsia="Arial" w:hAnsi="Arial"/>
                <w:sz w:val="19"/>
                <w:szCs w:val="19"/>
                <w:color w:val="auto"/>
              </w:rPr>
              <w:t>— 5.93%</w:t>
            </w:r>
          </w:p>
        </w:tc>
        <w:tc>
          <w:tcPr>
            <w:tcW w:w="20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3,181</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3,181</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520" w:type="dxa"/>
            <w:vAlign w:val="bottom"/>
            <w:gridSpan w:val="3"/>
          </w:tcPr>
          <w:p>
            <w:pPr>
              <w:ind w:left="120"/>
              <w:spacing w:after="0"/>
              <w:rPr>
                <w:sz w:val="20"/>
                <w:szCs w:val="20"/>
                <w:color w:val="auto"/>
              </w:rPr>
            </w:pPr>
            <w:r>
              <w:rPr>
                <w:rFonts w:ascii="Arial" w:cs="Arial" w:eastAsia="Arial" w:hAnsi="Arial"/>
                <w:sz w:val="19"/>
                <w:szCs w:val="19"/>
                <w:color w:val="auto"/>
              </w:rPr>
              <w:t>Notes</w:t>
            </w:r>
          </w:p>
        </w:tc>
        <w:tc>
          <w:tcPr>
            <w:tcW w:w="1320" w:type="dxa"/>
            <w:vAlign w:val="bottom"/>
          </w:tcPr>
          <w:p>
            <w:pPr>
              <w:jc w:val="center"/>
              <w:spacing w:after="0"/>
              <w:rPr>
                <w:sz w:val="20"/>
                <w:szCs w:val="20"/>
                <w:color w:val="auto"/>
              </w:rPr>
            </w:pPr>
            <w:r>
              <w:rPr>
                <w:rFonts w:ascii="Arial" w:cs="Arial" w:eastAsia="Arial" w:hAnsi="Arial"/>
                <w:sz w:val="19"/>
                <w:szCs w:val="19"/>
                <w:color w:val="auto"/>
                <w:w w:val="90"/>
              </w:rPr>
              <w:t>n/a</w:t>
            </w: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20" w:type="dxa"/>
            <w:vAlign w:val="bottom"/>
            <w:gridSpan w:val="2"/>
          </w:tcPr>
          <w:p>
            <w:pPr>
              <w:ind w:left="100"/>
              <w:spacing w:after="0"/>
              <w:rPr>
                <w:sz w:val="20"/>
                <w:szCs w:val="20"/>
                <w:color w:val="auto"/>
              </w:rPr>
            </w:pPr>
            <w:r>
              <w:rPr>
                <w:rFonts w:ascii="Arial" w:cs="Arial" w:eastAsia="Arial" w:hAnsi="Arial"/>
                <w:sz w:val="19"/>
                <w:szCs w:val="19"/>
                <w:color w:val="auto"/>
              </w:rPr>
              <w:t>n/a</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315</w:t>
            </w:r>
          </w:p>
        </w:tc>
        <w:tc>
          <w:tcPr>
            <w:tcW w:w="0" w:type="dxa"/>
            <w:vAlign w:val="bottom"/>
          </w:tcPr>
          <w:p>
            <w:pPr>
              <w:spacing w:after="0"/>
              <w:rPr>
                <w:sz w:val="1"/>
                <w:szCs w:val="1"/>
                <w:color w:val="auto"/>
              </w:rPr>
            </w:pPr>
          </w:p>
        </w:tc>
      </w:tr>
      <w:tr>
        <w:trPr>
          <w:trHeight w:val="273"/>
        </w:trPr>
        <w:tc>
          <w:tcPr>
            <w:tcW w:w="60" w:type="dxa"/>
            <w:vAlign w:val="bottom"/>
            <w:tcBorders>
              <w:bottom w:val="single" w:sz="8" w:color="E6E6E6"/>
            </w:tcBorders>
            <w:shd w:val="clear" w:color="auto" w:fill="E6E6E6"/>
          </w:tcPr>
          <w:p>
            <w:pPr>
              <w:spacing w:after="0"/>
              <w:rPr>
                <w:sz w:val="23"/>
                <w:szCs w:val="23"/>
                <w:color w:val="auto"/>
              </w:rPr>
            </w:pPr>
          </w:p>
        </w:tc>
        <w:tc>
          <w:tcPr>
            <w:tcW w:w="4520" w:type="dxa"/>
            <w:vAlign w:val="bottom"/>
            <w:tcBorders>
              <w:bottom w:val="single" w:sz="8" w:color="E6E6E6"/>
            </w:tcBorders>
            <w:gridSpan w:val="3"/>
            <w:shd w:val="clear" w:color="auto" w:fill="E6E6E6"/>
          </w:tcPr>
          <w:p>
            <w:pPr>
              <w:ind w:left="120"/>
              <w:spacing w:after="0"/>
              <w:rPr>
                <w:sz w:val="20"/>
                <w:szCs w:val="20"/>
                <w:color w:val="auto"/>
              </w:rPr>
            </w:pPr>
            <w:r>
              <w:rPr>
                <w:rFonts w:ascii="Arial" w:cs="Arial" w:eastAsia="Arial" w:hAnsi="Arial"/>
                <w:sz w:val="19"/>
                <w:szCs w:val="19"/>
                <w:color w:val="auto"/>
              </w:rPr>
              <w:t>Other unsecured debt</w:t>
            </w:r>
          </w:p>
        </w:tc>
        <w:tc>
          <w:tcPr>
            <w:tcW w:w="13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9"/>
                <w:szCs w:val="19"/>
                <w:color w:val="auto"/>
                <w:w w:val="89"/>
              </w:rPr>
              <w:t>2027</w:t>
            </w:r>
          </w:p>
        </w:tc>
        <w:tc>
          <w:tcPr>
            <w:tcW w:w="1840" w:type="dxa"/>
            <w:vAlign w:val="bottom"/>
            <w:tcBorders>
              <w:bottom w:val="single" w:sz="8" w:color="E6E6E6"/>
            </w:tcBorders>
            <w:gridSpan w:val="3"/>
            <w:shd w:val="clear" w:color="auto" w:fill="E6E6E6"/>
          </w:tcPr>
          <w:p>
            <w:pPr>
              <w:jc w:val="center"/>
              <w:ind w:left="203"/>
              <w:spacing w:after="0"/>
              <w:rPr>
                <w:sz w:val="20"/>
                <w:szCs w:val="20"/>
                <w:color w:val="auto"/>
              </w:rPr>
            </w:pPr>
            <w:r>
              <w:rPr>
                <w:rFonts w:ascii="Arial" w:cs="Arial" w:eastAsia="Arial" w:hAnsi="Arial"/>
                <w:sz w:val="19"/>
                <w:szCs w:val="19"/>
                <w:color w:val="auto"/>
                <w:w w:val="92"/>
              </w:rPr>
              <w:t>5.75%</w:t>
            </w:r>
          </w:p>
        </w:tc>
        <w:tc>
          <w:tcPr>
            <w:tcW w:w="24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71</w:t>
            </w:r>
          </w:p>
        </w:tc>
        <w:tc>
          <w:tcPr>
            <w:tcW w:w="6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spacing w:after="0"/>
              <w:rPr>
                <w:sz w:val="23"/>
                <w:szCs w:val="23"/>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81</w:t>
            </w:r>
          </w:p>
        </w:tc>
        <w:tc>
          <w:tcPr>
            <w:tcW w:w="0" w:type="dxa"/>
            <w:vAlign w:val="bottom"/>
          </w:tcPr>
          <w:p>
            <w:pPr>
              <w:spacing w:after="0"/>
              <w:rPr>
                <w:sz w:val="1"/>
                <w:szCs w:val="1"/>
                <w:color w:val="auto"/>
              </w:rPr>
            </w:pPr>
          </w:p>
        </w:tc>
      </w:tr>
      <w:tr>
        <w:trPr>
          <w:trHeight w:val="260"/>
        </w:trPr>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21,383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24,837</w:t>
            </w:r>
          </w:p>
        </w:tc>
        <w:tc>
          <w:tcPr>
            <w:tcW w:w="0" w:type="dxa"/>
            <w:vAlign w:val="bottom"/>
          </w:tcPr>
          <w:p>
            <w:pPr>
              <w:spacing w:after="0"/>
              <w:rPr>
                <w:sz w:val="1"/>
                <w:szCs w:val="1"/>
                <w:color w:val="auto"/>
              </w:rPr>
            </w:pPr>
          </w:p>
        </w:tc>
      </w:tr>
      <w:tr>
        <w:trPr>
          <w:trHeight w:val="192"/>
        </w:trPr>
        <w:tc>
          <w:tcPr>
            <w:tcW w:w="60" w:type="dxa"/>
            <w:vAlign w:val="bottom"/>
            <w:shd w:val="clear" w:color="auto" w:fill="E6E6E6"/>
          </w:tcPr>
          <w:p>
            <w:pPr>
              <w:spacing w:after="0"/>
              <w:rPr>
                <w:sz w:val="16"/>
                <w:szCs w:val="16"/>
                <w:color w:val="auto"/>
              </w:rPr>
            </w:pPr>
          </w:p>
        </w:tc>
        <w:tc>
          <w:tcPr>
            <w:tcW w:w="4520" w:type="dxa"/>
            <w:vAlign w:val="bottom"/>
            <w:gridSpan w:val="3"/>
            <w:shd w:val="clear" w:color="auto" w:fill="E6E6E6"/>
          </w:tcPr>
          <w:p>
            <w:pPr>
              <w:spacing w:after="0" w:line="193" w:lineRule="exact"/>
              <w:rPr>
                <w:sz w:val="20"/>
                <w:szCs w:val="20"/>
                <w:color w:val="auto"/>
              </w:rPr>
            </w:pPr>
            <w:r>
              <w:rPr>
                <w:rFonts w:ascii="Arial" w:cs="Arial" w:eastAsia="Arial" w:hAnsi="Arial"/>
                <w:sz w:val="19"/>
                <w:szCs w:val="19"/>
                <w:color w:val="auto"/>
              </w:rPr>
              <w:t>Less: unamortized debt discount, premiums and debt</w:t>
            </w:r>
          </w:p>
        </w:tc>
        <w:tc>
          <w:tcPr>
            <w:tcW w:w="132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580" w:type="dxa"/>
            <w:vAlign w:val="bottom"/>
            <w:shd w:val="clear" w:color="auto" w:fill="E6E6E6"/>
          </w:tcPr>
          <w:p>
            <w:pPr>
              <w:spacing w:after="0"/>
              <w:rPr>
                <w:sz w:val="16"/>
                <w:szCs w:val="16"/>
                <w:color w:val="auto"/>
              </w:rPr>
            </w:pPr>
          </w:p>
        </w:tc>
        <w:tc>
          <w:tcPr>
            <w:tcW w:w="98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(117)</w:t>
            </w:r>
          </w:p>
        </w:tc>
        <w:tc>
          <w:tcPr>
            <w:tcW w:w="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(184)</w:t>
            </w:r>
          </w:p>
        </w:tc>
        <w:tc>
          <w:tcPr>
            <w:tcW w:w="0" w:type="dxa"/>
            <w:vAlign w:val="bottom"/>
          </w:tcPr>
          <w:p>
            <w:pPr>
              <w:spacing w:after="0"/>
              <w:rPr>
                <w:sz w:val="1"/>
                <w:szCs w:val="1"/>
                <w:color w:val="auto"/>
              </w:rPr>
            </w:pPr>
          </w:p>
        </w:tc>
      </w:tr>
      <w:tr>
        <w:trPr>
          <w:trHeight w:val="155"/>
        </w:trPr>
        <w:tc>
          <w:tcPr>
            <w:tcW w:w="60" w:type="dxa"/>
            <w:vAlign w:val="bottom"/>
            <w:shd w:val="clear" w:color="auto" w:fill="E6E6E6"/>
          </w:tcPr>
          <w:p>
            <w:pPr>
              <w:spacing w:after="0"/>
              <w:rPr>
                <w:sz w:val="13"/>
                <w:szCs w:val="13"/>
                <w:color w:val="auto"/>
              </w:rPr>
            </w:pPr>
          </w:p>
        </w:tc>
        <w:tc>
          <w:tcPr>
            <w:tcW w:w="4520" w:type="dxa"/>
            <w:vAlign w:val="bottom"/>
            <w:gridSpan w:val="3"/>
            <w:vMerge w:val="restart"/>
            <w:shd w:val="clear" w:color="auto" w:fill="E6E6E6"/>
          </w:tcPr>
          <w:p>
            <w:pPr>
              <w:spacing w:after="0"/>
              <w:rPr>
                <w:sz w:val="20"/>
                <w:szCs w:val="20"/>
                <w:color w:val="auto"/>
              </w:rPr>
            </w:pPr>
            <w:r>
              <w:rPr>
                <w:rFonts w:ascii="Arial" w:cs="Arial" w:eastAsia="Arial" w:hAnsi="Arial"/>
                <w:sz w:val="19"/>
                <w:szCs w:val="19"/>
                <w:color w:val="auto"/>
              </w:rPr>
              <w:t>issuance costs</w:t>
            </w:r>
          </w:p>
        </w:tc>
        <w:tc>
          <w:tcPr>
            <w:tcW w:w="1320" w:type="dxa"/>
            <w:vAlign w:val="bottom"/>
            <w:shd w:val="clear" w:color="auto" w:fill="E6E6E6"/>
          </w:tcPr>
          <w:p>
            <w:pPr>
              <w:spacing w:after="0"/>
              <w:rPr>
                <w:sz w:val="13"/>
                <w:szCs w:val="13"/>
                <w:color w:val="auto"/>
              </w:rPr>
            </w:pPr>
          </w:p>
        </w:tc>
        <w:tc>
          <w:tcPr>
            <w:tcW w:w="280" w:type="dxa"/>
            <w:vAlign w:val="bottom"/>
            <w:shd w:val="clear" w:color="auto" w:fill="E6E6E6"/>
          </w:tcPr>
          <w:p>
            <w:pPr>
              <w:spacing w:after="0"/>
              <w:rPr>
                <w:sz w:val="13"/>
                <w:szCs w:val="13"/>
                <w:color w:val="auto"/>
              </w:rPr>
            </w:pPr>
          </w:p>
        </w:tc>
        <w:tc>
          <w:tcPr>
            <w:tcW w:w="580" w:type="dxa"/>
            <w:vAlign w:val="bottom"/>
            <w:shd w:val="clear" w:color="auto" w:fill="E6E6E6"/>
          </w:tcPr>
          <w:p>
            <w:pPr>
              <w:spacing w:after="0"/>
              <w:rPr>
                <w:sz w:val="13"/>
                <w:szCs w:val="13"/>
                <w:color w:val="auto"/>
              </w:rPr>
            </w:pPr>
          </w:p>
        </w:tc>
        <w:tc>
          <w:tcPr>
            <w:tcW w:w="98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720" w:type="dxa"/>
            <w:vAlign w:val="bottom"/>
            <w:vMerge w:val="continue"/>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700" w:type="dxa"/>
            <w:vAlign w:val="bottom"/>
            <w:vMerge w:val="continue"/>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0" w:type="dxa"/>
            <w:vAlign w:val="bottom"/>
            <w:shd w:val="clear" w:color="auto" w:fill="E6E6E6"/>
          </w:tcPr>
          <w:p>
            <w:pPr>
              <w:spacing w:after="0"/>
              <w:rPr>
                <w:sz w:val="9"/>
                <w:szCs w:val="9"/>
                <w:color w:val="auto"/>
              </w:rPr>
            </w:pPr>
          </w:p>
        </w:tc>
        <w:tc>
          <w:tcPr>
            <w:tcW w:w="4520" w:type="dxa"/>
            <w:vAlign w:val="bottom"/>
            <w:gridSpan w:val="3"/>
            <w:vMerge w:val="continue"/>
            <w:shd w:val="clear" w:color="auto" w:fill="E6E6E6"/>
          </w:tcPr>
          <w:p>
            <w:pPr>
              <w:spacing w:after="0"/>
              <w:rPr>
                <w:sz w:val="9"/>
                <w:szCs w:val="9"/>
                <w:color w:val="auto"/>
              </w:rPr>
            </w:pPr>
          </w:p>
        </w:tc>
        <w:tc>
          <w:tcPr>
            <w:tcW w:w="1320" w:type="dxa"/>
            <w:vAlign w:val="bottom"/>
            <w:shd w:val="clear" w:color="auto" w:fill="E6E6E6"/>
          </w:tcPr>
          <w:p>
            <w:pPr>
              <w:spacing w:after="0"/>
              <w:rPr>
                <w:sz w:val="9"/>
                <w:szCs w:val="9"/>
                <w:color w:val="auto"/>
              </w:rPr>
            </w:pPr>
          </w:p>
        </w:tc>
        <w:tc>
          <w:tcPr>
            <w:tcW w:w="280" w:type="dxa"/>
            <w:vAlign w:val="bottom"/>
            <w:shd w:val="clear" w:color="auto" w:fill="E6E6E6"/>
          </w:tcPr>
          <w:p>
            <w:pPr>
              <w:spacing w:after="0"/>
              <w:rPr>
                <w:sz w:val="9"/>
                <w:szCs w:val="9"/>
                <w:color w:val="auto"/>
              </w:rPr>
            </w:pPr>
          </w:p>
        </w:tc>
        <w:tc>
          <w:tcPr>
            <w:tcW w:w="580" w:type="dxa"/>
            <w:vAlign w:val="bottom"/>
            <w:shd w:val="clear" w:color="auto" w:fill="E6E6E6"/>
          </w:tcPr>
          <w:p>
            <w:pPr>
              <w:spacing w:after="0"/>
              <w:rPr>
                <w:sz w:val="9"/>
                <w:szCs w:val="9"/>
                <w:color w:val="auto"/>
              </w:rPr>
            </w:pPr>
          </w:p>
        </w:tc>
        <w:tc>
          <w:tcPr>
            <w:tcW w:w="980" w:type="dxa"/>
            <w:vAlign w:val="bottom"/>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200" w:type="dxa"/>
            <w:vAlign w:val="bottom"/>
            <w:shd w:val="clear" w:color="auto" w:fill="E6E6E6"/>
          </w:tcPr>
          <w:p>
            <w:pPr>
              <w:spacing w:after="0"/>
              <w:rPr>
                <w:sz w:val="9"/>
                <w:szCs w:val="9"/>
                <w:color w:val="auto"/>
              </w:rPr>
            </w:pPr>
          </w:p>
        </w:tc>
        <w:tc>
          <w:tcPr>
            <w:tcW w:w="720" w:type="dxa"/>
            <w:vAlign w:val="bottom"/>
            <w:shd w:val="clear" w:color="auto" w:fill="E6E6E6"/>
          </w:tcPr>
          <w:p>
            <w:pPr>
              <w:spacing w:after="0"/>
              <w:rPr>
                <w:sz w:val="9"/>
                <w:szCs w:val="9"/>
                <w:color w:val="auto"/>
              </w:rPr>
            </w:pPr>
          </w:p>
        </w:tc>
        <w:tc>
          <w:tcPr>
            <w:tcW w:w="60" w:type="dxa"/>
            <w:vAlign w:val="bottom"/>
            <w:shd w:val="clear" w:color="auto" w:fill="E6E6E6"/>
          </w:tcPr>
          <w:p>
            <w:pPr>
              <w:spacing w:after="0"/>
              <w:rPr>
                <w:sz w:val="9"/>
                <w:szCs w:val="9"/>
                <w:color w:val="auto"/>
              </w:rPr>
            </w:pPr>
          </w:p>
        </w:tc>
        <w:tc>
          <w:tcPr>
            <w:tcW w:w="220" w:type="dxa"/>
            <w:vAlign w:val="bottom"/>
            <w:shd w:val="clear" w:color="auto" w:fill="E6E6E6"/>
          </w:tcPr>
          <w:p>
            <w:pPr>
              <w:spacing w:after="0"/>
              <w:rPr>
                <w:sz w:val="9"/>
                <w:szCs w:val="9"/>
                <w:color w:val="auto"/>
              </w:rPr>
            </w:pPr>
          </w:p>
        </w:tc>
        <w:tc>
          <w:tcPr>
            <w:tcW w:w="70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0" w:type="dxa"/>
            <w:vAlign w:val="bottom"/>
            <w:tcBorders>
              <w:bottom w:val="single" w:sz="8" w:color="E6E6E6"/>
            </w:tcBorders>
          </w:tcPr>
          <w:p>
            <w:pPr>
              <w:spacing w:after="0"/>
              <w:rPr>
                <w:sz w:val="23"/>
                <w:szCs w:val="23"/>
                <w:color w:val="auto"/>
              </w:rPr>
            </w:pPr>
          </w:p>
        </w:tc>
        <w:tc>
          <w:tcPr>
            <w:tcW w:w="4520" w:type="dxa"/>
            <w:vAlign w:val="bottom"/>
            <w:tcBorders>
              <w:bottom w:val="single" w:sz="8" w:color="E6E6E6"/>
            </w:tcBorders>
            <w:gridSpan w:val="3"/>
          </w:tcPr>
          <w:p>
            <w:pPr>
              <w:spacing w:after="0"/>
              <w:rPr>
                <w:sz w:val="20"/>
                <w:szCs w:val="20"/>
                <w:color w:val="auto"/>
              </w:rPr>
            </w:pPr>
            <w:r>
              <w:rPr>
                <w:rFonts w:ascii="Arial" w:cs="Arial" w:eastAsia="Arial" w:hAnsi="Arial"/>
                <w:sz w:val="19"/>
                <w:szCs w:val="19"/>
                <w:color w:val="auto"/>
              </w:rPr>
              <w:t>Less: current portion of long-term debt</w:t>
            </w:r>
          </w:p>
        </w:tc>
        <w:tc>
          <w:tcPr>
            <w:tcW w:w="1320" w:type="dxa"/>
            <w:vAlign w:val="bottom"/>
            <w:tcBorders>
              <w:bottom w:val="single" w:sz="8" w:color="E6E6E6"/>
            </w:tcBorders>
          </w:tcPr>
          <w:p>
            <w:pPr>
              <w:spacing w:after="0"/>
              <w:rPr>
                <w:sz w:val="23"/>
                <w:szCs w:val="23"/>
                <w:color w:val="auto"/>
              </w:rPr>
            </w:pPr>
          </w:p>
        </w:tc>
        <w:tc>
          <w:tcPr>
            <w:tcW w:w="280" w:type="dxa"/>
            <w:vAlign w:val="bottom"/>
            <w:tcBorders>
              <w:bottom w:val="single" w:sz="8" w:color="E6E6E6"/>
            </w:tcBorders>
          </w:tcPr>
          <w:p>
            <w:pPr>
              <w:spacing w:after="0"/>
              <w:rPr>
                <w:sz w:val="23"/>
                <w:szCs w:val="23"/>
                <w:color w:val="auto"/>
              </w:rPr>
            </w:pPr>
          </w:p>
        </w:tc>
        <w:tc>
          <w:tcPr>
            <w:tcW w:w="580" w:type="dxa"/>
            <w:vAlign w:val="bottom"/>
            <w:tcBorders>
              <w:bottom w:val="single" w:sz="8" w:color="E6E6E6"/>
            </w:tcBorders>
          </w:tcPr>
          <w:p>
            <w:pPr>
              <w:spacing w:after="0"/>
              <w:rPr>
                <w:sz w:val="23"/>
                <w:szCs w:val="23"/>
                <w:color w:val="auto"/>
              </w:rPr>
            </w:pPr>
          </w:p>
        </w:tc>
        <w:tc>
          <w:tcPr>
            <w:tcW w:w="980" w:type="dxa"/>
            <w:vAlign w:val="bottom"/>
            <w:tcBorders>
              <w:bottom w:val="single" w:sz="8" w:color="E6E6E6"/>
            </w:tcBorders>
          </w:tcPr>
          <w:p>
            <w:pPr>
              <w:spacing w:after="0"/>
              <w:rPr>
                <w:sz w:val="23"/>
                <w:szCs w:val="23"/>
                <w:color w:val="auto"/>
              </w:rPr>
            </w:pPr>
          </w:p>
        </w:tc>
        <w:tc>
          <w:tcPr>
            <w:tcW w:w="24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(4,096)</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(2,973)</w:t>
            </w:r>
          </w:p>
        </w:tc>
        <w:tc>
          <w:tcPr>
            <w:tcW w:w="0" w:type="dxa"/>
            <w:vAlign w:val="bottom"/>
          </w:tcPr>
          <w:p>
            <w:pPr>
              <w:spacing w:after="0"/>
              <w:rPr>
                <w:sz w:val="1"/>
                <w:szCs w:val="1"/>
                <w:color w:val="auto"/>
              </w:rPr>
            </w:pPr>
          </w:p>
        </w:tc>
      </w:tr>
      <w:tr>
        <w:trPr>
          <w:trHeight w:val="276"/>
        </w:trPr>
        <w:tc>
          <w:tcPr>
            <w:tcW w:w="60" w:type="dxa"/>
            <w:vAlign w:val="bottom"/>
            <w:tcBorders>
              <w:bottom w:val="single" w:sz="8" w:color="auto"/>
            </w:tcBorders>
            <w:shd w:val="clear" w:color="auto" w:fill="E6E6E6"/>
          </w:tcPr>
          <w:p>
            <w:pPr>
              <w:spacing w:after="0"/>
              <w:rPr>
                <w:sz w:val="23"/>
                <w:szCs w:val="23"/>
                <w:color w:val="auto"/>
              </w:rPr>
            </w:pPr>
          </w:p>
        </w:tc>
        <w:tc>
          <w:tcPr>
            <w:tcW w:w="4520" w:type="dxa"/>
            <w:vAlign w:val="bottom"/>
            <w:tcBorders>
              <w:bottom w:val="single" w:sz="8" w:color="auto"/>
            </w:tcBorders>
            <w:gridSpan w:val="3"/>
            <w:shd w:val="clear" w:color="auto" w:fill="E6E6E6"/>
          </w:tcPr>
          <w:p>
            <w:pPr>
              <w:spacing w:after="0"/>
              <w:rPr>
                <w:sz w:val="20"/>
                <w:szCs w:val="20"/>
                <w:color w:val="auto"/>
              </w:rPr>
            </w:pPr>
            <w:r>
              <w:rPr>
                <w:rFonts w:ascii="Arial" w:cs="Arial" w:eastAsia="Arial" w:hAnsi="Arial"/>
                <w:sz w:val="19"/>
                <w:szCs w:val="19"/>
                <w:color w:val="auto"/>
              </w:rPr>
              <w:t>Long-term debt, net</w:t>
            </w:r>
          </w:p>
        </w:tc>
        <w:tc>
          <w:tcPr>
            <w:tcW w:w="132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E6E6E6"/>
            </w:tcBorders>
            <w:shd w:val="clear" w:color="auto" w:fill="E6E6E6"/>
          </w:tcPr>
          <w:p>
            <w:pPr>
              <w:spacing w:after="0"/>
              <w:rPr>
                <w:sz w:val="23"/>
                <w:szCs w:val="23"/>
                <w:color w:val="auto"/>
              </w:rPr>
            </w:pPr>
          </w:p>
        </w:tc>
        <w:tc>
          <w:tcPr>
            <w:tcW w:w="580" w:type="dxa"/>
            <w:vAlign w:val="bottom"/>
            <w:tcBorders>
              <w:bottom w:val="single" w:sz="8" w:color="E6E6E6"/>
            </w:tcBorders>
            <w:shd w:val="clear" w:color="auto" w:fill="E6E6E6"/>
          </w:tcPr>
          <w:p>
            <w:pPr>
              <w:spacing w:after="0"/>
              <w:rPr>
                <w:sz w:val="23"/>
                <w:szCs w:val="23"/>
                <w:color w:val="auto"/>
              </w:rPr>
            </w:pPr>
          </w:p>
        </w:tc>
        <w:tc>
          <w:tcPr>
            <w:tcW w:w="98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17,170</w:t>
            </w:r>
          </w:p>
        </w:tc>
        <w:tc>
          <w:tcPr>
            <w:tcW w:w="6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21,680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-2423795</wp:posOffset>
            </wp:positionV>
            <wp:extent cx="339852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22">
                      <a:extLst>
                        <a:ext uri="{28A0092B-C50C-407E-A947-70E740481C1C}"/>
                      </a:extLst>
                    </a:blip>
                    <a:srcRect/>
                    <a:stretch>
                      <a:fillRect/>
                    </a:stretch>
                  </pic:blipFill>
                  <pic:spPr bwMode="auto">
                    <a:xfrm>
                      <a:off x="0" y="0"/>
                      <a:ext cx="3398520" cy="25400"/>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-843915</wp:posOffset>
            </wp:positionV>
            <wp:extent cx="123571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23">
                      <a:extLst>
                        <a:ext uri="{28A0092B-C50C-407E-A947-70E740481C1C}"/>
                      </a:extLst>
                    </a:blip>
                    <a:srcRect/>
                    <a:stretch>
                      <a:fillRect/>
                    </a:stretch>
                  </pic:blipFill>
                  <pic:spPr bwMode="auto">
                    <a:xfrm>
                      <a:off x="0" y="0"/>
                      <a:ext cx="1235710" cy="25400"/>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-206375</wp:posOffset>
            </wp:positionV>
            <wp:extent cx="123571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24">
                      <a:extLst>
                        <a:ext uri="{28A0092B-C50C-407E-A947-70E740481C1C}"/>
                      </a:extLst>
                    </a:blip>
                    <a:srcRect/>
                    <a:stretch>
                      <a:fillRect/>
                    </a:stretch>
                  </pic:blipFill>
                  <pic:spPr bwMode="auto">
                    <a:xfrm>
                      <a:off x="0" y="0"/>
                      <a:ext cx="1235710" cy="2540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-30480</wp:posOffset>
            </wp:positionV>
            <wp:extent cx="292735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25">
                      <a:extLst>
                        <a:ext uri="{28A0092B-C50C-407E-A947-70E740481C1C}"/>
                      </a:extLst>
                    </a:blip>
                    <a:srcRect/>
                    <a:stretch>
                      <a:fillRect/>
                    </a:stretch>
                  </pic:blipFill>
                  <pic:spPr bwMode="auto">
                    <a:xfrm>
                      <a:off x="0" y="0"/>
                      <a:ext cx="2927350" cy="25400"/>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-43180</wp:posOffset>
            </wp:positionV>
            <wp:extent cx="1235710" cy="501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26">
                      <a:extLst>
                        <a:ext uri="{28A0092B-C50C-407E-A947-70E740481C1C}"/>
                      </a:extLst>
                    </a:blip>
                    <a:srcRect/>
                    <a:stretch>
                      <a:fillRect/>
                    </a:stretch>
                  </pic:blipFill>
                  <pic:spPr bwMode="auto">
                    <a:xfrm>
                      <a:off x="0" y="0"/>
                      <a:ext cx="1235710" cy="50165"/>
                    </a:xfrm>
                    <a:prstGeom prst="rect">
                      <a:avLst/>
                    </a:prstGeom>
                    <a:noFill/>
                  </pic:spPr>
                </pic:pic>
              </a:graphicData>
            </a:graphic>
          </wp:anchor>
        </w:drawing>
      </w:r>
    </w:p>
    <w:p>
      <w:pPr>
        <w:spacing w:after="0" w:line="125" w:lineRule="exact"/>
        <w:rPr>
          <w:sz w:val="20"/>
          <w:szCs w:val="20"/>
          <w:color w:val="auto"/>
        </w:rPr>
      </w:pPr>
    </w:p>
    <w:p>
      <w:pPr>
        <w:ind w:left="400" w:right="500" w:hanging="346"/>
        <w:spacing w:after="0" w:line="257" w:lineRule="auto"/>
        <w:tabs>
          <w:tab w:leader="none" w:pos="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Financing includes variable rate debt based on the Secured Overnight Financing Rate ("SOFR") (or another index rate), generally subject to a floor, plus a specified margin of 0.64% to 2.00%.</w:t>
      </w:r>
    </w:p>
    <w:p>
      <w:pPr>
        <w:ind w:left="400" w:hanging="346"/>
        <w:spacing w:after="0"/>
        <w:tabs>
          <w:tab w:leader="none" w:pos="4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Financing includes variable rate debt based on SOFR (or another index rate), subject to a floor, plus a specified margin of 2.00%.</w:t>
      </w:r>
    </w:p>
    <w:p>
      <w:pPr>
        <w:spacing w:after="0" w:line="25" w:lineRule="exact"/>
        <w:rPr>
          <w:rFonts w:ascii="Arial" w:cs="Arial" w:eastAsia="Arial" w:hAnsi="Arial"/>
          <w:sz w:val="16"/>
          <w:szCs w:val="16"/>
          <w:color w:val="auto"/>
        </w:rPr>
      </w:pPr>
    </w:p>
    <w:p>
      <w:pPr>
        <w:jc w:val="both"/>
        <w:ind w:left="400" w:right="120" w:hanging="346"/>
        <w:spacing w:after="0" w:line="317" w:lineRule="auto"/>
        <w:tabs>
          <w:tab w:leader="none" w:pos="4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PSP Notes include $1.50 billion of indebtedness evidenced by a 10-year senior unsecured promissory note with Treasury provided under PSP, $0.9 billion of indebtedness evidenced by a 10-year senior unsecured promissory note issued to Treasury pursuant to PSP2 and $0.8 billion of indebtedness evidenced by a 10-year senior unsecured promissory note issued to Treasury pursuant to PSP3. These PSP Notes have a rate of 1.00% in years 1 through 5, and a rate of the SOFR plus 2.00% in years 6 through 10.</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2025, we had $3.0 billion undrawn and available under our revolving credit facility.</w:t>
      </w:r>
    </w:p>
    <w:p>
      <w:pPr>
        <w:spacing w:after="0" w:line="189"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The table below presents the Company's contractual principal payments (not including debt discount or debt issuance costs) as of December 31, 2025 under then-outstanding long-term debt agreements (in millions):</w:t>
      </w:r>
    </w:p>
    <w:tbl>
      <w:tblPr>
        <w:tblLayout w:type="fixed"/>
        <w:tblInd w:w="0" w:type="dxa"/>
        <w:tblCellMar>
          <w:top w:w="0" w:type="dxa"/>
          <w:left w:w="0" w:type="dxa"/>
          <w:bottom w:w="0" w:type="dxa"/>
          <w:right w:w="0" w:type="dxa"/>
        </w:tblCellMar>
      </w:tblPr>
      <w:tr>
        <w:trPr>
          <w:trHeight w:val="199"/>
        </w:trPr>
        <w:tc>
          <w:tcPr>
            <w:tcW w:w="3460" w:type="dxa"/>
            <w:vAlign w:val="bottom"/>
          </w:tcPr>
          <w:p>
            <w:pPr>
              <w:spacing w:after="0"/>
              <w:rPr>
                <w:sz w:val="17"/>
                <w:szCs w:val="17"/>
                <w:color w:val="auto"/>
              </w:rPr>
            </w:pPr>
          </w:p>
        </w:tc>
        <w:tc>
          <w:tcPr>
            <w:tcW w:w="820" w:type="dxa"/>
            <w:vAlign w:val="bottom"/>
            <w:vMerge w:val="restart"/>
          </w:tcPr>
          <w:p>
            <w:pPr>
              <w:jc w:val="right"/>
              <w:ind w:right="123"/>
              <w:spacing w:after="0"/>
              <w:rPr>
                <w:sz w:val="20"/>
                <w:szCs w:val="20"/>
                <w:color w:val="auto"/>
              </w:rPr>
            </w:pPr>
            <w:r>
              <w:rPr>
                <w:rFonts w:ascii="Arial" w:cs="Arial" w:eastAsia="Arial" w:hAnsi="Arial"/>
                <w:sz w:val="19"/>
                <w:szCs w:val="19"/>
                <w:b w:val="1"/>
                <w:bCs w:val="1"/>
                <w:color w:val="auto"/>
              </w:rPr>
              <w:t>2026</w:t>
            </w:r>
          </w:p>
        </w:tc>
        <w:tc>
          <w:tcPr>
            <w:tcW w:w="140" w:type="dxa"/>
            <w:vAlign w:val="bottom"/>
            <w:vMerge w:val="restart"/>
          </w:tcPr>
          <w:p>
            <w:pPr>
              <w:spacing w:after="0"/>
              <w:rPr>
                <w:sz w:val="17"/>
                <w:szCs w:val="17"/>
                <w:color w:val="auto"/>
              </w:rPr>
            </w:pPr>
          </w:p>
        </w:tc>
        <w:tc>
          <w:tcPr>
            <w:tcW w:w="80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rPr>
              <w:t>2027</w:t>
            </w:r>
          </w:p>
        </w:tc>
        <w:tc>
          <w:tcPr>
            <w:tcW w:w="140" w:type="dxa"/>
            <w:vAlign w:val="bottom"/>
            <w:vMerge w:val="restart"/>
          </w:tcPr>
          <w:p>
            <w:pPr>
              <w:spacing w:after="0"/>
              <w:rPr>
                <w:sz w:val="17"/>
                <w:szCs w:val="17"/>
                <w:color w:val="auto"/>
              </w:rPr>
            </w:pPr>
          </w:p>
        </w:tc>
        <w:tc>
          <w:tcPr>
            <w:tcW w:w="820" w:type="dxa"/>
            <w:vAlign w:val="bottom"/>
            <w:vMerge w:val="restart"/>
          </w:tcPr>
          <w:p>
            <w:pPr>
              <w:jc w:val="right"/>
              <w:ind w:right="123"/>
              <w:spacing w:after="0"/>
              <w:rPr>
                <w:sz w:val="20"/>
                <w:szCs w:val="20"/>
                <w:color w:val="auto"/>
              </w:rPr>
            </w:pPr>
            <w:r>
              <w:rPr>
                <w:rFonts w:ascii="Arial" w:cs="Arial" w:eastAsia="Arial" w:hAnsi="Arial"/>
                <w:sz w:val="19"/>
                <w:szCs w:val="19"/>
                <w:b w:val="1"/>
                <w:bCs w:val="1"/>
                <w:color w:val="auto"/>
              </w:rPr>
              <w:t>2028</w:t>
            </w:r>
          </w:p>
        </w:tc>
        <w:tc>
          <w:tcPr>
            <w:tcW w:w="120" w:type="dxa"/>
            <w:vAlign w:val="bottom"/>
            <w:vMerge w:val="restart"/>
          </w:tcPr>
          <w:p>
            <w:pPr>
              <w:spacing w:after="0"/>
              <w:rPr>
                <w:sz w:val="17"/>
                <w:szCs w:val="17"/>
                <w:color w:val="auto"/>
              </w:rPr>
            </w:pPr>
          </w:p>
        </w:tc>
        <w:tc>
          <w:tcPr>
            <w:tcW w:w="820" w:type="dxa"/>
            <w:vAlign w:val="bottom"/>
            <w:vMerge w:val="restart"/>
          </w:tcPr>
          <w:p>
            <w:pPr>
              <w:jc w:val="right"/>
              <w:ind w:right="123"/>
              <w:spacing w:after="0"/>
              <w:rPr>
                <w:sz w:val="20"/>
                <w:szCs w:val="20"/>
                <w:color w:val="auto"/>
              </w:rPr>
            </w:pPr>
            <w:r>
              <w:rPr>
                <w:rFonts w:ascii="Arial" w:cs="Arial" w:eastAsia="Arial" w:hAnsi="Arial"/>
                <w:sz w:val="19"/>
                <w:szCs w:val="19"/>
                <w:b w:val="1"/>
                <w:bCs w:val="1"/>
                <w:color w:val="auto"/>
              </w:rPr>
              <w:t>2029</w:t>
            </w:r>
          </w:p>
        </w:tc>
        <w:tc>
          <w:tcPr>
            <w:tcW w:w="140" w:type="dxa"/>
            <w:vAlign w:val="bottom"/>
            <w:vMerge w:val="restart"/>
          </w:tcPr>
          <w:p>
            <w:pPr>
              <w:spacing w:after="0"/>
              <w:rPr>
                <w:sz w:val="17"/>
                <w:szCs w:val="17"/>
                <w:color w:val="auto"/>
              </w:rPr>
            </w:pPr>
          </w:p>
        </w:tc>
        <w:tc>
          <w:tcPr>
            <w:tcW w:w="80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rPr>
              <w:t>2030</w:t>
            </w:r>
          </w:p>
        </w:tc>
        <w:tc>
          <w:tcPr>
            <w:tcW w:w="140" w:type="dxa"/>
            <w:vAlign w:val="bottom"/>
          </w:tcPr>
          <w:p>
            <w:pPr>
              <w:spacing w:after="0"/>
              <w:rPr>
                <w:sz w:val="17"/>
                <w:szCs w:val="17"/>
                <w:color w:val="auto"/>
              </w:rPr>
            </w:pPr>
          </w:p>
        </w:tc>
        <w:tc>
          <w:tcPr>
            <w:tcW w:w="820" w:type="dxa"/>
            <w:vAlign w:val="bottom"/>
          </w:tcPr>
          <w:p>
            <w:pPr>
              <w:jc w:val="center"/>
              <w:spacing w:after="0" w:line="200" w:lineRule="exact"/>
              <w:rPr>
                <w:sz w:val="20"/>
                <w:szCs w:val="20"/>
                <w:color w:val="auto"/>
              </w:rPr>
            </w:pPr>
            <w:r>
              <w:rPr>
                <w:rFonts w:ascii="Arial" w:cs="Arial" w:eastAsia="Arial" w:hAnsi="Arial"/>
                <w:sz w:val="19"/>
                <w:szCs w:val="19"/>
                <w:b w:val="1"/>
                <w:bCs w:val="1"/>
                <w:color w:val="auto"/>
                <w:w w:val="99"/>
              </w:rPr>
              <w:t>After</w:t>
            </w:r>
          </w:p>
        </w:tc>
        <w:tc>
          <w:tcPr>
            <w:tcW w:w="120" w:type="dxa"/>
            <w:vAlign w:val="bottom"/>
          </w:tcPr>
          <w:p>
            <w:pPr>
              <w:spacing w:after="0"/>
              <w:rPr>
                <w:sz w:val="17"/>
                <w:szCs w:val="17"/>
                <w:color w:val="auto"/>
              </w:rPr>
            </w:pPr>
          </w:p>
        </w:tc>
        <w:tc>
          <w:tcPr>
            <w:tcW w:w="82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Total</w:t>
            </w:r>
          </w:p>
        </w:tc>
        <w:tc>
          <w:tcPr>
            <w:tcW w:w="0" w:type="dxa"/>
            <w:vAlign w:val="bottom"/>
          </w:tcPr>
          <w:p>
            <w:pPr>
              <w:spacing w:after="0"/>
              <w:rPr>
                <w:sz w:val="1"/>
                <w:szCs w:val="1"/>
                <w:color w:val="auto"/>
              </w:rPr>
            </w:pPr>
          </w:p>
        </w:tc>
      </w:tr>
      <w:tr>
        <w:trPr>
          <w:trHeight w:val="255"/>
        </w:trPr>
        <w:tc>
          <w:tcPr>
            <w:tcW w:w="3460" w:type="dxa"/>
            <w:vAlign w:val="bottom"/>
            <w:tcBorders>
              <w:bottom w:val="single" w:sz="8" w:color="E6E6E6"/>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E6E6E6"/>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E6E6E6"/>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E6E6E6"/>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E6E6E6"/>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E6E6E6"/>
            </w:tcBorders>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2030</w:t>
            </w:r>
          </w:p>
        </w:tc>
        <w:tc>
          <w:tcPr>
            <w:tcW w:w="120" w:type="dxa"/>
            <w:vAlign w:val="bottom"/>
            <w:tcBorders>
              <w:bottom w:val="single" w:sz="8" w:color="E6E6E6"/>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3460" w:type="dxa"/>
            <w:vAlign w:val="bottom"/>
            <w:shd w:val="clear" w:color="auto" w:fill="E6E6E6"/>
          </w:tcPr>
          <w:p>
            <w:pPr>
              <w:ind w:left="60"/>
              <w:spacing w:after="0"/>
              <w:rPr>
                <w:sz w:val="20"/>
                <w:szCs w:val="20"/>
                <w:color w:val="auto"/>
              </w:rPr>
            </w:pPr>
            <w:r>
              <w:rPr>
                <w:rFonts w:ascii="Arial" w:cs="Arial" w:eastAsia="Arial" w:hAnsi="Arial"/>
                <w:sz w:val="19"/>
                <w:szCs w:val="19"/>
                <w:color w:val="auto"/>
              </w:rPr>
              <w:t>Contractual principal payments</w:t>
            </w: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  4,096</w:t>
            </w:r>
          </w:p>
        </w:tc>
        <w:tc>
          <w:tcPr>
            <w:tcW w:w="9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  2,011</w:t>
            </w:r>
          </w:p>
        </w:tc>
        <w:tc>
          <w:tcPr>
            <w:tcW w:w="96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  1,839</w:t>
            </w:r>
          </w:p>
        </w:tc>
        <w:tc>
          <w:tcPr>
            <w:tcW w:w="9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  2,932</w:t>
            </w:r>
          </w:p>
        </w:tc>
        <w:tc>
          <w:tcPr>
            <w:tcW w:w="9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  2,467</w:t>
            </w:r>
          </w:p>
        </w:tc>
        <w:tc>
          <w:tcPr>
            <w:tcW w:w="960" w:type="dxa"/>
            <w:vAlign w:val="bottom"/>
            <w:gridSpan w:val="2"/>
            <w:shd w:val="clear" w:color="auto" w:fill="E6E6E6"/>
          </w:tcPr>
          <w:p>
            <w:pPr>
              <w:jc w:val="center"/>
              <w:ind w:left="3"/>
              <w:spacing w:after="0"/>
              <w:rPr>
                <w:sz w:val="20"/>
                <w:szCs w:val="20"/>
                <w:color w:val="auto"/>
              </w:rPr>
            </w:pPr>
            <w:r>
              <w:rPr>
                <w:rFonts w:ascii="Arial" w:cs="Arial" w:eastAsia="Arial" w:hAnsi="Arial"/>
                <w:sz w:val="19"/>
                <w:szCs w:val="19"/>
                <w:color w:val="auto"/>
              </w:rPr>
              <w:t>$  8,039</w:t>
            </w:r>
          </w:p>
        </w:tc>
        <w:tc>
          <w:tcPr>
            <w:tcW w:w="9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$ 21,383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-187960</wp:posOffset>
            </wp:positionV>
            <wp:extent cx="414718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27">
                      <a:extLst>
                        <a:ext uri="{28A0092B-C50C-407E-A947-70E740481C1C}"/>
                      </a:extLst>
                    </a:blip>
                    <a:srcRect/>
                    <a:stretch>
                      <a:fillRect/>
                    </a:stretch>
                  </pic:blipFill>
                  <pic:spPr bwMode="auto">
                    <a:xfrm>
                      <a:off x="0" y="0"/>
                      <a:ext cx="4147185" cy="25400"/>
                    </a:xfrm>
                    <a:prstGeom prst="rect">
                      <a:avLst/>
                    </a:prstGeom>
                    <a:noFill/>
                  </pic:spPr>
                </pic:pic>
              </a:graphicData>
            </a:graphic>
          </wp:anchor>
        </w:drawing>
      </w:r>
    </w:p>
    <w:p>
      <w:pPr>
        <w:spacing w:after="0" w:line="191"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In 2025, United borrowed $0.5 billion aggregate principal amount from financial institutions to finance the purchase of aircraft. The notes evidencing these borrowings, which are secured by the related aircraft, mature between 2035 and 2037 and bear interest equal to Term SOFR plus a margin with variable rates ranging from 5.29% to 5.39%.</w:t>
      </w:r>
    </w:p>
    <w:p>
      <w:pPr>
        <w:spacing w:after="0" w:line="125"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In November 2025, at the request of United, the Greater Orlando Aviation Authority issued its approximately $258 million special purpose airport facilities revenue bonds and loaned the proceeds of such bonds to United pursuant to a loan agreement to finance a portion of the costs of constructing certain airport improvements, including a hangar among other facilities, to be installed and leased by United at Orlando International Airport. The bonds bear interest at 5.25% to 5.50% per annum, payable semiannually, commencing May 1, 2026 through the November 1, 2037 final maturity date. As security for United's obligations under the loan agreement, United also entered into a leasehold mortgage which grants to the trustee of the bonds (acting on behalf of the bondholders) a lien on United's interest in the leased premises and any improvements thereon owned by or leased to United. As of December 31, 2025, United had recorded approximately $71 million related to this debt.</w:t>
      </w:r>
    </w:p>
    <w:p>
      <w:pPr>
        <w:sectPr>
          <w:pgSz w:w="11880" w:h="15480" w:orient="portrait"/>
          <w:cols w:equalWidth="0" w:num="1">
            <w:col w:w="9960"/>
          </w:cols>
          <w:pgMar w:left="960" w:top="586"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9960"/>
          </w:cols>
          <w:pgMar w:left="960" w:top="586" w:right="960" w:bottom="33" w:gutter="0" w:footer="0" w:header="0"/>
          <w:type w:val="continuous"/>
        </w:sectPr>
      </w:pPr>
    </w:p>
    <w:bookmarkStart w:id="88" w:name="page89"/>
    <w:bookmarkEnd w:id="88"/>
    <w:p>
      <w:pPr>
        <w:ind w:right="140"/>
        <w:spacing w:after="0" w:line="297" w:lineRule="auto"/>
        <w:rPr>
          <w:sz w:val="20"/>
          <w:szCs w:val="20"/>
          <w:color w:val="auto"/>
        </w:rPr>
      </w:pPr>
      <w:r>
        <w:rPr>
          <w:rFonts w:ascii="Arial" w:cs="Arial" w:eastAsia="Arial" w:hAnsi="Arial"/>
          <w:sz w:val="17"/>
          <w:szCs w:val="17"/>
          <w:color w:val="auto"/>
        </w:rPr>
        <w:t>On July 7, 2025, Mileage Plus Holdings, LLC ("MPH"), a direct wholly owned subsidiary of United, and Mileage Plus Intellectual Property Assets, Ltd., an indirect wholly owned subsidiary of MPH ("MIPA" and, together with MPH, the "Issuers"), redeemed in full (the "Redemption") all $1.52 billion aggregate principal amount of the Issuers' outstanding MileagePlus 6.5% senior secured notes due 2027 (the "MileagePlus Senior Secured Notes"), which were secured by substantially all of the assets of the Issuers and their subsidiaries. As a result of the Redemption and the July 2024 voluntarily prepayment in full of the $1.80 billion outstanding principal balance of the secured term loan facility, which was secured ratably with the MileagePlus Senior Secured Notes, all indebtedness secured by the MileagePlus assets have been fully repaid.</w:t>
      </w:r>
    </w:p>
    <w:p>
      <w:pPr>
        <w:spacing w:after="0" w:line="11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debt agreements contain customary terms and conditions as well as various affirmative, negative and financial covenants that, among other things, limit our ability under certain circumstances to create liens on collateral, make certain dividends, stock repurchases, restricted investments and other restricted payments, and consolidate, merge, sell, or otherwise dispose of all or substantially all of our assets. Our debt agreements also contain events of default customary for similar financings including, in certain cases, cross-payment default and cross-acceleration to other material indebtedness. Certain of our debt agreements contain financial covenants that require the Company to maintain at least $2.0 billion of unrestricted liquidity at all times, which includes unrestricted cash, certain liquid and short-term investments and any undrawn amounts under any revolving credit facility, and to maintain a minimum ratio of appraised value of collateral to the outstanding debt secured by such collateral on a senior basis of 1.6 to 1.0, tested semi-annually. As of December 31, 2025, the Company was in compliance with its debt covenants under these agreements.</w:t>
      </w:r>
    </w:p>
    <w:p>
      <w:pPr>
        <w:spacing w:after="0" w:line="13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On February 2, 2026, UAL issued, in a public offering, $1,000,000,000 principal amount of its 5.375% Senior Notes due 2031 (the "2031 Notes"), which are guaranteed by United. The 2031 Notes, issued at a price of 100% of their principal amount, bear interest at a rate of 5.375% per annum, payable semi-annually on March 1 and September 1 of each year, beginning September 1, 2026 and maturing on March 1, 2031. UAL, at its option, may redeem the 2031 Notes at any time prior to September 1, 2030, in whole or in part, at a redemption price equal to the greater of (1) 100% of the principal amount of the 2031 Notes to be redeemed and (2) a make-whole amount, if any, plus accrued and unpaid interest on the principal amount being redeemed to the redemption date. At any time on or after September 1, 2030, UAL may redeem the 2031 Notes, in whole or in part, at a redemption price equal to 100% of the principal amount of the 2031 Notes to be redeemed, plus accrued and unpaid interest on the principal amount being redeemed to the redemption date.</w:t>
      </w:r>
    </w:p>
    <w:p>
      <w:pPr>
        <w:spacing w:after="0" w:line="128" w:lineRule="exact"/>
        <w:rPr>
          <w:sz w:val="20"/>
          <w:szCs w:val="20"/>
          <w:color w:val="auto"/>
        </w:rPr>
      </w:pPr>
    </w:p>
    <w:p>
      <w:pPr>
        <w:ind w:right="120"/>
        <w:spacing w:after="0" w:line="268" w:lineRule="auto"/>
        <w:rPr>
          <w:sz w:val="20"/>
          <w:szCs w:val="20"/>
          <w:color w:val="auto"/>
        </w:rPr>
      </w:pPr>
      <w:r>
        <w:rPr>
          <w:rFonts w:ascii="Arial" w:cs="Arial" w:eastAsia="Arial" w:hAnsi="Arial"/>
          <w:sz w:val="19"/>
          <w:szCs w:val="19"/>
          <w:color w:val="auto"/>
        </w:rPr>
        <w:t>On February 3, 2026, the Company entered into Amendment No. 4 to Term Loan Credit and Guaranty Agreement (2024 Term Loans) that lowered the margin on its interest rate to 1.75%, in the case of Term SOFR Rate (as such term is defined in the Term Loan Credit and Guaranty Agreement, dated as of April 21, 2021, as amended) loans, and 0.75%, in the case of loans at other market rates.</w:t>
      </w:r>
    </w:p>
    <w:p>
      <w:pPr>
        <w:spacing w:after="0" w:line="13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On February 6, 2026, UAL issued, in a public offering, $1,000,000,000 principal amount of its 4.875% Senior Notes due 2029 (the "2029 Notes"), which are guaranteed by United. The 2029 Notes, issued at a price of 100% of their principal amount, bear interest at a rate of 4.875% per annum, payable semi-annually on March 1 and September 1 of each year, beginning September 1, 2026 and maturing on March 1, 2029. UAL, at its option, may redeem the 2029 Notes at any time prior to December 1, 2028, in whole or in part, at a redemption price equal to the greater of (1) 100% of the principal amount of the 2029 Notes to be redeemed and (2) a make-whole amount, if any, plus accrued and unpaid interest on the principal amount being redeemed to the redemption date. At any time on or after December 1, 2028, UAL may redeem the 2029 Notes, in whole or in part, at a redemption price equal to 100% of the principal amount of the 2029 Notes to be redeemed, plus accrued and unpaid interest on the principal amount being redeemed to the redemption date.</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11 - LEASES</w:t>
      </w:r>
    </w:p>
    <w:p>
      <w:pPr>
        <w:spacing w:after="0" w:line="196"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auto"/>
        </w:rPr>
        <w:t>United leases aircraft, airport passenger terminal space, aircraft hangars and related maintenance facilities, cargo terminals, other airport facilities, other commercial real estate, office and computer equipment and vehicles, among other items. Certain of these leases include provisions for variable lease payments which are based on several factors, including, but not limited to, relative leased square footage, available seat miles, enplaned passengers, passenger facility charges, terminal equipment usage fees, departures, and airports' annual operating budgets. Due to the variable nature of these payments, they are not included in the calculation of the right-of-use asset and lease liability.</w:t>
      </w:r>
    </w:p>
    <w:p>
      <w:pPr>
        <w:sectPr>
          <w:pgSz w:w="11880" w:h="15480" w:orient="portrait"/>
          <w:cols w:equalWidth="0" w:num="1">
            <w:col w:w="9960"/>
          </w:cols>
          <w:pgMar w:left="960" w:top="586"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9960"/>
          </w:cols>
          <w:pgMar w:left="960" w:top="586" w:right="960" w:bottom="33"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Lease Cost</w:t>
      </w:r>
      <w:r>
        <w:rPr>
          <w:rFonts w:ascii="Arial" w:cs="Arial" w:eastAsia="Arial" w:hAnsi="Arial"/>
          <w:sz w:val="18"/>
          <w:szCs w:val="18"/>
          <w:color w:val="auto"/>
        </w:rPr>
        <w:t>. The Company's lease cost for the years ended December 31 included the following components (in millions):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42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23"/>
              <w:spacing w:after="0"/>
              <w:rPr>
                <w:sz w:val="20"/>
                <w:szCs w:val="20"/>
                <w:color w:val="auto"/>
              </w:rPr>
            </w:pPr>
            <w:r>
              <w:rPr>
                <w:rFonts w:ascii="Arial" w:cs="Arial" w:eastAsia="Arial" w:hAnsi="Arial"/>
                <w:sz w:val="19"/>
                <w:szCs w:val="19"/>
                <w:b w:val="1"/>
                <w:bCs w:val="1"/>
                <w:color w:val="auto"/>
              </w:rPr>
              <w:t>2025</w:t>
            </w:r>
          </w:p>
        </w:tc>
        <w:tc>
          <w:tcPr>
            <w:tcW w:w="1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b w:val="1"/>
                <w:bCs w:val="1"/>
                <w:color w:val="auto"/>
              </w:rPr>
              <w:t>2024</w:t>
            </w:r>
          </w:p>
        </w:tc>
        <w:tc>
          <w:tcPr>
            <w:tcW w:w="18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b w:val="1"/>
                <w:bCs w:val="1"/>
                <w:color w:val="auto"/>
              </w:rPr>
              <w:t>2023</w:t>
            </w:r>
          </w:p>
        </w:tc>
      </w:tr>
      <w:tr>
        <w:trPr>
          <w:trHeight w:val="281"/>
        </w:trPr>
        <w:tc>
          <w:tcPr>
            <w:tcW w:w="5420" w:type="dxa"/>
            <w:vAlign w:val="bottom"/>
            <w:shd w:val="clear" w:color="auto" w:fill="E6E6E6"/>
          </w:tcPr>
          <w:p>
            <w:pPr>
              <w:ind w:left="60"/>
              <w:spacing w:after="0"/>
              <w:rPr>
                <w:sz w:val="20"/>
                <w:szCs w:val="20"/>
                <w:color w:val="auto"/>
              </w:rPr>
            </w:pPr>
            <w:r>
              <w:rPr>
                <w:rFonts w:ascii="Arial" w:cs="Arial" w:eastAsia="Arial" w:hAnsi="Arial"/>
                <w:sz w:val="19"/>
                <w:szCs w:val="19"/>
                <w:color w:val="auto"/>
              </w:rPr>
              <w:t>Operating lease cost</w:t>
            </w:r>
          </w:p>
        </w:tc>
        <w:tc>
          <w:tcPr>
            <w:tcW w:w="320" w:type="dxa"/>
            <w:vAlign w:val="bottom"/>
            <w:shd w:val="clear" w:color="auto" w:fill="E6E6E6"/>
          </w:tcPr>
          <w:p>
            <w:pPr>
              <w:jc w:val="right"/>
              <w:ind w:right="83"/>
              <w:spacing w:after="0"/>
              <w:rPr>
                <w:sz w:val="20"/>
                <w:szCs w:val="20"/>
                <w:color w:val="auto"/>
              </w:rPr>
            </w:pPr>
            <w:r>
              <w:rPr>
                <w:rFonts w:ascii="Arial" w:cs="Arial" w:eastAsia="Arial" w:hAnsi="Arial"/>
                <w:sz w:val="19"/>
                <w:szCs w:val="19"/>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894</w:t>
            </w:r>
          </w:p>
        </w:tc>
        <w:tc>
          <w:tcPr>
            <w:tcW w:w="5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855</w:t>
            </w:r>
          </w:p>
        </w:tc>
        <w:tc>
          <w:tcPr>
            <w:tcW w:w="5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925</w:t>
            </w:r>
          </w:p>
        </w:tc>
      </w:tr>
      <w:tr>
        <w:trPr>
          <w:trHeight w:val="285"/>
        </w:trPr>
        <w:tc>
          <w:tcPr>
            <w:tcW w:w="5420" w:type="dxa"/>
            <w:vAlign w:val="bottom"/>
          </w:tcPr>
          <w:p>
            <w:pPr>
              <w:ind w:left="60"/>
              <w:spacing w:after="0"/>
              <w:rPr>
                <w:sz w:val="20"/>
                <w:szCs w:val="20"/>
                <w:color w:val="auto"/>
              </w:rPr>
            </w:pPr>
            <w:r>
              <w:rPr>
                <w:rFonts w:ascii="Arial" w:cs="Arial" w:eastAsia="Arial" w:hAnsi="Arial"/>
                <w:sz w:val="19"/>
                <w:szCs w:val="19"/>
                <w:color w:val="auto"/>
              </w:rPr>
              <w:t>Variable and short-term lease cost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4,003</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3,592</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3,028</w:t>
            </w:r>
          </w:p>
        </w:tc>
      </w:tr>
      <w:tr>
        <w:trPr>
          <w:trHeight w:val="297"/>
        </w:trPr>
        <w:tc>
          <w:tcPr>
            <w:tcW w:w="5420" w:type="dxa"/>
            <w:vAlign w:val="bottom"/>
            <w:shd w:val="clear" w:color="auto" w:fill="E6E6E6"/>
          </w:tcPr>
          <w:p>
            <w:pPr>
              <w:ind w:left="60"/>
              <w:spacing w:after="0"/>
              <w:rPr>
                <w:sz w:val="20"/>
                <w:szCs w:val="20"/>
                <w:color w:val="auto"/>
              </w:rPr>
            </w:pPr>
            <w:r>
              <w:rPr>
                <w:rFonts w:ascii="Arial" w:cs="Arial" w:eastAsia="Arial" w:hAnsi="Arial"/>
                <w:sz w:val="19"/>
                <w:szCs w:val="19"/>
                <w:color w:val="auto"/>
              </w:rPr>
              <w:t>Amortization of finance lease assets</w:t>
            </w:r>
          </w:p>
        </w:tc>
        <w:tc>
          <w:tcPr>
            <w:tcW w:w="3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86</w:t>
            </w:r>
          </w:p>
        </w:tc>
        <w:tc>
          <w:tcPr>
            <w:tcW w:w="1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62</w:t>
            </w:r>
          </w:p>
        </w:tc>
        <w:tc>
          <w:tcPr>
            <w:tcW w:w="1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52</w:t>
            </w:r>
          </w:p>
        </w:tc>
      </w:tr>
      <w:tr>
        <w:trPr>
          <w:trHeight w:val="285"/>
        </w:trPr>
        <w:tc>
          <w:tcPr>
            <w:tcW w:w="5420" w:type="dxa"/>
            <w:vAlign w:val="bottom"/>
          </w:tcPr>
          <w:p>
            <w:pPr>
              <w:ind w:left="60"/>
              <w:spacing w:after="0"/>
              <w:rPr>
                <w:sz w:val="20"/>
                <w:szCs w:val="20"/>
                <w:color w:val="auto"/>
              </w:rPr>
            </w:pPr>
            <w:r>
              <w:rPr>
                <w:rFonts w:ascii="Arial" w:cs="Arial" w:eastAsia="Arial" w:hAnsi="Arial"/>
                <w:sz w:val="19"/>
                <w:szCs w:val="19"/>
                <w:color w:val="auto"/>
              </w:rPr>
              <w:t>Interest on finance lease liabilities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15</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16</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87"/>
        </w:trPr>
        <w:tc>
          <w:tcPr>
            <w:tcW w:w="54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Sublease income</w:t>
            </w:r>
          </w:p>
        </w:tc>
        <w:tc>
          <w:tcPr>
            <w:tcW w:w="32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(33)</w:t>
            </w:r>
          </w:p>
        </w:tc>
        <w:tc>
          <w:tcPr>
            <w:tcW w:w="1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(35)</w:t>
            </w:r>
          </w:p>
        </w:tc>
        <w:tc>
          <w:tcPr>
            <w:tcW w:w="1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(39)</w:t>
            </w:r>
          </w:p>
        </w:tc>
      </w:tr>
      <w:tr>
        <w:trPr>
          <w:trHeight w:val="252"/>
        </w:trPr>
        <w:tc>
          <w:tcPr>
            <w:tcW w:w="5420" w:type="dxa"/>
            <w:vAlign w:val="bottom"/>
          </w:tcPr>
          <w:p>
            <w:pPr>
              <w:ind w:left="180"/>
              <w:spacing w:after="0"/>
              <w:rPr>
                <w:sz w:val="20"/>
                <w:szCs w:val="20"/>
                <w:color w:val="auto"/>
              </w:rPr>
            </w:pPr>
            <w:r>
              <w:rPr>
                <w:rFonts w:ascii="Arial" w:cs="Arial" w:eastAsia="Arial" w:hAnsi="Arial"/>
                <w:sz w:val="19"/>
                <w:szCs w:val="19"/>
                <w:color w:val="auto"/>
              </w:rPr>
              <w:t>Total lease cost</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4,964</w:t>
            </w:r>
          </w:p>
        </w:tc>
        <w:tc>
          <w:tcPr>
            <w:tcW w:w="5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4,490</w:t>
            </w:r>
          </w:p>
        </w:tc>
        <w:tc>
          <w:tcPr>
            <w:tcW w:w="5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3,986</w:t>
            </w:r>
          </w:p>
        </w:tc>
      </w:tr>
      <w:tr>
        <w:trPr>
          <w:trHeight w:val="20"/>
        </w:trPr>
        <w:tc>
          <w:tcPr>
            <w:tcW w:w="5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-1139190</wp:posOffset>
            </wp:positionV>
            <wp:extent cx="289941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28">
                      <a:extLst>
                        <a:ext uri="{28A0092B-C50C-407E-A947-70E740481C1C}"/>
                      </a:extLst>
                    </a:blip>
                    <a:srcRect/>
                    <a:stretch>
                      <a:fillRect/>
                    </a:stretch>
                  </pic:blipFill>
                  <pic:spPr bwMode="auto">
                    <a:xfrm>
                      <a:off x="0" y="0"/>
                      <a:ext cx="2899410" cy="2540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-215265</wp:posOffset>
            </wp:positionV>
            <wp:extent cx="289941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29">
                      <a:extLst>
                        <a:ext uri="{28A0092B-C50C-407E-A947-70E740481C1C}"/>
                      </a:extLst>
                    </a:blip>
                    <a:srcRect/>
                    <a:stretch>
                      <a:fillRect/>
                    </a:stretch>
                  </pic:blipFill>
                  <pic:spPr bwMode="auto">
                    <a:xfrm>
                      <a:off x="0" y="0"/>
                      <a:ext cx="2899410" cy="25400"/>
                    </a:xfrm>
                    <a:prstGeom prst="rect">
                      <a:avLst/>
                    </a:prstGeom>
                    <a:noFill/>
                  </pic:spPr>
                </pic:pic>
              </a:graphicData>
            </a:graphic>
          </wp:anchor>
        </w:drawing>
      </w:r>
    </w:p>
    <w:p>
      <w:pPr>
        <w:spacing w:after="0" w:line="157"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i w:val="1"/>
          <w:iCs w:val="1"/>
          <w:color w:val="auto"/>
        </w:rPr>
        <w:t>Lease Terms and Commitments</w:t>
      </w:r>
      <w:r>
        <w:rPr>
          <w:rFonts w:ascii="Arial" w:cs="Arial" w:eastAsia="Arial" w:hAnsi="Arial"/>
          <w:sz w:val="18"/>
          <w:szCs w:val="18"/>
          <w:color w:val="auto"/>
        </w:rPr>
        <w:t>. United's leases include aircraft leases for aircraft that are directly leased by United and aircraft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operated by regional carriers on United's behalf under CPAs (but excluding aircraft owned by United) and non-aircraft leases. Aircraft operating leases relate to leases of 81 mainline and 217 regional aircraft while finance leases relate to leases of 27 mainline and 11 regional aircraft. United's aircraft leases have remaining lease terms of up to 12 years with expiration dates ranging from 2026 through 2037. Under the terms of most aircraft leases, United has the right to purchase the aircraft at the end of the lease term, in some cases at fair market value, and in others, at a percentage of cost.</w:t>
      </w:r>
    </w:p>
    <w:p>
      <w:pPr>
        <w:spacing w:after="0" w:line="123"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In addition, United also has 63 leases of Boeing 737 MAX, Boeing 787 and Airbus A321neo aircraft under various sale-leaseback transactions. These transactions did not qualify as a sale under the applicable accounting guidance, and, as such, the associated aircraft remain on the Company's consolidated balance sheet as part of Operating property and equipment, net. The related obligations are recorded in Current maturities of long-term debt, finance leases, and other financial liabilities and Long-term debt, finance leases, and other financial liabilities. These aircraft leases have remaining lease terms of 7 years to 11 years with expiration dates ranging from 2032 through 2037.</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color w:val="auto"/>
        </w:rPr>
        <w:t>Non-aircraft leases have remaining lease terms of 1 month to 32 years.</w:t>
      </w:r>
    </w:p>
    <w:p>
      <w:pPr>
        <w:spacing w:after="0" w:line="189" w:lineRule="exact"/>
        <w:rPr>
          <w:sz w:val="20"/>
          <w:szCs w:val="20"/>
          <w:color w:val="auto"/>
        </w:rPr>
      </w:pPr>
    </w:p>
    <w:p>
      <w:pPr>
        <w:ind w:right="380"/>
        <w:spacing w:after="0" w:line="294" w:lineRule="auto"/>
        <w:rPr>
          <w:sz w:val="20"/>
          <w:szCs w:val="20"/>
          <w:color w:val="auto"/>
        </w:rPr>
      </w:pPr>
      <w:r>
        <w:rPr>
          <w:rFonts w:ascii="Arial" w:cs="Arial" w:eastAsia="Arial" w:hAnsi="Arial"/>
          <w:sz w:val="19"/>
          <w:szCs w:val="19"/>
          <w:color w:val="auto"/>
        </w:rPr>
        <w:t>The table below summarizes the Company's scheduled future minimum lease payments under operating and finance leases, recorded on the balance sheet, as of December 31, 2025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4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223"/>
              <w:spacing w:after="0"/>
              <w:rPr>
                <w:sz w:val="20"/>
                <w:szCs w:val="20"/>
                <w:color w:val="auto"/>
              </w:rPr>
            </w:pPr>
            <w:r>
              <w:rPr>
                <w:rFonts w:ascii="Arial" w:cs="Arial" w:eastAsia="Arial" w:hAnsi="Arial"/>
                <w:sz w:val="19"/>
                <w:szCs w:val="19"/>
                <w:b w:val="1"/>
                <w:bCs w:val="1"/>
                <w:color w:val="auto"/>
                <w:w w:val="95"/>
              </w:rPr>
              <w:t>Operating Leases</w:t>
            </w:r>
          </w:p>
        </w:tc>
        <w:tc>
          <w:tcPr>
            <w:tcW w:w="8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23"/>
              <w:spacing w:after="0"/>
              <w:rPr>
                <w:sz w:val="20"/>
                <w:szCs w:val="20"/>
                <w:color w:val="auto"/>
              </w:rPr>
            </w:pPr>
            <w:r>
              <w:rPr>
                <w:rFonts w:ascii="Arial" w:cs="Arial" w:eastAsia="Arial" w:hAnsi="Arial"/>
                <w:sz w:val="19"/>
                <w:szCs w:val="19"/>
                <w:b w:val="1"/>
                <w:bCs w:val="1"/>
                <w:color w:val="auto"/>
                <w:w w:val="97"/>
              </w:rPr>
              <w:t>Finance Leases</w:t>
            </w:r>
          </w:p>
        </w:tc>
      </w:tr>
      <w:tr>
        <w:trPr>
          <w:trHeight w:val="267"/>
        </w:trPr>
        <w:tc>
          <w:tcPr>
            <w:tcW w:w="548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2026</w:t>
            </w:r>
          </w:p>
        </w:tc>
        <w:tc>
          <w:tcPr>
            <w:tcW w:w="2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929</w:t>
            </w:r>
          </w:p>
        </w:tc>
        <w:tc>
          <w:tcPr>
            <w:tcW w:w="360" w:type="dxa"/>
            <w:vAlign w:val="bottom"/>
            <w:gridSpan w:val="2"/>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1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101</w:t>
            </w:r>
          </w:p>
        </w:tc>
      </w:tr>
      <w:tr>
        <w:trPr>
          <w:trHeight w:val="270"/>
        </w:trPr>
        <w:tc>
          <w:tcPr>
            <w:tcW w:w="5480" w:type="dxa"/>
            <w:vAlign w:val="bottom"/>
          </w:tcPr>
          <w:p>
            <w:pPr>
              <w:ind w:left="60"/>
              <w:spacing w:after="0"/>
              <w:rPr>
                <w:sz w:val="20"/>
                <w:szCs w:val="20"/>
                <w:color w:val="auto"/>
              </w:rPr>
            </w:pPr>
            <w:r>
              <w:rPr>
                <w:rFonts w:ascii="Arial" w:cs="Arial" w:eastAsia="Arial" w:hAnsi="Arial"/>
                <w:sz w:val="19"/>
                <w:szCs w:val="19"/>
                <w:color w:val="auto"/>
              </w:rPr>
              <w:t>2027</w:t>
            </w: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9"/>
                <w:szCs w:val="19"/>
                <w:color w:val="auto"/>
              </w:rPr>
              <w:t>1,123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9"/>
                <w:szCs w:val="19"/>
                <w:color w:val="auto"/>
              </w:rPr>
              <w:t>241</w:t>
            </w:r>
          </w:p>
        </w:tc>
      </w:tr>
      <w:tr>
        <w:trPr>
          <w:trHeight w:val="283"/>
        </w:trPr>
        <w:tc>
          <w:tcPr>
            <w:tcW w:w="548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2028</w:t>
            </w:r>
          </w:p>
        </w:tc>
        <w:tc>
          <w:tcPr>
            <w:tcW w:w="240" w:type="dxa"/>
            <w:vAlign w:val="bottom"/>
            <w:shd w:val="clear" w:color="auto" w:fill="E6E6E6"/>
          </w:tcPr>
          <w:p>
            <w:pPr>
              <w:spacing w:after="0"/>
              <w:rPr>
                <w:sz w:val="24"/>
                <w:szCs w:val="24"/>
                <w:color w:val="auto"/>
              </w:rPr>
            </w:pP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941</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148</w:t>
            </w:r>
          </w:p>
        </w:tc>
      </w:tr>
      <w:tr>
        <w:trPr>
          <w:trHeight w:val="270"/>
        </w:trPr>
        <w:tc>
          <w:tcPr>
            <w:tcW w:w="5480" w:type="dxa"/>
            <w:vAlign w:val="bottom"/>
          </w:tcPr>
          <w:p>
            <w:pPr>
              <w:ind w:left="60"/>
              <w:spacing w:after="0"/>
              <w:rPr>
                <w:sz w:val="20"/>
                <w:szCs w:val="20"/>
                <w:color w:val="auto"/>
              </w:rPr>
            </w:pPr>
            <w:r>
              <w:rPr>
                <w:rFonts w:ascii="Arial" w:cs="Arial" w:eastAsia="Arial" w:hAnsi="Arial"/>
                <w:sz w:val="19"/>
                <w:szCs w:val="19"/>
                <w:color w:val="auto"/>
              </w:rPr>
              <w:t>2029</w:t>
            </w: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9"/>
                <w:szCs w:val="19"/>
                <w:color w:val="auto"/>
              </w:rPr>
              <w:t>745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83"/>
        </w:trPr>
        <w:tc>
          <w:tcPr>
            <w:tcW w:w="548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2030</w:t>
            </w:r>
          </w:p>
        </w:tc>
        <w:tc>
          <w:tcPr>
            <w:tcW w:w="240" w:type="dxa"/>
            <w:vAlign w:val="bottom"/>
            <w:shd w:val="clear" w:color="auto" w:fill="E6E6E6"/>
          </w:tcPr>
          <w:p>
            <w:pPr>
              <w:spacing w:after="0"/>
              <w:rPr>
                <w:sz w:val="24"/>
                <w:szCs w:val="24"/>
                <w:color w:val="auto"/>
              </w:rPr>
            </w:pP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790</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w:t>
            </w:r>
          </w:p>
        </w:tc>
      </w:tr>
      <w:tr>
        <w:trPr>
          <w:trHeight w:val="266"/>
        </w:trPr>
        <w:tc>
          <w:tcPr>
            <w:tcW w:w="548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After 2030</w:t>
            </w: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3,642</w:t>
            </w:r>
          </w:p>
        </w:tc>
        <w:tc>
          <w:tcPr>
            <w:tcW w:w="8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r>
      <w:tr>
        <w:trPr>
          <w:trHeight w:val="267"/>
        </w:trPr>
        <w:tc>
          <w:tcPr>
            <w:tcW w:w="5480" w:type="dxa"/>
            <w:vAlign w:val="bottom"/>
            <w:shd w:val="clear" w:color="auto" w:fill="E6E6E6"/>
          </w:tcPr>
          <w:p>
            <w:pPr>
              <w:ind w:left="540"/>
              <w:spacing w:after="0"/>
              <w:rPr>
                <w:sz w:val="20"/>
                <w:szCs w:val="20"/>
                <w:color w:val="auto"/>
              </w:rPr>
            </w:pPr>
            <w:r>
              <w:rPr>
                <w:rFonts w:ascii="Arial" w:cs="Arial" w:eastAsia="Arial" w:hAnsi="Arial"/>
                <w:sz w:val="19"/>
                <w:szCs w:val="19"/>
                <w:color w:val="auto"/>
              </w:rPr>
              <w:t>Minimum lease payments</w:t>
            </w:r>
          </w:p>
        </w:tc>
        <w:tc>
          <w:tcPr>
            <w:tcW w:w="240" w:type="dxa"/>
            <w:vAlign w:val="bottom"/>
            <w:shd w:val="clear" w:color="auto" w:fill="E6E6E6"/>
          </w:tcPr>
          <w:p>
            <w:pPr>
              <w:spacing w:after="0"/>
              <w:rPr>
                <w:sz w:val="23"/>
                <w:szCs w:val="23"/>
                <w:color w:val="auto"/>
              </w:rPr>
            </w:pP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8,170</w:t>
            </w:r>
          </w:p>
        </w:tc>
        <w:tc>
          <w:tcPr>
            <w:tcW w:w="8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1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516</w:t>
            </w:r>
          </w:p>
        </w:tc>
      </w:tr>
      <w:tr>
        <w:trPr>
          <w:trHeight w:val="266"/>
        </w:trPr>
        <w:tc>
          <w:tcPr>
            <w:tcW w:w="548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Imputed interest</w:t>
            </w: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(2,121)</w:t>
            </w:r>
          </w:p>
        </w:tc>
        <w:tc>
          <w:tcPr>
            <w:tcW w:w="8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w:t>
            </w:r>
          </w:p>
        </w:tc>
      </w:tr>
      <w:tr>
        <w:trPr>
          <w:trHeight w:val="267"/>
        </w:trPr>
        <w:tc>
          <w:tcPr>
            <w:tcW w:w="5480" w:type="dxa"/>
            <w:vAlign w:val="bottom"/>
            <w:shd w:val="clear" w:color="auto" w:fill="E6E6E6"/>
          </w:tcPr>
          <w:p>
            <w:pPr>
              <w:ind w:left="60"/>
              <w:spacing w:after="0"/>
              <w:rPr>
                <w:sz w:val="20"/>
                <w:szCs w:val="20"/>
                <w:color w:val="auto"/>
              </w:rPr>
            </w:pPr>
            <w:r>
              <w:rPr>
                <w:rFonts w:ascii="Arial" w:cs="Arial" w:eastAsia="Arial" w:hAnsi="Arial"/>
                <w:sz w:val="19"/>
                <w:szCs w:val="19"/>
                <w:color w:val="auto"/>
              </w:rPr>
              <w:t>Present value of minimum lease payments</w:t>
            </w:r>
          </w:p>
        </w:tc>
        <w:tc>
          <w:tcPr>
            <w:tcW w:w="240" w:type="dxa"/>
            <w:vAlign w:val="bottom"/>
            <w:shd w:val="clear" w:color="auto" w:fill="E6E6E6"/>
          </w:tcPr>
          <w:p>
            <w:pPr>
              <w:spacing w:after="0"/>
              <w:rPr>
                <w:sz w:val="23"/>
                <w:szCs w:val="23"/>
                <w:color w:val="auto"/>
              </w:rPr>
            </w:pP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6,048</w:t>
            </w:r>
          </w:p>
        </w:tc>
        <w:tc>
          <w:tcPr>
            <w:tcW w:w="8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18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474</w:t>
            </w:r>
          </w:p>
        </w:tc>
      </w:tr>
      <w:tr>
        <w:trPr>
          <w:trHeight w:val="266"/>
        </w:trPr>
        <w:tc>
          <w:tcPr>
            <w:tcW w:w="548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Less: current maturities of lease obligations</w:t>
            </w: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(631)</w:t>
            </w:r>
          </w:p>
        </w:tc>
        <w:tc>
          <w:tcPr>
            <w:tcW w:w="8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w:t>
            </w:r>
          </w:p>
        </w:tc>
      </w:tr>
      <w:tr>
        <w:trPr>
          <w:trHeight w:val="276"/>
        </w:trPr>
        <w:tc>
          <w:tcPr>
            <w:tcW w:w="54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Long-term lease obligations</w:t>
            </w:r>
          </w:p>
        </w:tc>
        <w:tc>
          <w:tcPr>
            <w:tcW w:w="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5,417</w:t>
            </w:r>
          </w:p>
        </w:tc>
        <w:tc>
          <w:tcPr>
            <w:tcW w:w="8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jc w:val="right"/>
              <w:ind w:right="43"/>
              <w:spacing w:after="0"/>
              <w:rPr>
                <w:sz w:val="20"/>
                <w:szCs w:val="20"/>
                <w:color w:val="auto"/>
              </w:rPr>
            </w:pPr>
            <w:r>
              <w:rPr>
                <w:rFonts w:ascii="Arial" w:cs="Arial" w:eastAsia="Arial" w:hAnsi="Arial"/>
                <w:sz w:val="19"/>
                <w:szCs w:val="19"/>
                <w:color w:val="auto"/>
              </w:rPr>
              <w:t>$</w:t>
            </w:r>
          </w:p>
        </w:tc>
        <w:tc>
          <w:tcPr>
            <w:tcW w:w="1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-1962150</wp:posOffset>
            </wp:positionV>
            <wp:extent cx="273304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30">
                      <a:extLst>
                        <a:ext uri="{28A0092B-C50C-407E-A947-70E740481C1C}"/>
                      </a:extLst>
                    </a:blip>
                    <a:srcRect/>
                    <a:stretch>
                      <a:fillRect/>
                    </a:stretch>
                  </pic:blipFill>
                  <pic:spPr bwMode="auto">
                    <a:xfrm>
                      <a:off x="0" y="0"/>
                      <a:ext cx="2733040" cy="25400"/>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-908685</wp:posOffset>
            </wp:positionV>
            <wp:extent cx="273304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31">
                      <a:extLst>
                        <a:ext uri="{28A0092B-C50C-407E-A947-70E740481C1C}"/>
                      </a:extLst>
                    </a:blip>
                    <a:srcRect/>
                    <a:stretch>
                      <a:fillRect/>
                    </a:stretch>
                  </pic:blipFill>
                  <pic:spPr bwMode="auto">
                    <a:xfrm>
                      <a:off x="0" y="0"/>
                      <a:ext cx="2733040" cy="25400"/>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-557530</wp:posOffset>
            </wp:positionV>
            <wp:extent cx="273304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32">
                      <a:extLst>
                        <a:ext uri="{28A0092B-C50C-407E-A947-70E740481C1C}"/>
                      </a:extLst>
                    </a:blip>
                    <a:srcRect/>
                    <a:stretch>
                      <a:fillRect/>
                    </a:stretch>
                  </pic:blipFill>
                  <pic:spPr bwMode="auto">
                    <a:xfrm>
                      <a:off x="0" y="0"/>
                      <a:ext cx="2733040" cy="25400"/>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-206375</wp:posOffset>
            </wp:positionV>
            <wp:extent cx="273304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33">
                      <a:extLst>
                        <a:ext uri="{28A0092B-C50C-407E-A947-70E740481C1C}"/>
                      </a:extLst>
                    </a:blip>
                    <a:srcRect/>
                    <a:stretch>
                      <a:fillRect/>
                    </a:stretch>
                  </pic:blipFill>
                  <pic:spPr bwMode="auto">
                    <a:xfrm>
                      <a:off x="0" y="0"/>
                      <a:ext cx="2733040" cy="25400"/>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-43180</wp:posOffset>
            </wp:positionV>
            <wp:extent cx="2733040" cy="501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34">
                      <a:extLst>
                        <a:ext uri="{28A0092B-C50C-407E-A947-70E740481C1C}"/>
                      </a:extLst>
                    </a:blip>
                    <a:srcRect/>
                    <a:stretch>
                      <a:fillRect/>
                    </a:stretch>
                  </pic:blipFill>
                  <pic:spPr bwMode="auto">
                    <a:xfrm>
                      <a:off x="0" y="0"/>
                      <a:ext cx="2733040" cy="50165"/>
                    </a:xfrm>
                    <a:prstGeom prst="rect">
                      <a:avLst/>
                    </a:prstGeom>
                    <a:noFill/>
                  </pic:spPr>
                </pic:pic>
              </a:graphicData>
            </a:graphic>
          </wp:anchor>
        </w:drawing>
      </w:r>
    </w:p>
    <w:p>
      <w:pPr>
        <w:sectPr>
          <w:pgSz w:w="11880" w:h="15480" w:orient="portrait"/>
          <w:cols w:equalWidth="0" w:num="1">
            <w:col w:w="9940"/>
          </w:cols>
          <w:pgMar w:left="960" w:top="581"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9940"/>
          </w:cols>
          <w:pgMar w:left="960" w:top="581" w:right="980" w:bottom="33" w:gutter="0" w:footer="0" w:header="0"/>
          <w:type w:val="continuous"/>
        </w:sectPr>
      </w:pPr>
    </w:p>
    <w:bookmarkStart w:id="90" w:name="page91"/>
    <w:bookmarkEnd w:id="90"/>
    <w:p>
      <w:pPr>
        <w:ind w:right="200"/>
        <w:spacing w:after="0" w:line="323" w:lineRule="auto"/>
        <w:rPr>
          <w:sz w:val="20"/>
          <w:szCs w:val="20"/>
          <w:color w:val="auto"/>
        </w:rPr>
      </w:pPr>
      <w:r>
        <w:rPr>
          <w:rFonts w:ascii="Arial" w:cs="Arial" w:eastAsia="Arial" w:hAnsi="Arial"/>
          <w:sz w:val="18"/>
          <w:szCs w:val="18"/>
          <w:color w:val="auto"/>
        </w:rPr>
        <w:t>The table below presents the Company's future contractual lease payments at December 31, 2025 under then-outstanding sale and leaseback agreements that did not qualify as a sale under the applicable accounting guidance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30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b w:val="1"/>
                <w:bCs w:val="1"/>
                <w:color w:val="auto"/>
                <w:w w:val="95"/>
              </w:rPr>
              <w:t>Other Financial Liabilities</w:t>
            </w:r>
          </w:p>
        </w:tc>
      </w:tr>
      <w:tr>
        <w:trPr>
          <w:trHeight w:val="281"/>
        </w:trPr>
        <w:tc>
          <w:tcPr>
            <w:tcW w:w="730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2026</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4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398</w:t>
            </w:r>
          </w:p>
        </w:tc>
      </w:tr>
      <w:tr>
        <w:trPr>
          <w:trHeight w:val="285"/>
        </w:trPr>
        <w:tc>
          <w:tcPr>
            <w:tcW w:w="7300" w:type="dxa"/>
            <w:vAlign w:val="bottom"/>
          </w:tcPr>
          <w:p>
            <w:pPr>
              <w:ind w:left="60"/>
              <w:spacing w:after="0"/>
              <w:rPr>
                <w:sz w:val="20"/>
                <w:szCs w:val="20"/>
                <w:color w:val="auto"/>
              </w:rPr>
            </w:pPr>
            <w:r>
              <w:rPr>
                <w:rFonts w:ascii="Arial" w:cs="Arial" w:eastAsia="Arial" w:hAnsi="Arial"/>
                <w:sz w:val="19"/>
                <w:szCs w:val="19"/>
                <w:color w:val="auto"/>
              </w:rPr>
              <w:t>2027</w:t>
            </w:r>
          </w:p>
        </w:tc>
        <w:tc>
          <w:tcPr>
            <w:tcW w:w="1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563</w:t>
            </w:r>
          </w:p>
        </w:tc>
      </w:tr>
      <w:tr>
        <w:trPr>
          <w:trHeight w:val="297"/>
        </w:trPr>
        <w:tc>
          <w:tcPr>
            <w:tcW w:w="730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2028</w:t>
            </w:r>
          </w:p>
        </w:tc>
        <w:tc>
          <w:tcPr>
            <w:tcW w:w="180" w:type="dxa"/>
            <w:vAlign w:val="bottom"/>
            <w:shd w:val="clear" w:color="auto" w:fill="E6E6E6"/>
          </w:tcPr>
          <w:p>
            <w:pPr>
              <w:spacing w:after="0"/>
              <w:rPr>
                <w:sz w:val="24"/>
                <w:szCs w:val="24"/>
                <w:color w:val="auto"/>
              </w:rPr>
            </w:pPr>
          </w:p>
        </w:tc>
        <w:tc>
          <w:tcPr>
            <w:tcW w:w="24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236</w:t>
            </w:r>
          </w:p>
        </w:tc>
      </w:tr>
      <w:tr>
        <w:trPr>
          <w:trHeight w:val="285"/>
        </w:trPr>
        <w:tc>
          <w:tcPr>
            <w:tcW w:w="7300" w:type="dxa"/>
            <w:vAlign w:val="bottom"/>
          </w:tcPr>
          <w:p>
            <w:pPr>
              <w:ind w:left="60"/>
              <w:spacing w:after="0"/>
              <w:rPr>
                <w:sz w:val="20"/>
                <w:szCs w:val="20"/>
                <w:color w:val="auto"/>
              </w:rPr>
            </w:pPr>
            <w:r>
              <w:rPr>
                <w:rFonts w:ascii="Arial" w:cs="Arial" w:eastAsia="Arial" w:hAnsi="Arial"/>
                <w:sz w:val="19"/>
                <w:szCs w:val="19"/>
                <w:color w:val="auto"/>
              </w:rPr>
              <w:t>2029</w:t>
            </w:r>
          </w:p>
        </w:tc>
        <w:tc>
          <w:tcPr>
            <w:tcW w:w="1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235</w:t>
            </w:r>
          </w:p>
        </w:tc>
      </w:tr>
      <w:tr>
        <w:trPr>
          <w:trHeight w:val="297"/>
        </w:trPr>
        <w:tc>
          <w:tcPr>
            <w:tcW w:w="730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2030</w:t>
            </w:r>
          </w:p>
        </w:tc>
        <w:tc>
          <w:tcPr>
            <w:tcW w:w="180" w:type="dxa"/>
            <w:vAlign w:val="bottom"/>
            <w:shd w:val="clear" w:color="auto" w:fill="E6E6E6"/>
          </w:tcPr>
          <w:p>
            <w:pPr>
              <w:spacing w:after="0"/>
              <w:rPr>
                <w:sz w:val="24"/>
                <w:szCs w:val="24"/>
                <w:color w:val="auto"/>
              </w:rPr>
            </w:pPr>
          </w:p>
        </w:tc>
        <w:tc>
          <w:tcPr>
            <w:tcW w:w="24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232</w:t>
            </w:r>
          </w:p>
        </w:tc>
      </w:tr>
      <w:tr>
        <w:trPr>
          <w:trHeight w:val="281"/>
        </w:trPr>
        <w:tc>
          <w:tcPr>
            <w:tcW w:w="730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After 2030</w:t>
            </w: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2,704</w:t>
            </w:r>
          </w:p>
        </w:tc>
      </w:tr>
      <w:tr>
        <w:trPr>
          <w:trHeight w:val="290"/>
        </w:trPr>
        <w:tc>
          <w:tcPr>
            <w:tcW w:w="730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2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4,368</w:t>
            </w:r>
          </w:p>
        </w:tc>
      </w:tr>
      <w:tr>
        <w:trPr>
          <w:trHeight w:val="258"/>
        </w:trPr>
        <w:tc>
          <w:tcPr>
            <w:tcW w:w="7300" w:type="dxa"/>
            <w:vAlign w:val="bottom"/>
          </w:tcPr>
          <w:p>
            <w:pPr>
              <w:ind w:left="60"/>
              <w:spacing w:after="0"/>
              <w:rPr>
                <w:sz w:val="20"/>
                <w:szCs w:val="20"/>
                <w:color w:val="auto"/>
              </w:rPr>
            </w:pPr>
            <w:r>
              <w:rPr>
                <w:rFonts w:ascii="Arial" w:cs="Arial" w:eastAsia="Arial" w:hAnsi="Arial"/>
                <w:sz w:val="19"/>
                <w:szCs w:val="19"/>
                <w:color w:val="auto"/>
              </w:rPr>
              <w:t>Imputed interest</w:t>
            </w:r>
          </w:p>
        </w:tc>
        <w:tc>
          <w:tcPr>
            <w:tcW w:w="18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(1,120)</w:t>
            </w:r>
          </w:p>
        </w:tc>
      </w:tr>
      <w:tr>
        <w:trPr>
          <w:trHeight w:val="304"/>
        </w:trPr>
        <w:tc>
          <w:tcPr>
            <w:tcW w:w="7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Current maturities of other financial liabilities</w:t>
            </w:r>
          </w:p>
        </w:tc>
        <w:tc>
          <w:tcPr>
            <w:tcW w:w="180" w:type="dxa"/>
            <w:vAlign w:val="bottom"/>
            <w:tcBorders>
              <w:bottom w:val="single" w:sz="8" w:color="auto"/>
            </w:tcBorders>
            <w:shd w:val="clear" w:color="auto" w:fill="E6E6E6"/>
          </w:tcPr>
          <w:p>
            <w:pPr>
              <w:spacing w:after="0"/>
              <w:rPr>
                <w:sz w:val="24"/>
                <w:szCs w:val="24"/>
                <w:color w:val="auto"/>
              </w:rPr>
            </w:pPr>
          </w:p>
        </w:tc>
        <w:tc>
          <w:tcPr>
            <w:tcW w:w="2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(235)</w:t>
            </w:r>
          </w:p>
        </w:tc>
      </w:tr>
      <w:tr>
        <w:trPr>
          <w:trHeight w:val="271"/>
        </w:trPr>
        <w:tc>
          <w:tcPr>
            <w:tcW w:w="7300" w:type="dxa"/>
            <w:vAlign w:val="bottom"/>
          </w:tcPr>
          <w:p>
            <w:pPr>
              <w:ind w:left="60"/>
              <w:spacing w:after="0"/>
              <w:rPr>
                <w:sz w:val="20"/>
                <w:szCs w:val="20"/>
                <w:color w:val="auto"/>
              </w:rPr>
            </w:pPr>
            <w:r>
              <w:rPr>
                <w:rFonts w:ascii="Arial" w:cs="Arial" w:eastAsia="Arial" w:hAnsi="Arial"/>
                <w:sz w:val="19"/>
                <w:szCs w:val="19"/>
                <w:color w:val="auto"/>
              </w:rPr>
              <w:t>Other financial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4627880</wp:posOffset>
            </wp:positionH>
            <wp:positionV relativeFrom="paragraph">
              <wp:posOffset>-769620</wp:posOffset>
            </wp:positionV>
            <wp:extent cx="166116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35">
                      <a:extLst>
                        <a:ext uri="{28A0092B-C50C-407E-A947-70E740481C1C}"/>
                      </a:extLst>
                    </a:blip>
                    <a:srcRect/>
                    <a:stretch>
                      <a:fillRect/>
                    </a:stretch>
                  </pic:blipFill>
                  <pic:spPr bwMode="auto">
                    <a:xfrm>
                      <a:off x="0" y="0"/>
                      <a:ext cx="1661160" cy="2540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-597535</wp:posOffset>
            </wp:positionV>
            <wp:extent cx="1661160" cy="501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36">
                      <a:extLst>
                        <a:ext uri="{28A0092B-C50C-407E-A947-70E740481C1C}"/>
                      </a:extLst>
                    </a:blip>
                    <a:srcRect/>
                    <a:stretch>
                      <a:fillRect/>
                    </a:stretch>
                  </pic:blipFill>
                  <pic:spPr bwMode="auto">
                    <a:xfrm>
                      <a:off x="0" y="0"/>
                      <a:ext cx="1661160" cy="50165"/>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-215265</wp:posOffset>
            </wp:positionV>
            <wp:extent cx="166116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37">
                      <a:extLst>
                        <a:ext uri="{28A0092B-C50C-407E-A947-70E740481C1C}"/>
                      </a:extLst>
                    </a:blip>
                    <a:srcRect/>
                    <a:stretch>
                      <a:fillRect/>
                    </a:stretch>
                  </pic:blipFill>
                  <pic:spPr bwMode="auto">
                    <a:xfrm>
                      <a:off x="0" y="0"/>
                      <a:ext cx="1661160" cy="2540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-42545</wp:posOffset>
            </wp:positionV>
            <wp:extent cx="1661160" cy="501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38">
                      <a:extLst>
                        <a:ext uri="{28A0092B-C50C-407E-A947-70E740481C1C}"/>
                      </a:extLst>
                    </a:blip>
                    <a:srcRect/>
                    <a:stretch>
                      <a:fillRect/>
                    </a:stretch>
                  </pic:blipFill>
                  <pic:spPr bwMode="auto">
                    <a:xfrm>
                      <a:off x="0" y="0"/>
                      <a:ext cx="1661160" cy="50165"/>
                    </a:xfrm>
                    <a:prstGeom prst="rect">
                      <a:avLst/>
                    </a:prstGeom>
                    <a:noFill/>
                  </pic:spPr>
                </pic:pic>
              </a:graphicData>
            </a:graphic>
          </wp:anchor>
        </w:drawing>
      </w:r>
    </w:p>
    <w:p>
      <w:pPr>
        <w:spacing w:after="0" w:line="162"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In November 2024, at the request of United, the City of Houston, Texas issued special facility revenue bonds in the par amount of approximately $1.1 billion (the "IAH SFRBs") to fund a portion of the costs of construction, reconfiguration and redevelopment of portions of Terminal B at George Bush Intercontinental Airport. The IAH SFRBs have interest rates ranging from 5.25% to 5.50% per annum, payable semiannually, commencing in July 2025 through the July 2039 maturity date of the IAH SFRBs. United is accounting for the lease payments related to these IAH SFRBs as an operating lease recognized as a right-of-use asset and lease liability on the Company's balance sheet.</w:t>
      </w:r>
    </w:p>
    <w:p>
      <w:pPr>
        <w:spacing w:after="0" w:line="123" w:lineRule="exact"/>
        <w:rPr>
          <w:sz w:val="20"/>
          <w:szCs w:val="20"/>
          <w:color w:val="auto"/>
        </w:rPr>
      </w:pPr>
    </w:p>
    <w:p>
      <w:pPr>
        <w:ind w:right="100"/>
        <w:spacing w:after="0" w:line="268" w:lineRule="auto"/>
        <w:rPr>
          <w:sz w:val="20"/>
          <w:szCs w:val="20"/>
          <w:color w:val="auto"/>
        </w:rPr>
      </w:pPr>
      <w:r>
        <w:rPr>
          <w:rFonts w:ascii="Arial" w:cs="Arial" w:eastAsia="Arial" w:hAnsi="Arial"/>
          <w:sz w:val="19"/>
          <w:szCs w:val="19"/>
          <w:color w:val="auto"/>
        </w:rPr>
        <w:t>As of December 31, 2025, we had entered into leases with rental obligations of approximately $6.6 billion for several mainline aircraft, regional aircraft under CPAs, airport facilities, including the lease associated with the IAH SFRBs described above, and office space, none of which had commenced as of such date. These leases will commence between 2026 and 2028 with lease terms of up to 28 years.</w:t>
      </w:r>
    </w:p>
    <w:p>
      <w:pPr>
        <w:spacing w:after="0" w:line="130" w:lineRule="exact"/>
        <w:rPr>
          <w:sz w:val="20"/>
          <w:szCs w:val="20"/>
          <w:color w:val="auto"/>
        </w:rPr>
      </w:pPr>
    </w:p>
    <w:p>
      <w:pPr>
        <w:ind w:right="100"/>
        <w:spacing w:after="0" w:line="321" w:lineRule="auto"/>
        <w:rPr>
          <w:sz w:val="20"/>
          <w:szCs w:val="20"/>
          <w:color w:val="auto"/>
        </w:rPr>
      </w:pPr>
      <w:r>
        <w:rPr>
          <w:rFonts w:ascii="Arial" w:cs="Arial" w:eastAsia="Arial" w:hAnsi="Arial"/>
          <w:sz w:val="17"/>
          <w:szCs w:val="17"/>
          <w:color w:val="auto"/>
        </w:rPr>
        <w:t>Our lease agreements do not provide a readily determinable implicit rate nor is it available to us from our lessors. Instead, we estimate United's incremental borrowing rate based on information available at lease commencement in order to discount lease payments to present value. The table below presents additional information related to our leases as of December 31:</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60"/>
        </w:trPr>
        <w:tc>
          <w:tcPr>
            <w:tcW w:w="5980" w:type="dxa"/>
            <w:vAlign w:val="bottom"/>
            <w:tcBorders>
              <w:bottom w:val="single" w:sz="8" w:color="E6E6E6"/>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2025</w:t>
            </w:r>
          </w:p>
        </w:tc>
        <w:tc>
          <w:tcPr>
            <w:tcW w:w="4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E6E6E6"/>
            </w:tcBorders>
          </w:tcPr>
          <w:p>
            <w:pPr>
              <w:spacing w:after="0"/>
              <w:rPr>
                <w:sz w:val="22"/>
                <w:szCs w:val="22"/>
                <w:color w:val="auto"/>
              </w:rPr>
            </w:pPr>
          </w:p>
        </w:tc>
        <w:tc>
          <w:tcPr>
            <w:tcW w:w="15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2024</w:t>
            </w:r>
          </w:p>
        </w:tc>
        <w:tc>
          <w:tcPr>
            <w:tcW w:w="220" w:type="dxa"/>
            <w:vAlign w:val="bottom"/>
            <w:tcBorders>
              <w:bottom w:val="single" w:sz="8" w:color="auto"/>
            </w:tcBorders>
          </w:tcPr>
          <w:p>
            <w:pPr>
              <w:spacing w:after="0"/>
              <w:rPr>
                <w:sz w:val="22"/>
                <w:szCs w:val="22"/>
                <w:color w:val="auto"/>
              </w:rPr>
            </w:pPr>
          </w:p>
        </w:tc>
      </w:tr>
      <w:tr>
        <w:trPr>
          <w:trHeight w:val="281"/>
        </w:trPr>
        <w:tc>
          <w:tcPr>
            <w:tcW w:w="708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Weighted-average remaining lease term - operating leases</w:t>
            </w:r>
          </w:p>
        </w:tc>
        <w:tc>
          <w:tcPr>
            <w:tcW w:w="700" w:type="dxa"/>
            <w:vAlign w:val="bottom"/>
            <w:gridSpan w:val="2"/>
            <w:shd w:val="clear" w:color="auto" w:fill="E6E6E6"/>
          </w:tcPr>
          <w:p>
            <w:pPr>
              <w:jc w:val="center"/>
              <w:spacing w:after="0"/>
              <w:rPr>
                <w:sz w:val="20"/>
                <w:szCs w:val="20"/>
                <w:color w:val="auto"/>
              </w:rPr>
            </w:pPr>
            <w:r>
              <w:rPr>
                <w:rFonts w:ascii="Arial" w:cs="Arial" w:eastAsia="Arial" w:hAnsi="Arial"/>
                <w:sz w:val="19"/>
                <w:szCs w:val="19"/>
                <w:color w:val="auto"/>
                <w:w w:val="87"/>
              </w:rPr>
              <w:t>11 years</w:t>
            </w:r>
          </w:p>
        </w:tc>
        <w:tc>
          <w:tcPr>
            <w:tcW w:w="340" w:type="dxa"/>
            <w:vAlign w:val="bottom"/>
            <w:shd w:val="clear" w:color="auto" w:fill="E6E6E6"/>
          </w:tcPr>
          <w:p>
            <w:pPr>
              <w:spacing w:after="0"/>
              <w:rPr>
                <w:sz w:val="24"/>
                <w:szCs w:val="24"/>
                <w:color w:val="auto"/>
              </w:rPr>
            </w:pPr>
          </w:p>
        </w:tc>
        <w:tc>
          <w:tcPr>
            <w:tcW w:w="1800" w:type="dxa"/>
            <w:vAlign w:val="bottom"/>
            <w:gridSpan w:val="2"/>
            <w:shd w:val="clear" w:color="auto" w:fill="E6E6E6"/>
          </w:tcPr>
          <w:p>
            <w:pPr>
              <w:jc w:val="center"/>
              <w:ind w:left="943"/>
              <w:spacing w:after="0"/>
              <w:rPr>
                <w:sz w:val="20"/>
                <w:szCs w:val="20"/>
                <w:color w:val="auto"/>
              </w:rPr>
            </w:pPr>
            <w:r>
              <w:rPr>
                <w:rFonts w:ascii="Arial" w:cs="Arial" w:eastAsia="Arial" w:hAnsi="Arial"/>
                <w:sz w:val="19"/>
                <w:szCs w:val="19"/>
                <w:color w:val="auto"/>
                <w:w w:val="87"/>
              </w:rPr>
              <w:t>11 years</w:t>
            </w:r>
          </w:p>
        </w:tc>
      </w:tr>
      <w:tr>
        <w:trPr>
          <w:trHeight w:val="285"/>
        </w:trPr>
        <w:tc>
          <w:tcPr>
            <w:tcW w:w="7080" w:type="dxa"/>
            <w:vAlign w:val="bottom"/>
            <w:gridSpan w:val="2"/>
          </w:tcPr>
          <w:p>
            <w:pPr>
              <w:ind w:left="60"/>
              <w:spacing w:after="0"/>
              <w:rPr>
                <w:sz w:val="20"/>
                <w:szCs w:val="20"/>
                <w:color w:val="auto"/>
              </w:rPr>
            </w:pPr>
            <w:r>
              <w:rPr>
                <w:rFonts w:ascii="Arial" w:cs="Arial" w:eastAsia="Arial" w:hAnsi="Arial"/>
                <w:sz w:val="19"/>
                <w:szCs w:val="19"/>
                <w:color w:val="auto"/>
              </w:rPr>
              <w:t>Weighted-average remaining lease term - finance leases</w:t>
            </w:r>
          </w:p>
        </w:tc>
        <w:tc>
          <w:tcPr>
            <w:tcW w:w="700" w:type="dxa"/>
            <w:vAlign w:val="bottom"/>
            <w:gridSpan w:val="2"/>
          </w:tcPr>
          <w:p>
            <w:pPr>
              <w:jc w:val="right"/>
              <w:spacing w:after="0"/>
              <w:rPr>
                <w:sz w:val="20"/>
                <w:szCs w:val="20"/>
                <w:color w:val="auto"/>
              </w:rPr>
            </w:pPr>
            <w:r>
              <w:rPr>
                <w:rFonts w:ascii="Arial" w:cs="Arial" w:eastAsia="Arial" w:hAnsi="Arial"/>
                <w:sz w:val="19"/>
                <w:szCs w:val="19"/>
                <w:color w:val="auto"/>
                <w:w w:val="99"/>
              </w:rPr>
              <w:t>2 years</w:t>
            </w:r>
          </w:p>
        </w:tc>
        <w:tc>
          <w:tcPr>
            <w:tcW w:w="34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19"/>
                <w:szCs w:val="19"/>
                <w:color w:val="auto"/>
              </w:rPr>
              <w:t>2 years</w:t>
            </w:r>
          </w:p>
        </w:tc>
      </w:tr>
      <w:tr>
        <w:trPr>
          <w:trHeight w:val="297"/>
        </w:trPr>
        <w:tc>
          <w:tcPr>
            <w:tcW w:w="708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Weighted-average remaining lease term - other financial liabilities</w:t>
            </w:r>
          </w:p>
        </w:tc>
        <w:tc>
          <w:tcPr>
            <w:tcW w:w="7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w w:val="99"/>
              </w:rPr>
              <w:t>9 years</w:t>
            </w:r>
          </w:p>
        </w:tc>
        <w:tc>
          <w:tcPr>
            <w:tcW w:w="340" w:type="dxa"/>
            <w:vAlign w:val="bottom"/>
            <w:shd w:val="clear" w:color="auto" w:fill="E6E6E6"/>
          </w:tcPr>
          <w:p>
            <w:pPr>
              <w:spacing w:after="0"/>
              <w:rPr>
                <w:sz w:val="24"/>
                <w:szCs w:val="24"/>
                <w:color w:val="auto"/>
              </w:rPr>
            </w:pPr>
          </w:p>
        </w:tc>
        <w:tc>
          <w:tcPr>
            <w:tcW w:w="1800" w:type="dxa"/>
            <w:vAlign w:val="bottom"/>
            <w:gridSpan w:val="2"/>
            <w:shd w:val="clear" w:color="auto" w:fill="E6E6E6"/>
          </w:tcPr>
          <w:p>
            <w:pPr>
              <w:jc w:val="center"/>
              <w:ind w:left="943"/>
              <w:spacing w:after="0"/>
              <w:rPr>
                <w:sz w:val="20"/>
                <w:szCs w:val="20"/>
                <w:color w:val="auto"/>
              </w:rPr>
            </w:pPr>
            <w:r>
              <w:rPr>
                <w:rFonts w:ascii="Arial" w:cs="Arial" w:eastAsia="Arial" w:hAnsi="Arial"/>
                <w:sz w:val="19"/>
                <w:szCs w:val="19"/>
                <w:color w:val="auto"/>
                <w:w w:val="87"/>
              </w:rPr>
              <w:t>10 years</w:t>
            </w:r>
          </w:p>
        </w:tc>
      </w:tr>
      <w:tr>
        <w:trPr>
          <w:trHeight w:val="285"/>
        </w:trPr>
        <w:tc>
          <w:tcPr>
            <w:tcW w:w="7080" w:type="dxa"/>
            <w:vAlign w:val="bottom"/>
            <w:gridSpan w:val="2"/>
          </w:tcPr>
          <w:p>
            <w:pPr>
              <w:ind w:left="60"/>
              <w:spacing w:after="0"/>
              <w:rPr>
                <w:sz w:val="20"/>
                <w:szCs w:val="20"/>
                <w:color w:val="auto"/>
              </w:rPr>
            </w:pPr>
            <w:r>
              <w:rPr>
                <w:rFonts w:ascii="Arial" w:cs="Arial" w:eastAsia="Arial" w:hAnsi="Arial"/>
                <w:sz w:val="19"/>
                <w:szCs w:val="19"/>
                <w:color w:val="auto"/>
              </w:rPr>
              <w:t>Weighted-average discount rate - operating leases</w:t>
            </w:r>
          </w:p>
        </w:tc>
        <w:tc>
          <w:tcPr>
            <w:tcW w:w="480" w:type="dxa"/>
            <w:vAlign w:val="bottom"/>
          </w:tcPr>
          <w:p>
            <w:pPr>
              <w:jc w:val="center"/>
              <w:ind w:left="103"/>
              <w:spacing w:after="0"/>
              <w:rPr>
                <w:sz w:val="20"/>
                <w:szCs w:val="20"/>
                <w:color w:val="auto"/>
              </w:rPr>
            </w:pPr>
            <w:r>
              <w:rPr>
                <w:rFonts w:ascii="Arial" w:cs="Arial" w:eastAsia="Arial" w:hAnsi="Arial"/>
                <w:sz w:val="19"/>
                <w:szCs w:val="19"/>
                <w:color w:val="auto"/>
                <w:w w:val="90"/>
              </w:rPr>
              <w:t>6.0</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920" w:type="dxa"/>
            <w:vAlign w:val="bottom"/>
            <w:gridSpan w:val="2"/>
          </w:tcPr>
          <w:p>
            <w:pPr>
              <w:jc w:val="center"/>
              <w:ind w:left="1543"/>
              <w:spacing w:after="0"/>
              <w:rPr>
                <w:sz w:val="20"/>
                <w:szCs w:val="20"/>
                <w:color w:val="auto"/>
              </w:rPr>
            </w:pPr>
            <w:r>
              <w:rPr>
                <w:rFonts w:ascii="Arial" w:cs="Arial" w:eastAsia="Arial" w:hAnsi="Arial"/>
                <w:sz w:val="19"/>
                <w:szCs w:val="19"/>
                <w:color w:val="auto"/>
                <w:w w:val="90"/>
              </w:rPr>
              <w:t>5.9</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7"/>
        </w:trPr>
        <w:tc>
          <w:tcPr>
            <w:tcW w:w="708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Weighted-average discount rate - finance leases</w:t>
            </w:r>
          </w:p>
        </w:tc>
        <w:tc>
          <w:tcPr>
            <w:tcW w:w="480" w:type="dxa"/>
            <w:vAlign w:val="bottom"/>
            <w:shd w:val="clear" w:color="auto" w:fill="E6E6E6"/>
          </w:tcPr>
          <w:p>
            <w:pPr>
              <w:jc w:val="center"/>
              <w:ind w:left="103"/>
              <w:spacing w:after="0"/>
              <w:rPr>
                <w:sz w:val="20"/>
                <w:szCs w:val="20"/>
                <w:color w:val="auto"/>
              </w:rPr>
            </w:pPr>
            <w:r>
              <w:rPr>
                <w:rFonts w:ascii="Arial" w:cs="Arial" w:eastAsia="Arial" w:hAnsi="Arial"/>
                <w:sz w:val="19"/>
                <w:szCs w:val="19"/>
                <w:color w:val="auto"/>
                <w:w w:val="90"/>
              </w:rPr>
              <w:t>5.3</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920" w:type="dxa"/>
            <w:vAlign w:val="bottom"/>
            <w:gridSpan w:val="2"/>
            <w:shd w:val="clear" w:color="auto" w:fill="E6E6E6"/>
          </w:tcPr>
          <w:p>
            <w:pPr>
              <w:jc w:val="center"/>
              <w:ind w:left="1543"/>
              <w:spacing w:after="0"/>
              <w:rPr>
                <w:sz w:val="20"/>
                <w:szCs w:val="20"/>
                <w:color w:val="auto"/>
              </w:rPr>
            </w:pPr>
            <w:r>
              <w:rPr>
                <w:rFonts w:ascii="Arial" w:cs="Arial" w:eastAsia="Arial" w:hAnsi="Arial"/>
                <w:sz w:val="19"/>
                <w:szCs w:val="19"/>
                <w:color w:val="auto"/>
                <w:w w:val="90"/>
              </w:rPr>
              <w:t>5.9</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r>
      <w:tr>
        <w:trPr>
          <w:trHeight w:val="278"/>
        </w:trPr>
        <w:tc>
          <w:tcPr>
            <w:tcW w:w="7080" w:type="dxa"/>
            <w:vAlign w:val="bottom"/>
            <w:gridSpan w:val="2"/>
          </w:tcPr>
          <w:p>
            <w:pPr>
              <w:ind w:left="60"/>
              <w:spacing w:after="0"/>
              <w:rPr>
                <w:sz w:val="20"/>
                <w:szCs w:val="20"/>
                <w:color w:val="auto"/>
              </w:rPr>
            </w:pPr>
            <w:r>
              <w:rPr>
                <w:rFonts w:ascii="Arial" w:cs="Arial" w:eastAsia="Arial" w:hAnsi="Arial"/>
                <w:sz w:val="19"/>
                <w:szCs w:val="19"/>
                <w:color w:val="auto"/>
              </w:rPr>
              <w:t>Weighted-average interest rate - other financial liabilities</w:t>
            </w:r>
          </w:p>
        </w:tc>
        <w:tc>
          <w:tcPr>
            <w:tcW w:w="480" w:type="dxa"/>
            <w:vAlign w:val="bottom"/>
          </w:tcPr>
          <w:p>
            <w:pPr>
              <w:jc w:val="center"/>
              <w:ind w:left="103"/>
              <w:spacing w:after="0"/>
              <w:rPr>
                <w:sz w:val="20"/>
                <w:szCs w:val="20"/>
                <w:color w:val="auto"/>
              </w:rPr>
            </w:pPr>
            <w:r>
              <w:rPr>
                <w:rFonts w:ascii="Arial" w:cs="Arial" w:eastAsia="Arial" w:hAnsi="Arial"/>
                <w:sz w:val="19"/>
                <w:szCs w:val="19"/>
                <w:color w:val="auto"/>
                <w:w w:val="90"/>
              </w:rPr>
              <w:t>5.8</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920" w:type="dxa"/>
            <w:vAlign w:val="bottom"/>
            <w:gridSpan w:val="2"/>
          </w:tcPr>
          <w:p>
            <w:pPr>
              <w:jc w:val="center"/>
              <w:ind w:left="1543"/>
              <w:spacing w:after="0"/>
              <w:rPr>
                <w:sz w:val="20"/>
                <w:szCs w:val="20"/>
                <w:color w:val="auto"/>
              </w:rPr>
            </w:pPr>
            <w:r>
              <w:rPr>
                <w:rFonts w:ascii="Arial" w:cs="Arial" w:eastAsia="Arial" w:hAnsi="Arial"/>
                <w:sz w:val="19"/>
                <w:szCs w:val="19"/>
                <w:color w:val="auto"/>
                <w:w w:val="90"/>
              </w:rPr>
              <w:t>5.3</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-1113155</wp:posOffset>
            </wp:positionV>
            <wp:extent cx="25203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39">
                      <a:extLst>
                        <a:ext uri="{28A0092B-C50C-407E-A947-70E740481C1C}"/>
                      </a:extLst>
                    </a:blip>
                    <a:srcRect/>
                    <a:stretch>
                      <a:fillRect/>
                    </a:stretch>
                  </pic:blipFill>
                  <pic:spPr bwMode="auto">
                    <a:xfrm>
                      <a:off x="0" y="0"/>
                      <a:ext cx="2520315" cy="2540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720"/>
        <w:spacing w:after="0" w:line="294" w:lineRule="auto"/>
        <w:rPr>
          <w:sz w:val="20"/>
          <w:szCs w:val="20"/>
          <w:color w:val="auto"/>
        </w:rPr>
      </w:pPr>
      <w:r>
        <w:rPr>
          <w:rFonts w:ascii="Arial" w:cs="Arial" w:eastAsia="Arial" w:hAnsi="Arial"/>
          <w:sz w:val="19"/>
          <w:szCs w:val="19"/>
          <w:color w:val="auto"/>
        </w:rPr>
        <w:t>The table below presents supplemental cash flow information related to leases during the years ended December 31 (in millions):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60"/>
        </w:trPr>
        <w:tc>
          <w:tcPr>
            <w:tcW w:w="66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b w:val="1"/>
                <w:bCs w:val="1"/>
                <w:color w:val="auto"/>
              </w:rPr>
              <w:t>2025</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3"/>
              <w:spacing w:after="0"/>
              <w:rPr>
                <w:sz w:val="20"/>
                <w:szCs w:val="20"/>
                <w:color w:val="auto"/>
              </w:rPr>
            </w:pPr>
            <w:r>
              <w:rPr>
                <w:rFonts w:ascii="Arial" w:cs="Arial" w:eastAsia="Arial" w:hAnsi="Arial"/>
                <w:sz w:val="19"/>
                <w:szCs w:val="19"/>
                <w:b w:val="1"/>
                <w:bCs w:val="1"/>
                <w:color w:val="auto"/>
              </w:rPr>
              <w:t>2024</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b w:val="1"/>
                <w:bCs w:val="1"/>
                <w:color w:val="auto"/>
              </w:rPr>
              <w:t>2023</w:t>
            </w:r>
          </w:p>
        </w:tc>
      </w:tr>
      <w:tr>
        <w:trPr>
          <w:trHeight w:val="275"/>
        </w:trPr>
        <w:tc>
          <w:tcPr>
            <w:tcW w:w="6680" w:type="dxa"/>
            <w:vAlign w:val="bottom"/>
          </w:tcPr>
          <w:p>
            <w:pPr>
              <w:ind w:left="40"/>
              <w:spacing w:after="0"/>
              <w:rPr>
                <w:sz w:val="20"/>
                <w:szCs w:val="20"/>
                <w:color w:val="auto"/>
              </w:rPr>
            </w:pPr>
            <w:r>
              <w:rPr>
                <w:rFonts w:ascii="Arial" w:cs="Arial" w:eastAsia="Arial" w:hAnsi="Arial"/>
                <w:sz w:val="19"/>
                <w:szCs w:val="19"/>
                <w:color w:val="auto"/>
              </w:rPr>
              <w:t>Cash paid for amounts included in the measurement of lease liabilities:</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97"/>
        </w:trPr>
        <w:tc>
          <w:tcPr>
            <w:tcW w:w="6680" w:type="dxa"/>
            <w:vAlign w:val="bottom"/>
            <w:shd w:val="clear" w:color="auto" w:fill="E6E6E6"/>
          </w:tcPr>
          <w:p>
            <w:pPr>
              <w:ind w:left="260"/>
              <w:spacing w:after="0"/>
              <w:rPr>
                <w:sz w:val="20"/>
                <w:szCs w:val="20"/>
                <w:color w:val="auto"/>
              </w:rPr>
            </w:pPr>
            <w:r>
              <w:rPr>
                <w:rFonts w:ascii="Arial" w:cs="Arial" w:eastAsia="Arial" w:hAnsi="Arial"/>
                <w:sz w:val="19"/>
                <w:szCs w:val="19"/>
                <w:color w:val="auto"/>
              </w:rPr>
              <w:t>Operating cash flows for operating leases</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971</w:t>
            </w:r>
          </w:p>
        </w:tc>
        <w:tc>
          <w:tcPr>
            <w:tcW w:w="3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851</w:t>
            </w:r>
          </w:p>
        </w:tc>
        <w:tc>
          <w:tcPr>
            <w:tcW w:w="4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874</w:t>
            </w:r>
          </w:p>
        </w:tc>
      </w:tr>
      <w:tr>
        <w:trPr>
          <w:trHeight w:val="285"/>
        </w:trPr>
        <w:tc>
          <w:tcPr>
            <w:tcW w:w="6680" w:type="dxa"/>
            <w:vAlign w:val="bottom"/>
          </w:tcPr>
          <w:p>
            <w:pPr>
              <w:ind w:left="260"/>
              <w:spacing w:after="0"/>
              <w:rPr>
                <w:sz w:val="20"/>
                <w:szCs w:val="20"/>
                <w:color w:val="auto"/>
              </w:rPr>
            </w:pPr>
            <w:r>
              <w:rPr>
                <w:rFonts w:ascii="Arial" w:cs="Arial" w:eastAsia="Arial" w:hAnsi="Arial"/>
                <w:sz w:val="19"/>
                <w:szCs w:val="19"/>
                <w:color w:val="auto"/>
              </w:rPr>
              <w:t>Operating cash flows for finance leases</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97"/>
        </w:trPr>
        <w:tc>
          <w:tcPr>
            <w:tcW w:w="6680" w:type="dxa"/>
            <w:vAlign w:val="bottom"/>
            <w:shd w:val="clear" w:color="auto" w:fill="E6E6E6"/>
          </w:tcPr>
          <w:p>
            <w:pPr>
              <w:ind w:left="260"/>
              <w:spacing w:after="0"/>
              <w:rPr>
                <w:sz w:val="20"/>
                <w:szCs w:val="20"/>
                <w:color w:val="auto"/>
              </w:rPr>
            </w:pPr>
            <w:r>
              <w:rPr>
                <w:rFonts w:ascii="Arial" w:cs="Arial" w:eastAsia="Arial" w:hAnsi="Arial"/>
                <w:sz w:val="19"/>
                <w:szCs w:val="19"/>
                <w:color w:val="auto"/>
              </w:rPr>
              <w:t>Financing cash flows for finance leases</w:t>
            </w:r>
          </w:p>
        </w:tc>
        <w:tc>
          <w:tcPr>
            <w:tcW w:w="22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174</w:t>
            </w:r>
          </w:p>
        </w:tc>
        <w:tc>
          <w:tcPr>
            <w:tcW w:w="1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269</w:t>
            </w:r>
          </w:p>
        </w:tc>
        <w:tc>
          <w:tcPr>
            <w:tcW w:w="1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311</w:t>
            </w:r>
          </w:p>
        </w:tc>
      </w:tr>
    </w:tbl>
    <w:p>
      <w:pPr>
        <w:spacing w:after="0" w:line="200" w:lineRule="exact"/>
        <w:rPr>
          <w:sz w:val="20"/>
          <w:szCs w:val="20"/>
          <w:color w:val="auto"/>
        </w:rPr>
      </w:pPr>
    </w:p>
    <w:p>
      <w:pPr>
        <w:sectPr>
          <w:pgSz w:w="11880" w:h="15480" w:orient="portrait"/>
          <w:cols w:equalWidth="0" w:num="1">
            <w:col w:w="9940"/>
          </w:cols>
          <w:pgMar w:left="960" w:top="586"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9940"/>
          </w:cols>
          <w:pgMar w:left="960" w:top="586" w:right="980" w:bottom="33" w:gutter="0" w:footer="0" w:header="0"/>
          <w:type w:val="continuous"/>
        </w:sectPr>
      </w:pPr>
    </w:p>
    <w:bookmarkStart w:id="91" w:name="page92"/>
    <w:bookmarkEnd w:id="91"/>
    <w:p>
      <w:pPr>
        <w:spacing w:after="0"/>
        <w:rPr>
          <w:sz w:val="20"/>
          <w:szCs w:val="20"/>
          <w:color w:val="auto"/>
        </w:rPr>
      </w:pPr>
      <w:r>
        <w:rPr>
          <w:rFonts w:ascii="Arial" w:cs="Arial" w:eastAsia="Arial" w:hAnsi="Arial"/>
          <w:sz w:val="19"/>
          <w:szCs w:val="19"/>
          <w:b w:val="1"/>
          <w:bCs w:val="1"/>
          <w:color w:val="auto"/>
        </w:rPr>
        <w:t>NOTE 12 - COMMITMENTS, CONTINGENCIES, AND GUARANTEES</w:t>
      </w:r>
    </w:p>
    <w:p>
      <w:pPr>
        <w:spacing w:after="0" w:line="191" w:lineRule="exact"/>
        <w:rPr>
          <w:sz w:val="20"/>
          <w:szCs w:val="20"/>
          <w:color w:val="auto"/>
        </w:rPr>
      </w:pPr>
    </w:p>
    <w:p>
      <w:pPr>
        <w:ind w:right="380"/>
        <w:spacing w:after="0" w:line="299" w:lineRule="auto"/>
        <w:rPr>
          <w:sz w:val="20"/>
          <w:szCs w:val="20"/>
          <w:color w:val="auto"/>
        </w:rPr>
      </w:pPr>
      <w:r>
        <w:rPr>
          <w:rFonts w:ascii="Arial" w:cs="Arial" w:eastAsia="Arial" w:hAnsi="Arial"/>
          <w:sz w:val="19"/>
          <w:szCs w:val="19"/>
          <w:b w:val="1"/>
          <w:bCs w:val="1"/>
          <w:i w:val="1"/>
          <w:iCs w:val="1"/>
          <w:color w:val="auto"/>
        </w:rPr>
        <w:t xml:space="preserve">Purchase Commitments. </w:t>
      </w:r>
      <w:r>
        <w:rPr>
          <w:rFonts w:ascii="Arial" w:cs="Arial" w:eastAsia="Arial" w:hAnsi="Arial"/>
          <w:sz w:val="19"/>
          <w:szCs w:val="19"/>
          <w:color w:val="auto"/>
        </w:rPr>
        <w:t>The table below summarizes United's firm commitments as of December 31, 2025, which include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aircraft and related spare engines, aircraft improvements and non-aircraft commitments (in billions):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80" w:type="dxa"/>
            <w:vAlign w:val="bottom"/>
          </w:tcPr>
          <w:p>
            <w:pPr>
              <w:spacing w:after="0"/>
              <w:rPr>
                <w:sz w:val="18"/>
                <w:szCs w:val="18"/>
                <w:color w:val="auto"/>
              </w:rPr>
            </w:pPr>
          </w:p>
        </w:tc>
        <w:tc>
          <w:tcPr>
            <w:tcW w:w="78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rPr>
              <w:t>2026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w w:val="94"/>
              </w:rPr>
              <w:t>2027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w w:val="94"/>
              </w:rPr>
              <w:t>2028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w w:val="89"/>
              </w:rPr>
              <w:t>2029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w w:val="94"/>
              </w:rPr>
              <w:t>2030</w:t>
            </w: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9"/>
                <w:szCs w:val="19"/>
                <w:b w:val="1"/>
                <w:bCs w:val="1"/>
                <w:color w:val="auto"/>
                <w:w w:val="99"/>
              </w:rPr>
              <w:t>After</w:t>
            </w:r>
          </w:p>
        </w:tc>
        <w:tc>
          <w:tcPr>
            <w:tcW w:w="160" w:type="dxa"/>
            <w:vAlign w:val="bottom"/>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Total</w:t>
            </w:r>
          </w:p>
        </w:tc>
        <w:tc>
          <w:tcPr>
            <w:tcW w:w="0" w:type="dxa"/>
            <w:vAlign w:val="bottom"/>
          </w:tcPr>
          <w:p>
            <w:pPr>
              <w:spacing w:after="0"/>
              <w:rPr>
                <w:sz w:val="1"/>
                <w:szCs w:val="1"/>
                <w:color w:val="auto"/>
              </w:rPr>
            </w:pPr>
          </w:p>
        </w:tc>
      </w:tr>
      <w:tr>
        <w:trPr>
          <w:trHeight w:val="255"/>
        </w:trPr>
        <w:tc>
          <w:tcPr>
            <w:tcW w:w="3480" w:type="dxa"/>
            <w:vAlign w:val="bottom"/>
            <w:tcBorders>
              <w:bottom w:val="single" w:sz="8" w:color="E6E6E6"/>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E6E6E6"/>
            </w:tcBorders>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2030</w:t>
            </w:r>
          </w:p>
        </w:tc>
        <w:tc>
          <w:tcPr>
            <w:tcW w:w="160" w:type="dxa"/>
            <w:vAlign w:val="bottom"/>
            <w:tcBorders>
              <w:bottom w:val="single" w:sz="8" w:color="E6E6E6"/>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3480" w:type="dxa"/>
            <w:vAlign w:val="bottom"/>
            <w:shd w:val="clear" w:color="auto" w:fill="E6E6E6"/>
          </w:tcPr>
          <w:p>
            <w:pPr>
              <w:ind w:left="60"/>
              <w:spacing w:after="0"/>
              <w:rPr>
                <w:sz w:val="20"/>
                <w:szCs w:val="20"/>
                <w:color w:val="auto"/>
              </w:rPr>
            </w:pPr>
            <w:r>
              <w:rPr>
                <w:rFonts w:ascii="Arial" w:cs="Arial" w:eastAsia="Arial" w:hAnsi="Arial"/>
                <w:sz w:val="19"/>
                <w:szCs w:val="19"/>
                <w:color w:val="auto"/>
              </w:rPr>
              <w:t>Purchase commitments</w:t>
            </w:r>
          </w:p>
        </w:tc>
        <w:tc>
          <w:tcPr>
            <w:tcW w:w="7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   12.6</w:t>
            </w:r>
          </w:p>
        </w:tc>
        <w:tc>
          <w:tcPr>
            <w:tcW w:w="3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5.6</w:t>
            </w:r>
          </w:p>
        </w:tc>
        <w:tc>
          <w:tcPr>
            <w:tcW w:w="32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7.4</w:t>
            </w:r>
          </w:p>
        </w:tc>
        <w:tc>
          <w:tcPr>
            <w:tcW w:w="340" w:type="dxa"/>
            <w:vAlign w:val="bottom"/>
            <w:gridSpan w:val="2"/>
            <w:shd w:val="clear" w:color="auto" w:fill="E6E6E6"/>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9.0</w:t>
            </w:r>
          </w:p>
        </w:tc>
        <w:tc>
          <w:tcPr>
            <w:tcW w:w="3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8.7</w:t>
            </w:r>
          </w:p>
        </w:tc>
        <w:tc>
          <w:tcPr>
            <w:tcW w:w="940" w:type="dxa"/>
            <w:vAlign w:val="bottom"/>
            <w:gridSpan w:val="2"/>
            <w:shd w:val="clear" w:color="auto" w:fill="E6E6E6"/>
          </w:tcPr>
          <w:p>
            <w:pPr>
              <w:jc w:val="center"/>
              <w:ind w:left="23"/>
              <w:spacing w:after="0"/>
              <w:rPr>
                <w:sz w:val="20"/>
                <w:szCs w:val="20"/>
                <w:color w:val="auto"/>
              </w:rPr>
            </w:pPr>
            <w:r>
              <w:rPr>
                <w:rFonts w:ascii="Arial" w:cs="Arial" w:eastAsia="Arial" w:hAnsi="Arial"/>
                <w:sz w:val="19"/>
                <w:szCs w:val="19"/>
                <w:color w:val="auto"/>
              </w:rPr>
              <w:t>$   13.8</w:t>
            </w:r>
          </w:p>
        </w:tc>
        <w:tc>
          <w:tcPr>
            <w:tcW w:w="9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   57.0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2197735</wp:posOffset>
            </wp:positionH>
            <wp:positionV relativeFrom="paragraph">
              <wp:posOffset>-206375</wp:posOffset>
            </wp:positionV>
            <wp:extent cx="412877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40">
                      <a:extLst>
                        <a:ext uri="{28A0092B-C50C-407E-A947-70E740481C1C}"/>
                      </a:extLst>
                    </a:blip>
                    <a:srcRect/>
                    <a:stretch>
                      <a:fillRect/>
                    </a:stretch>
                  </pic:blipFill>
                  <pic:spPr bwMode="auto">
                    <a:xfrm>
                      <a:off x="0" y="0"/>
                      <a:ext cx="4128770" cy="25400"/>
                    </a:xfrm>
                    <a:prstGeom prst="rect">
                      <a:avLst/>
                    </a:prstGeom>
                    <a:noFill/>
                  </pic:spPr>
                </pic:pic>
              </a:graphicData>
            </a:graphic>
          </wp:anchor>
        </w:drawing>
      </w:r>
    </w:p>
    <w:p>
      <w:pPr>
        <w:spacing w:after="0" w:line="191"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Aircraft commitments included in the table above are based on contractual scheduled aircraft deliveries. The amount and timing of these commitments could change to the extent that: (i) the Company and the aircraft manufacturers, with whom the Company has existing orders for new aircraft, agree to modify (or further modify) the contracts governing those orders, (ii) rights are exercised pursuant to the relevant agreements to cancel deliveries or modify the timing of deliveries, or (iii) the aircraft manufacturers are unable to deliver in accordance with the terms of those orders.</w:t>
      </w:r>
    </w:p>
    <w:p>
      <w:pPr>
        <w:spacing w:after="0" w:line="12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 xml:space="preserve">Regional CPAs. </w:t>
      </w:r>
      <w:r>
        <w:rPr>
          <w:rFonts w:ascii="Arial" w:cs="Arial" w:eastAsia="Arial" w:hAnsi="Arial"/>
          <w:sz w:val="18"/>
          <w:szCs w:val="18"/>
          <w:color w:val="auto"/>
        </w:rPr>
        <w:t>United has contractual relationships with various regional carriers to provide regional aircraft service branded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United Express. Under these CPAs, the Company pays the regional carriers contractually agreed fees (carrier costs) for operating these flights plus a variable rate adjustment based on agreed performance metrics, subject to annual adjustments. The fees are based on rates multiplied by specific operating statistics (e.g., block hours, departures), as well as fixed monthly amounts. Under these CPAs, the Company is also responsible for all fuel costs incurred, as well as landing fees and other costs, which are either passed through by the regional carrier to the Company without any markup or directly incurred by the Company. In some cases, the Company owns some or all of the aircraft subject to the CPA and leases such aircraft to the regional carrier. United's CPAs are for 424 regional aircraft as of December 31, 2025, and the CPAs have terms expiring through 2037. Aircraft operated under CPAs include aircraft leased directly from the regional carriers and those owned by United and operated by the regional carriers. In 2025, United amended several of its CPAs with certain of its regional carriers to amend the contractually agreed fees (carrier costs) paid to those carriers, modify the terms for certain aircraft, and modify service entry dates for certain new aircraft.</w:t>
      </w:r>
    </w:p>
    <w:p>
      <w:pPr>
        <w:spacing w:after="0" w:line="128"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United recorded approximately $1.1 billion, $1.1 billion and $1.1 billion in expenses related to its CPAs with its regional carriers in which United is a minority shareholder, for the years ended December 31, 2025, 2024 and 2023, respectively. United had prepaid assets and accounts and notes receivables with combined carrying values of $82 million and $52 million with these companies, as of December 31, 2025 and 2024, respectively. There were $165 million and $110 million of liabilities due to these companies as of December 31, 2025 and 2024, respectively. The CPAs with these related parties were executed in the ordinary course of business.</w:t>
      </w:r>
    </w:p>
    <w:p>
      <w:pPr>
        <w:spacing w:after="0" w:line="13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future commitments under our CPAs are dependent on numerous variables, and are, therefore, difficult to predict. The most important of these variables is the number of scheduled block hours. Although we are not required to purchase a minimum number of block hours under certain of our CPAs, we have set forth below estimates of our future payments under the CPAs based on our assumptions. The actual amounts we pay to our regional operators under CPAs could differ materially from these estimates. United's estimates of its future payments under all of the CPAs do not include the portion of the underlying obligation for any aircraft leased to a regional carrier or deemed to be leased from other regional carriers and facility rent that are disclosed as part of operating leases in Note 11. For purposes of calculating these estimates, we have assumed (1) the number of block hours flown is based on our anticipated level of flight activity or at any contractual minimum utilization levels if applicable, whichever is higher, (2) that we will reduce the fleet as rapidly as contractually allowed under each CPA, (3) that aircraft utilization, stage length and load factors will remain constant, (4) that each carrier's operational performance will remain at recent historic levels and (5) an annual projected inflation rate. These amounts exclude certain variable pass-through costs such as fuel and landing fees, among others. Based on these assumptions as of December 31, 2025, our estimated future payments through the end of the terms of our CPAs are presented in the table below (in billions):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w w:val="89"/>
              </w:rPr>
              <w:t>2026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w w:val="94"/>
              </w:rPr>
              <w:t>2027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w w:val="94"/>
              </w:rPr>
              <w:t>2028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w w:val="89"/>
              </w:rPr>
              <w:t>2029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w w:val="94"/>
              </w:rPr>
              <w:t>2030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center"/>
              <w:ind w:right="83"/>
              <w:spacing w:after="0"/>
              <w:rPr>
                <w:sz w:val="20"/>
                <w:szCs w:val="20"/>
                <w:color w:val="auto"/>
              </w:rPr>
            </w:pPr>
            <w:r>
              <w:rPr>
                <w:rFonts w:ascii="Arial" w:cs="Arial" w:eastAsia="Arial" w:hAnsi="Arial"/>
                <w:sz w:val="19"/>
                <w:szCs w:val="19"/>
                <w:b w:val="1"/>
                <w:bCs w:val="1"/>
                <w:color w:val="auto"/>
                <w:w w:val="99"/>
              </w:rPr>
              <w:t>After</w:t>
            </w:r>
          </w:p>
        </w:tc>
        <w:tc>
          <w:tcPr>
            <w:tcW w:w="16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Total</w:t>
            </w:r>
          </w:p>
        </w:tc>
        <w:tc>
          <w:tcPr>
            <w:tcW w:w="0" w:type="dxa"/>
            <w:vAlign w:val="bottom"/>
          </w:tcPr>
          <w:p>
            <w:pPr>
              <w:spacing w:after="0"/>
              <w:rPr>
                <w:sz w:val="1"/>
                <w:szCs w:val="1"/>
                <w:color w:val="auto"/>
              </w:rPr>
            </w:pPr>
          </w:p>
        </w:tc>
      </w:tr>
      <w:tr>
        <w:trPr>
          <w:trHeight w:val="255"/>
        </w:trPr>
        <w:tc>
          <w:tcPr>
            <w:tcW w:w="348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03"/>
              <w:spacing w:after="0"/>
              <w:rPr>
                <w:sz w:val="20"/>
                <w:szCs w:val="20"/>
                <w:color w:val="auto"/>
              </w:rPr>
            </w:pPr>
            <w:r>
              <w:rPr>
                <w:rFonts w:ascii="Arial" w:cs="Arial" w:eastAsia="Arial" w:hAnsi="Arial"/>
                <w:sz w:val="19"/>
                <w:szCs w:val="19"/>
                <w:b w:val="1"/>
                <w:bCs w:val="1"/>
                <w:color w:val="auto"/>
                <w:w w:val="94"/>
              </w:rPr>
              <w:t>2030</w:t>
            </w:r>
          </w:p>
        </w:tc>
        <w:tc>
          <w:tcPr>
            <w:tcW w:w="160" w:type="dxa"/>
            <w:vAlign w:val="bottom"/>
            <w:tcBorders>
              <w:bottom w:val="single" w:sz="8" w:color="E6E6E6"/>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3480" w:type="dxa"/>
            <w:vAlign w:val="bottom"/>
            <w:shd w:val="clear" w:color="auto" w:fill="E6E6E6"/>
          </w:tcPr>
          <w:p>
            <w:pPr>
              <w:ind w:left="60"/>
              <w:spacing w:after="0"/>
              <w:rPr>
                <w:sz w:val="20"/>
                <w:szCs w:val="20"/>
                <w:color w:val="auto"/>
              </w:rPr>
            </w:pPr>
            <w:r>
              <w:rPr>
                <w:rFonts w:ascii="Arial" w:cs="Arial" w:eastAsia="Arial" w:hAnsi="Arial"/>
                <w:sz w:val="19"/>
                <w:szCs w:val="19"/>
                <w:color w:val="auto"/>
              </w:rPr>
              <w:t>Future commitments under CPAs</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2.9</w:t>
            </w:r>
          </w:p>
        </w:tc>
        <w:tc>
          <w:tcPr>
            <w:tcW w:w="3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2.9</w:t>
            </w:r>
          </w:p>
        </w:tc>
        <w:tc>
          <w:tcPr>
            <w:tcW w:w="32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2.8</w:t>
            </w:r>
          </w:p>
        </w:tc>
        <w:tc>
          <w:tcPr>
            <w:tcW w:w="340" w:type="dxa"/>
            <w:vAlign w:val="bottom"/>
            <w:gridSpan w:val="2"/>
            <w:shd w:val="clear" w:color="auto" w:fill="E6E6E6"/>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2.3</w:t>
            </w:r>
          </w:p>
        </w:tc>
        <w:tc>
          <w:tcPr>
            <w:tcW w:w="3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1.9</w:t>
            </w:r>
          </w:p>
        </w:tc>
        <w:tc>
          <w:tcPr>
            <w:tcW w:w="32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6.2</w:t>
            </w:r>
          </w:p>
        </w:tc>
        <w:tc>
          <w:tcPr>
            <w:tcW w:w="9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   18.9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2197735</wp:posOffset>
            </wp:positionH>
            <wp:positionV relativeFrom="paragraph">
              <wp:posOffset>-206375</wp:posOffset>
            </wp:positionV>
            <wp:extent cx="412877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41">
                      <a:extLst>
                        <a:ext uri="{28A0092B-C50C-407E-A947-70E740481C1C}"/>
                      </a:extLst>
                    </a:blip>
                    <a:srcRect/>
                    <a:stretch>
                      <a:fillRect/>
                    </a:stretch>
                  </pic:blipFill>
                  <pic:spPr bwMode="auto">
                    <a:xfrm>
                      <a:off x="0" y="0"/>
                      <a:ext cx="4128770" cy="25400"/>
                    </a:xfrm>
                    <a:prstGeom prst="rect">
                      <a:avLst/>
                    </a:prstGeom>
                    <a:noFill/>
                  </pic:spPr>
                </pic:pic>
              </a:graphicData>
            </a:graphic>
          </wp:anchor>
        </w:drawing>
      </w:r>
    </w:p>
    <w:p>
      <w:pPr>
        <w:spacing w:after="0" w:line="191"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As of December 31, 2025, United had 194 call options to purchase regional jet aircraft being operated by certain of its regional carriers with contract dates extending until 2037. These call options are exercisable upon wrongful termination or breach of contract, among other conditions.</w:t>
      </w:r>
    </w:p>
    <w:p>
      <w:pPr>
        <w:spacing w:after="0" w:line="120" w:lineRule="exact"/>
        <w:rPr>
          <w:sz w:val="20"/>
          <w:szCs w:val="20"/>
          <w:color w:val="auto"/>
        </w:rPr>
      </w:pPr>
    </w:p>
    <w:p>
      <w:pPr>
        <w:jc w:val="both"/>
        <w:ind w:right="60"/>
        <w:spacing w:after="0" w:line="324" w:lineRule="auto"/>
        <w:rPr>
          <w:sz w:val="20"/>
          <w:szCs w:val="20"/>
          <w:color w:val="auto"/>
        </w:rPr>
      </w:pPr>
      <w:r>
        <w:rPr>
          <w:rFonts w:ascii="Arial" w:cs="Arial" w:eastAsia="Arial" w:hAnsi="Arial"/>
          <w:sz w:val="17"/>
          <w:szCs w:val="17"/>
          <w:b w:val="1"/>
          <w:bCs w:val="1"/>
          <w:i w:val="1"/>
          <w:iCs w:val="1"/>
          <w:color w:val="auto"/>
        </w:rPr>
        <w:t xml:space="preserve">Legal and Environmental. </w:t>
      </w:r>
      <w:r>
        <w:rPr>
          <w:rFonts w:ascii="Arial" w:cs="Arial" w:eastAsia="Arial" w:hAnsi="Arial"/>
          <w:sz w:val="17"/>
          <w:szCs w:val="17"/>
          <w:color w:val="auto"/>
        </w:rPr>
        <w:t>The Company has certain contingencies resulting from litigation and claims incident to the ordinary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course of business. The Company records liabilities for legal and environmental claims when it is probable that a loss has been incurred and the amount is reasonably estimable. These amounts are recorded based on the Company's assessments of the</w:t>
      </w:r>
    </w:p>
    <w:p>
      <w:pPr>
        <w:sectPr>
          <w:pgSz w:w="11880" w:h="15480" w:orient="portrait"/>
          <w:cols w:equalWidth="0" w:num="1">
            <w:col w:w="9960"/>
          </w:cols>
          <w:pgMar w:left="960" w:top="579" w:right="960" w:bottom="33"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9960"/>
          </w:cols>
          <w:pgMar w:left="960" w:top="579" w:right="960" w:bottom="33" w:gutter="0" w:footer="0" w:header="0"/>
          <w:type w:val="continuous"/>
        </w:sectPr>
      </w:pPr>
    </w:p>
    <w:bookmarkStart w:id="92" w:name="page93"/>
    <w:bookmarkEnd w:id="92"/>
    <w:p>
      <w:pPr>
        <w:spacing w:after="0" w:line="265" w:lineRule="auto"/>
        <w:rPr>
          <w:sz w:val="20"/>
          <w:szCs w:val="20"/>
          <w:color w:val="auto"/>
        </w:rPr>
      </w:pPr>
      <w:r>
        <w:rPr>
          <w:rFonts w:ascii="Arial" w:cs="Arial" w:eastAsia="Arial" w:hAnsi="Arial"/>
          <w:sz w:val="19"/>
          <w:szCs w:val="19"/>
          <w:color w:val="auto"/>
        </w:rPr>
        <w:t>likelihood of their eventual disposition. As of December 31, 2025, management believes, after considering a number of factors, including (but not limited to) the information currently available, the views of legal counsel, the nature of contingencies to which the Company is subject and prior experience, that its defenses and assertions in pending legal proceedings have merit and the ultimate disposition of any pending matter will not materially affect the Company's financial position, results of operations or cash flows, except as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Dispute with Rolls-Royce</w:t>
      </w:r>
    </w:p>
    <w:p>
      <w:pPr>
        <w:spacing w:after="0" w:line="192"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In 2010, the Company entered into agreements with Rolls-Royce for engine purchases and related maintenance services for certain widebody aircraft. In 2017, the Company paid Rolls-Royce a $175 million commitment payment under those agreements. In December 2025, following a breach by Rolls-Royce, the Company issued a demand for payment representing the commitment payment plus contractual escalation. Rolls-Royce did not make the demanded payment. Rolls-Royce subsequently terminated the referenced agreements with the Company and asserted that the Company breached the agreements. The Company has disputed that Rolls-Royce properly terminated the agreements. Each of the parties contends that the other owes it damages.</w:t>
      </w:r>
    </w:p>
    <w:p>
      <w:pPr>
        <w:spacing w:after="0" w:line="135"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The Company has taken steps to recover the amounts it believes Rolls-Royce owes the Company, along with other damages to which the Company believes it is entitled. No assurance can be given that the Company will recover the funds it believes it is owed, or to the ultimate outcome of this matter. The Company is also considering further implications of this dispute with respect to other parties. At this time, the Company has determined that a loss is neither probable nor reasonably estimable due to the preliminary nature of this matter. Additionally, the Company has not recognized any gains for this matter as of December 31, 2025. To the extent to which such amounts are determined to be realizable in the future, those gains would be recorded in the period such determination is made.</w:t>
      </w:r>
    </w:p>
    <w:p>
      <w:pPr>
        <w:spacing w:after="0" w:line="130" w:lineRule="exact"/>
        <w:rPr>
          <w:sz w:val="20"/>
          <w:szCs w:val="20"/>
          <w:color w:val="auto"/>
        </w:rPr>
      </w:pPr>
    </w:p>
    <w:p>
      <w:pPr>
        <w:ind w:right="60"/>
        <w:spacing w:after="0" w:line="298" w:lineRule="auto"/>
        <w:rPr>
          <w:sz w:val="20"/>
          <w:szCs w:val="20"/>
          <w:color w:val="auto"/>
        </w:rPr>
      </w:pPr>
      <w:r>
        <w:rPr>
          <w:rFonts w:ascii="Arial" w:cs="Arial" w:eastAsia="Arial" w:hAnsi="Arial"/>
          <w:sz w:val="17"/>
          <w:szCs w:val="17"/>
          <w:b w:val="1"/>
          <w:bCs w:val="1"/>
          <w:i w:val="1"/>
          <w:iCs w:val="1"/>
          <w:color w:val="auto"/>
        </w:rPr>
        <w:t xml:space="preserve">Guarantees and Indemnifications. </w:t>
      </w:r>
      <w:r>
        <w:rPr>
          <w:rFonts w:ascii="Arial" w:cs="Arial" w:eastAsia="Arial" w:hAnsi="Arial"/>
          <w:sz w:val="17"/>
          <w:szCs w:val="17"/>
          <w:color w:val="auto"/>
        </w:rPr>
        <w:t>In the normal course of business, the Company enters into numerous real estate leasing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aircraft financing arrangements that have various guarantees included in the contracts. These guarantees are primarily in the form of indemnities under which the Company typically indemnifies the lessors and any tax/financing parties against liabilities that arise out of or relate to the use, operation or maintenance of the leased premises or financed aircraft. Currently, the Company believes that any future payments required under these guarantees or indemnities would be immaterial, as most liabilities and related indemnities are covered by insurance (subject to deductibles). Additionally, certain real estate leases include indemnities for any environmental liability that may arise out of or relate to the use of the leased premises.</w:t>
      </w:r>
    </w:p>
    <w:p>
      <w:pPr>
        <w:spacing w:after="0" w:line="110" w:lineRule="exact"/>
        <w:rPr>
          <w:sz w:val="20"/>
          <w:szCs w:val="20"/>
          <w:color w:val="auto"/>
        </w:rPr>
      </w:pPr>
    </w:p>
    <w:p>
      <w:pPr>
        <w:ind w:right="240"/>
        <w:spacing w:after="0" w:line="303" w:lineRule="auto"/>
        <w:rPr>
          <w:sz w:val="20"/>
          <w:szCs w:val="20"/>
          <w:color w:val="auto"/>
        </w:rPr>
      </w:pPr>
      <w:r>
        <w:rPr>
          <w:rFonts w:ascii="Arial" w:cs="Arial" w:eastAsia="Arial" w:hAnsi="Arial"/>
          <w:sz w:val="17"/>
          <w:szCs w:val="17"/>
          <w:color w:val="auto"/>
        </w:rPr>
        <w:t>As of December 31, 2025, United is the guarantor of approximately $2.8 billion in aggregate principal amount of tax-exempt special facility revenue bonds and interest thereon. These bonds, which in most instances are issued by various airport municipalities, are payable solely from rentals paid under long-term agreements with the respective governing bodies. The leasing arrangements associated with these obligations are accounted for as operating leases and the related obligations are included in our lease related disclosures in Note 11. All of these bonds mature between 2026 and 2041.</w:t>
      </w:r>
    </w:p>
    <w:p>
      <w:pPr>
        <w:spacing w:after="0" w:line="105" w:lineRule="exact"/>
        <w:rPr>
          <w:sz w:val="20"/>
          <w:szCs w:val="20"/>
          <w:color w:val="auto"/>
        </w:rPr>
      </w:pPr>
    </w:p>
    <w:p>
      <w:pPr>
        <w:ind w:right="680"/>
        <w:spacing w:after="0" w:line="294" w:lineRule="auto"/>
        <w:rPr>
          <w:sz w:val="20"/>
          <w:szCs w:val="20"/>
          <w:color w:val="auto"/>
        </w:rPr>
      </w:pPr>
      <w:r>
        <w:rPr>
          <w:rFonts w:ascii="Arial" w:cs="Arial" w:eastAsia="Arial" w:hAnsi="Arial"/>
          <w:sz w:val="19"/>
          <w:szCs w:val="19"/>
          <w:color w:val="auto"/>
        </w:rPr>
        <w:t>As of December 31, 2025, United had $395 million of surety bonds securing various insurance-related obligations with expiration dates through 2029.</w:t>
      </w:r>
    </w:p>
    <w:p>
      <w:pPr>
        <w:spacing w:after="0" w:line="1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Increased Cost Provisions. </w:t>
      </w:r>
      <w:r>
        <w:rPr>
          <w:rFonts w:ascii="Arial" w:cs="Arial" w:eastAsia="Arial" w:hAnsi="Arial"/>
          <w:sz w:val="18"/>
          <w:szCs w:val="18"/>
          <w:color w:val="auto"/>
        </w:rPr>
        <w:t>In United's financing transactions that include loans in which United is the borrower,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typically agrees to reimburse lenders for any reduced returns with respect to the loans due to any change in capital requirements and, in the case of loans with respect to which the interest rate is based on SOFR, for certain other increased costs that the lenders incur in carrying these loans as a result of any change in law, subject, in most cases, to obligations of the lenders to take certain limited steps to mitigate the requirement for, or the amount of, such increased costs. At December 31, 2025, the Company had $8.6 billion of floating rate debt with remaining terms of up to approximately 12 years that are subject to these increased cost provisions. In several financing transactions with remaining terms of up to approximately 12 years and an aggregate balance of $5.4 billion, the Company bears the risk of any change in tax laws that would subject loan payments thereunder to withholding taxes, subject to customary exclusions.</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b w:val="1"/>
          <w:bCs w:val="1"/>
          <w:i w:val="1"/>
          <w:iCs w:val="1"/>
          <w:color w:val="auto"/>
        </w:rPr>
        <w:t xml:space="preserve">Fuel Consortia. </w:t>
      </w:r>
      <w:r>
        <w:rPr>
          <w:rFonts w:ascii="Arial" w:cs="Arial" w:eastAsia="Arial" w:hAnsi="Arial"/>
          <w:sz w:val="17"/>
          <w:szCs w:val="17"/>
          <w:color w:val="auto"/>
        </w:rPr>
        <w:t>United participates in numerous fuel consortia with other air carriers at major airports to reduce the costs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fuel distribution and storage. Interline agreements govern the rights and responsibilities of the consortia members and provide for the allocation of the overall costs to operate the consortia based on usage. The consortia (and in limited cases, the participating carriers) have entered into long-term agreements to lease certain airport fuel storage and distribution facilities that are typically financed through various debt obligations. In general, each consortium lease agreement requires the consortium to make lease payments in amounts sufficient to pay the maturing principal and interest payments on these debt obligations. As of December 31, 2025, approximately $2.9 billion principal amount of such loans was secured by significant fuel facility leases in which United participates, as to which United and each of the signatory airlines has provided indirect guarantees of the debt. As of December 31, 2025, the Company's contingent exposure was approximately $513 million principal amount of such obligations based on its recent consortia participation. The Company's contingent exposure could increase if the participation of</w:t>
      </w:r>
    </w:p>
    <w:p>
      <w:pPr>
        <w:sectPr>
          <w:pgSz w:w="11880" w:h="15480" w:orient="portrait"/>
          <w:cols w:equalWidth="0" w:num="1">
            <w:col w:w="9940"/>
          </w:cols>
          <w:pgMar w:left="960" w:top="586" w:right="980" w:bottom="33"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9940"/>
          </w:cols>
          <w:pgMar w:left="960" w:top="586" w:right="980" w:bottom="33" w:gutter="0" w:footer="0" w:header="0"/>
          <w:type w:val="continuous"/>
        </w:sectPr>
      </w:pPr>
    </w:p>
    <w:bookmarkStart w:id="93" w:name="page94"/>
    <w:bookmarkEnd w:id="93"/>
    <w:p>
      <w:pPr>
        <w:spacing w:after="0"/>
        <w:rPr>
          <w:sz w:val="20"/>
          <w:szCs w:val="20"/>
          <w:color w:val="auto"/>
        </w:rPr>
      </w:pPr>
      <w:r>
        <w:rPr>
          <w:rFonts w:ascii="Arial" w:cs="Arial" w:eastAsia="Arial" w:hAnsi="Arial"/>
          <w:sz w:val="17"/>
          <w:szCs w:val="17"/>
          <w:color w:val="auto"/>
        </w:rPr>
        <w:t>other air carriers decreases. The guarantees will expire when these obligations are paid in full, which ranges from 2027 to 2056.</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The Company concluded it was not necessary to record a liability for these indirect guarantees.</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 xml:space="preserve">Credit Card Processing Agreements. </w:t>
      </w:r>
      <w:r>
        <w:rPr>
          <w:rFonts w:ascii="Arial" w:cs="Arial" w:eastAsia="Arial" w:hAnsi="Arial"/>
          <w:sz w:val="18"/>
          <w:szCs w:val="18"/>
          <w:color w:val="auto"/>
        </w:rPr>
        <w:t>The Company has agreements with financial institutions that process customer credit 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for the sale of air travel and other services. Under certain of the Company's credit card processing agreements, the financial institutions in certain circumstances have the right to require that the Company maintain a reserve equal to a portion of advance ticket sales that has been processed by that financial institution, but for which the Company has not yet provided the air transportation. Such financial institutions may require additional cash or other collateral reserves to be established or additional withholding of payments related to receivables collected if the Company does not maintain certain minimum levels of unrestricted cash, cash equivalents and short-term investments (collectively, "Unrestricted Liquidity"). The Company's current level of Unrestricted Liquidity is substantially in excess of these minimum levels.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Labor Negotiations. </w:t>
      </w:r>
      <w:r>
        <w:rPr>
          <w:rFonts w:ascii="Arial" w:cs="Arial" w:eastAsia="Arial" w:hAnsi="Arial"/>
          <w:sz w:val="18"/>
          <w:szCs w:val="18"/>
          <w:color w:val="auto"/>
        </w:rPr>
        <w:t>As of December 31, 2025, United, including its subsidiaries, had approximately 113,200 employees.</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Approximately 83% of United's employees were represented by various U.S. labor organizations.</w:t>
      </w:r>
    </w:p>
    <w:p>
      <w:pPr>
        <w:spacing w:after="0" w:line="189"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In May 2025, the Company reached a Tentative Agreement ("TA") with its employees represented by the Association of Flight Attendants ("AFA") regarding an agreement that became amendable in August 2021. The TA included improvements with respect to scheduling, reserve requirements and other quality of life improvements, as well as pay rate increases during its five-year term. The TA also included a provision for a one-time payment to employees represented by the AFA upon ratification. In the second quarter of 2025, the Company recorded, in Special charges, $561 million of expenses related to this ratification payment. On July 29, 2025, the Company's employees represented by the AFA voted against ratification of the TA. As of the date of this report, the Company and the AFA continue their negotiations for a revised TA.</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13 - SPECIAL CHARGES (CREDITS)</w:t>
      </w:r>
    </w:p>
    <w:p>
      <w:pPr>
        <w:spacing w:after="0" w:line="196" w:lineRule="exact"/>
        <w:rPr>
          <w:sz w:val="20"/>
          <w:szCs w:val="20"/>
          <w:color w:val="auto"/>
        </w:rPr>
      </w:pPr>
    </w:p>
    <w:p>
      <w:pPr>
        <w:ind w:right="680"/>
        <w:spacing w:after="0" w:line="323" w:lineRule="auto"/>
        <w:rPr>
          <w:sz w:val="20"/>
          <w:szCs w:val="20"/>
          <w:color w:val="auto"/>
        </w:rPr>
      </w:pPr>
      <w:r>
        <w:rPr>
          <w:rFonts w:ascii="Arial" w:cs="Arial" w:eastAsia="Arial" w:hAnsi="Arial"/>
          <w:sz w:val="18"/>
          <w:szCs w:val="18"/>
          <w:color w:val="auto"/>
        </w:rPr>
        <w:t>For the years ended December 31, operating and nonoperating special charges (credits) and unrealized (gains) losses on investments in the statements of consolidated operations consisted of the following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72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43"/>
              <w:spacing w:after="0"/>
              <w:rPr>
                <w:sz w:val="20"/>
                <w:szCs w:val="20"/>
                <w:color w:val="auto"/>
              </w:rPr>
            </w:pPr>
            <w:r>
              <w:rPr>
                <w:rFonts w:ascii="Arial" w:cs="Arial" w:eastAsia="Arial" w:hAnsi="Arial"/>
                <w:sz w:val="19"/>
                <w:szCs w:val="19"/>
                <w:b w:val="1"/>
                <w:bCs w:val="1"/>
                <w:color w:val="auto"/>
              </w:rPr>
              <w:t>2025</w:t>
            </w:r>
          </w:p>
        </w:tc>
        <w:tc>
          <w:tcPr>
            <w:tcW w:w="8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3"/>
              <w:spacing w:after="0"/>
              <w:rPr>
                <w:sz w:val="20"/>
                <w:szCs w:val="20"/>
                <w:color w:val="auto"/>
              </w:rPr>
            </w:pPr>
            <w:r>
              <w:rPr>
                <w:rFonts w:ascii="Arial" w:cs="Arial" w:eastAsia="Arial" w:hAnsi="Arial"/>
                <w:sz w:val="19"/>
                <w:szCs w:val="19"/>
                <w:b w:val="1"/>
                <w:bCs w:val="1"/>
                <w:color w:val="auto"/>
              </w:rPr>
              <w:t>2024</w:t>
            </w:r>
          </w:p>
        </w:tc>
        <w:tc>
          <w:tcPr>
            <w:tcW w:w="12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b w:val="1"/>
                <w:bCs w:val="1"/>
                <w:color w:val="auto"/>
              </w:rPr>
              <w:t>2023</w:t>
            </w:r>
          </w:p>
        </w:tc>
        <w:tc>
          <w:tcPr>
            <w:tcW w:w="0" w:type="dxa"/>
            <w:vAlign w:val="bottom"/>
          </w:tcPr>
          <w:p>
            <w:pPr>
              <w:spacing w:after="0"/>
              <w:rPr>
                <w:sz w:val="1"/>
                <w:szCs w:val="1"/>
                <w:color w:val="auto"/>
              </w:rPr>
            </w:pPr>
          </w:p>
        </w:tc>
      </w:tr>
      <w:tr>
        <w:trPr>
          <w:trHeight w:val="281"/>
        </w:trPr>
        <w:tc>
          <w:tcPr>
            <w:tcW w:w="6720" w:type="dxa"/>
            <w:vAlign w:val="bottom"/>
            <w:shd w:val="clear" w:color="auto" w:fill="E6E6E6"/>
          </w:tcPr>
          <w:p>
            <w:pPr>
              <w:ind w:left="60"/>
              <w:spacing w:after="0"/>
              <w:rPr>
                <w:sz w:val="20"/>
                <w:szCs w:val="20"/>
                <w:color w:val="auto"/>
              </w:rPr>
            </w:pPr>
            <w:r>
              <w:rPr>
                <w:rFonts w:ascii="Arial" w:cs="Arial" w:eastAsia="Arial" w:hAnsi="Arial"/>
                <w:sz w:val="19"/>
                <w:szCs w:val="19"/>
                <w:color w:val="auto"/>
              </w:rPr>
              <w:t>Labor contract ratification bonuses</w:t>
            </w:r>
          </w:p>
        </w:tc>
        <w:tc>
          <w:tcPr>
            <w:tcW w:w="240" w:type="dxa"/>
            <w:vAlign w:val="bottom"/>
            <w:shd w:val="clear" w:color="auto" w:fill="E6E6E6"/>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561</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34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814</w:t>
            </w:r>
          </w:p>
        </w:tc>
        <w:tc>
          <w:tcPr>
            <w:tcW w:w="0" w:type="dxa"/>
            <w:vAlign w:val="bottom"/>
          </w:tcPr>
          <w:p>
            <w:pPr>
              <w:spacing w:after="0"/>
              <w:rPr>
                <w:sz w:val="1"/>
                <w:szCs w:val="1"/>
                <w:color w:val="auto"/>
              </w:rPr>
            </w:pPr>
          </w:p>
        </w:tc>
      </w:tr>
      <w:tr>
        <w:trPr>
          <w:trHeight w:val="281"/>
        </w:trPr>
        <w:tc>
          <w:tcPr>
            <w:tcW w:w="672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(Gains) losses on sale of assets and other special charges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(303)</w:t>
            </w: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112</w:t>
            </w:r>
          </w:p>
        </w:tc>
        <w:tc>
          <w:tcPr>
            <w:tcW w:w="12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135</w:t>
            </w:r>
          </w:p>
        </w:tc>
        <w:tc>
          <w:tcPr>
            <w:tcW w:w="0" w:type="dxa"/>
            <w:vAlign w:val="bottom"/>
          </w:tcPr>
          <w:p>
            <w:pPr>
              <w:spacing w:after="0"/>
              <w:rPr>
                <w:sz w:val="1"/>
                <w:szCs w:val="1"/>
                <w:color w:val="auto"/>
              </w:rPr>
            </w:pPr>
          </w:p>
        </w:tc>
      </w:tr>
      <w:tr>
        <w:trPr>
          <w:trHeight w:val="281"/>
        </w:trPr>
        <w:tc>
          <w:tcPr>
            <w:tcW w:w="6720" w:type="dxa"/>
            <w:vAlign w:val="bottom"/>
            <w:shd w:val="clear" w:color="auto" w:fill="E6E6E6"/>
          </w:tcPr>
          <w:p>
            <w:pPr>
              <w:ind w:left="540"/>
              <w:spacing w:after="0"/>
              <w:rPr>
                <w:sz w:val="20"/>
                <w:szCs w:val="20"/>
                <w:color w:val="auto"/>
              </w:rPr>
            </w:pPr>
            <w:r>
              <w:rPr>
                <w:rFonts w:ascii="Arial" w:cs="Arial" w:eastAsia="Arial" w:hAnsi="Arial"/>
                <w:sz w:val="19"/>
                <w:szCs w:val="19"/>
                <w:color w:val="auto"/>
              </w:rPr>
              <w:t>Total operating special charges</w:t>
            </w:r>
          </w:p>
        </w:tc>
        <w:tc>
          <w:tcPr>
            <w:tcW w:w="24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259</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112</w:t>
            </w:r>
          </w:p>
        </w:tc>
        <w:tc>
          <w:tcPr>
            <w:tcW w:w="12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949</w:t>
            </w:r>
          </w:p>
        </w:tc>
        <w:tc>
          <w:tcPr>
            <w:tcW w:w="0" w:type="dxa"/>
            <w:vAlign w:val="bottom"/>
          </w:tcPr>
          <w:p>
            <w:pPr>
              <w:spacing w:after="0"/>
              <w:rPr>
                <w:sz w:val="1"/>
                <w:szCs w:val="1"/>
                <w:color w:val="auto"/>
              </w:rPr>
            </w:pPr>
          </w:p>
        </w:tc>
      </w:tr>
      <w:tr>
        <w:trPr>
          <w:trHeight w:val="285"/>
        </w:trPr>
        <w:tc>
          <w:tcPr>
            <w:tcW w:w="6720" w:type="dxa"/>
            <w:vAlign w:val="bottom"/>
          </w:tcPr>
          <w:p>
            <w:pPr>
              <w:ind w:left="60"/>
              <w:spacing w:after="0"/>
              <w:rPr>
                <w:sz w:val="20"/>
                <w:szCs w:val="20"/>
                <w:color w:val="auto"/>
              </w:rPr>
            </w:pPr>
            <w:r>
              <w:rPr>
                <w:rFonts w:ascii="Arial" w:cs="Arial" w:eastAsia="Arial" w:hAnsi="Arial"/>
                <w:sz w:val="19"/>
                <w:szCs w:val="19"/>
                <w:color w:val="auto"/>
              </w:rPr>
              <w:t>Nonoperating unrealized (gains) losses on investments, net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199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(27)</w:t>
            </w:r>
          </w:p>
        </w:tc>
        <w:tc>
          <w:tcPr>
            <w:tcW w:w="0" w:type="dxa"/>
            <w:vAlign w:val="bottom"/>
          </w:tcPr>
          <w:p>
            <w:pPr>
              <w:spacing w:after="0"/>
              <w:rPr>
                <w:sz w:val="1"/>
                <w:szCs w:val="1"/>
                <w:color w:val="auto"/>
              </w:rPr>
            </w:pPr>
          </w:p>
        </w:tc>
      </w:tr>
      <w:tr>
        <w:trPr>
          <w:trHeight w:val="306"/>
        </w:trPr>
        <w:tc>
          <w:tcPr>
            <w:tcW w:w="67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Nonoperating debt extinguishment and modification fees</w:t>
            </w:r>
          </w:p>
        </w:tc>
        <w:tc>
          <w:tcPr>
            <w:tcW w:w="24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20</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128</w:t>
            </w:r>
          </w:p>
        </w:tc>
        <w:tc>
          <w:tcPr>
            <w:tcW w:w="12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158"/>
        </w:trPr>
        <w:tc>
          <w:tcPr>
            <w:tcW w:w="6720" w:type="dxa"/>
            <w:vAlign w:val="bottom"/>
          </w:tcPr>
          <w:p>
            <w:pPr>
              <w:ind w:left="540"/>
              <w:spacing w:after="0" w:line="157" w:lineRule="exact"/>
              <w:rPr>
                <w:sz w:val="20"/>
                <w:szCs w:val="20"/>
                <w:color w:val="auto"/>
              </w:rPr>
            </w:pPr>
            <w:r>
              <w:rPr>
                <w:rFonts w:ascii="Arial" w:cs="Arial" w:eastAsia="Arial" w:hAnsi="Arial"/>
                <w:sz w:val="18"/>
                <w:szCs w:val="18"/>
                <w:color w:val="auto"/>
              </w:rPr>
              <w:t>Total nonoperating special charges and unrealized (gains) losses on</w:t>
            </w: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16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327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255"/>
        </w:trPr>
        <w:tc>
          <w:tcPr>
            <w:tcW w:w="6720" w:type="dxa"/>
            <w:vAlign w:val="bottom"/>
            <w:tcBorders>
              <w:bottom w:val="single" w:sz="8" w:color="E6E6E6"/>
            </w:tcBorders>
          </w:tcPr>
          <w:p>
            <w:pPr>
              <w:ind w:left="540"/>
              <w:spacing w:after="0"/>
              <w:rPr>
                <w:sz w:val="20"/>
                <w:szCs w:val="20"/>
                <w:color w:val="auto"/>
              </w:rPr>
            </w:pPr>
            <w:r>
              <w:rPr>
                <w:rFonts w:ascii="Arial" w:cs="Arial" w:eastAsia="Arial" w:hAnsi="Arial"/>
                <w:sz w:val="19"/>
                <w:szCs w:val="19"/>
                <w:color w:val="auto"/>
              </w:rPr>
              <w:t>investments, net</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6720" w:type="dxa"/>
            <w:vAlign w:val="bottom"/>
            <w:shd w:val="clear" w:color="auto" w:fill="E6E6E6"/>
          </w:tcPr>
          <w:p>
            <w:pPr>
              <w:ind w:left="60"/>
              <w:spacing w:after="0" w:line="176" w:lineRule="exact"/>
              <w:rPr>
                <w:sz w:val="20"/>
                <w:szCs w:val="20"/>
                <w:color w:val="auto"/>
              </w:rPr>
            </w:pPr>
            <w:r>
              <w:rPr>
                <w:rFonts w:ascii="Arial" w:cs="Arial" w:eastAsia="Arial" w:hAnsi="Arial"/>
                <w:sz w:val="19"/>
                <w:szCs w:val="19"/>
                <w:color w:val="auto"/>
                <w:w w:val="95"/>
              </w:rPr>
              <w:t>Total operating and nonoperating special charges and unrealized (gains) losses on</w:t>
            </w:r>
          </w:p>
        </w:tc>
        <w:tc>
          <w:tcPr>
            <w:tcW w:w="240" w:type="dxa"/>
            <w:vAlign w:val="bottom"/>
            <w:shd w:val="clear" w:color="auto" w:fill="E6E6E6"/>
          </w:tcPr>
          <w:p>
            <w:pPr>
              <w:spacing w:after="0"/>
              <w:rPr>
                <w:sz w:val="15"/>
                <w:szCs w:val="15"/>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274</w:t>
            </w:r>
          </w:p>
        </w:tc>
        <w:tc>
          <w:tcPr>
            <w:tcW w:w="8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439</w:t>
            </w:r>
          </w:p>
        </w:tc>
        <w:tc>
          <w:tcPr>
            <w:tcW w:w="12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933</w:t>
            </w:r>
          </w:p>
        </w:tc>
        <w:tc>
          <w:tcPr>
            <w:tcW w:w="0" w:type="dxa"/>
            <w:vAlign w:val="bottom"/>
          </w:tcPr>
          <w:p>
            <w:pPr>
              <w:spacing w:after="0"/>
              <w:rPr>
                <w:sz w:val="1"/>
                <w:szCs w:val="1"/>
                <w:color w:val="auto"/>
              </w:rPr>
            </w:pPr>
          </w:p>
        </w:tc>
      </w:tr>
      <w:tr>
        <w:trPr>
          <w:trHeight w:val="265"/>
        </w:trPr>
        <w:tc>
          <w:tcPr>
            <w:tcW w:w="6720" w:type="dxa"/>
            <w:vAlign w:val="bottom"/>
            <w:shd w:val="clear" w:color="auto" w:fill="E6E6E6"/>
          </w:tcPr>
          <w:p>
            <w:pPr>
              <w:ind w:left="60"/>
              <w:spacing w:after="0"/>
              <w:rPr>
                <w:sz w:val="20"/>
                <w:szCs w:val="20"/>
                <w:color w:val="auto"/>
              </w:rPr>
            </w:pPr>
            <w:r>
              <w:rPr>
                <w:rFonts w:ascii="Arial" w:cs="Arial" w:eastAsia="Arial" w:hAnsi="Arial"/>
                <w:sz w:val="19"/>
                <w:szCs w:val="19"/>
                <w:color w:val="auto"/>
              </w:rPr>
              <w:t>investments, net</w:t>
            </w:r>
          </w:p>
        </w:tc>
        <w:tc>
          <w:tcPr>
            <w:tcW w:w="240" w:type="dxa"/>
            <w:vAlign w:val="bottom"/>
            <w:shd w:val="clear" w:color="auto" w:fill="E6E6E6"/>
          </w:tcPr>
          <w:p>
            <w:pPr>
              <w:spacing w:after="0"/>
              <w:rPr>
                <w:sz w:val="23"/>
                <w:szCs w:val="23"/>
                <w:color w:val="auto"/>
              </w:rPr>
            </w:pPr>
          </w:p>
        </w:tc>
        <w:tc>
          <w:tcPr>
            <w:tcW w:w="8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780" w:type="dxa"/>
            <w:vAlign w:val="bottom"/>
            <w:vMerge w:val="continue"/>
            <w:shd w:val="clear" w:color="auto" w:fill="E6E6E6"/>
          </w:tcPr>
          <w:p>
            <w:pPr>
              <w:spacing w:after="0"/>
              <w:rPr>
                <w:sz w:val="23"/>
                <w:szCs w:val="23"/>
                <w:color w:val="auto"/>
              </w:rPr>
            </w:pPr>
          </w:p>
        </w:tc>
        <w:tc>
          <w:tcPr>
            <w:tcW w:w="12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74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672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Income tax benefit, net of valuation allowance</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(136)</w:t>
            </w: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w:t>
            </w:r>
          </w:p>
        </w:tc>
        <w:tc>
          <w:tcPr>
            <w:tcW w:w="12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(214)</w:t>
            </w:r>
          </w:p>
        </w:tc>
        <w:tc>
          <w:tcPr>
            <w:tcW w:w="0" w:type="dxa"/>
            <w:vAlign w:val="bottom"/>
          </w:tcPr>
          <w:p>
            <w:pPr>
              <w:spacing w:after="0"/>
              <w:rPr>
                <w:sz w:val="1"/>
                <w:szCs w:val="1"/>
                <w:color w:val="auto"/>
              </w:rPr>
            </w:pPr>
          </w:p>
        </w:tc>
      </w:tr>
      <w:tr>
        <w:trPr>
          <w:trHeight w:val="206"/>
        </w:trPr>
        <w:tc>
          <w:tcPr>
            <w:tcW w:w="6720" w:type="dxa"/>
            <w:vAlign w:val="bottom"/>
            <w:shd w:val="clear" w:color="auto" w:fill="E6E6E6"/>
          </w:tcPr>
          <w:p>
            <w:pPr>
              <w:ind w:left="60"/>
              <w:spacing w:after="0" w:line="205" w:lineRule="exact"/>
              <w:rPr>
                <w:sz w:val="20"/>
                <w:szCs w:val="20"/>
                <w:color w:val="auto"/>
              </w:rPr>
            </w:pPr>
            <w:r>
              <w:rPr>
                <w:rFonts w:ascii="Arial" w:cs="Arial" w:eastAsia="Arial" w:hAnsi="Arial"/>
                <w:sz w:val="19"/>
                <w:szCs w:val="19"/>
                <w:color w:val="auto"/>
                <w:w w:val="95"/>
              </w:rPr>
              <w:t>Total operating and nonoperating special charges and unrealized (gains) losses on</w:t>
            </w:r>
          </w:p>
        </w:tc>
        <w:tc>
          <w:tcPr>
            <w:tcW w:w="240" w:type="dxa"/>
            <w:vAlign w:val="bottom"/>
            <w:vMerge w:val="restart"/>
            <w:shd w:val="clear" w:color="auto" w:fill="E6E6E6"/>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138</w:t>
            </w:r>
          </w:p>
        </w:tc>
        <w:tc>
          <w:tcPr>
            <w:tcW w:w="80" w:type="dxa"/>
            <w:vAlign w:val="bottom"/>
            <w:vMerge w:val="restart"/>
            <w:shd w:val="clear" w:color="auto" w:fill="E6E6E6"/>
          </w:tcPr>
          <w:p>
            <w:pPr>
              <w:spacing w:after="0"/>
              <w:rPr>
                <w:sz w:val="17"/>
                <w:szCs w:val="17"/>
                <w:color w:val="auto"/>
              </w:rPr>
            </w:pPr>
          </w:p>
        </w:tc>
        <w:tc>
          <w:tcPr>
            <w:tcW w:w="22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385</w:t>
            </w:r>
          </w:p>
        </w:tc>
        <w:tc>
          <w:tcPr>
            <w:tcW w:w="120" w:type="dxa"/>
            <w:vAlign w:val="bottom"/>
            <w:vMerge w:val="restart"/>
            <w:shd w:val="clear" w:color="auto" w:fill="E6E6E6"/>
          </w:tcPr>
          <w:p>
            <w:pPr>
              <w:spacing w:after="0"/>
              <w:rPr>
                <w:sz w:val="17"/>
                <w:szCs w:val="17"/>
                <w:color w:val="auto"/>
              </w:rPr>
            </w:pPr>
          </w:p>
        </w:tc>
        <w:tc>
          <w:tcPr>
            <w:tcW w:w="22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719</w:t>
            </w:r>
          </w:p>
        </w:tc>
        <w:tc>
          <w:tcPr>
            <w:tcW w:w="0" w:type="dxa"/>
            <w:vAlign w:val="bottom"/>
          </w:tcPr>
          <w:p>
            <w:pPr>
              <w:spacing w:after="0"/>
              <w:rPr>
                <w:sz w:val="1"/>
                <w:szCs w:val="1"/>
                <w:color w:val="auto"/>
              </w:rPr>
            </w:pPr>
          </w:p>
        </w:tc>
      </w:tr>
      <w:tr>
        <w:trPr>
          <w:trHeight w:val="274"/>
        </w:trPr>
        <w:tc>
          <w:tcPr>
            <w:tcW w:w="67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investments, net of income taxes</w:t>
            </w:r>
          </w:p>
        </w:tc>
        <w:tc>
          <w:tcPr>
            <w:tcW w:w="240" w:type="dxa"/>
            <w:vAlign w:val="bottom"/>
            <w:tcBorders>
              <w:bottom w:val="single" w:sz="8" w:color="auto"/>
            </w:tcBorders>
            <w:vMerge w:val="continue"/>
            <w:shd w:val="clear" w:color="auto" w:fill="E6E6E6"/>
          </w:tcPr>
          <w:p>
            <w:pPr>
              <w:spacing w:after="0"/>
              <w:rPr>
                <w:sz w:val="23"/>
                <w:szCs w:val="23"/>
                <w:color w:val="auto"/>
              </w:rPr>
            </w:pPr>
          </w:p>
        </w:tc>
        <w:tc>
          <w:tcPr>
            <w:tcW w:w="800" w:type="dxa"/>
            <w:vAlign w:val="bottom"/>
            <w:tcBorders>
              <w:bottom w:val="single" w:sz="8" w:color="auto"/>
            </w:tcBorders>
            <w:vMerge w:val="continue"/>
            <w:shd w:val="clear" w:color="auto" w:fill="E6E6E6"/>
          </w:tcPr>
          <w:p>
            <w:pPr>
              <w:spacing w:after="0"/>
              <w:rPr>
                <w:sz w:val="23"/>
                <w:szCs w:val="23"/>
                <w:color w:val="auto"/>
              </w:rPr>
            </w:pPr>
          </w:p>
        </w:tc>
        <w:tc>
          <w:tcPr>
            <w:tcW w:w="80" w:type="dxa"/>
            <w:vAlign w:val="bottom"/>
            <w:tcBorders>
              <w:bottom w:val="single" w:sz="8" w:color="E6E6E6"/>
            </w:tcBorders>
            <w:vMerge w:val="continue"/>
            <w:shd w:val="clear" w:color="auto" w:fill="E6E6E6"/>
          </w:tcPr>
          <w:p>
            <w:pPr>
              <w:spacing w:after="0"/>
              <w:rPr>
                <w:sz w:val="23"/>
                <w:szCs w:val="23"/>
                <w:color w:val="auto"/>
              </w:rPr>
            </w:pPr>
          </w:p>
        </w:tc>
        <w:tc>
          <w:tcPr>
            <w:tcW w:w="220" w:type="dxa"/>
            <w:vAlign w:val="bottom"/>
            <w:tcBorders>
              <w:bottom w:val="single" w:sz="8" w:color="auto"/>
            </w:tcBorders>
            <w:vMerge w:val="continue"/>
            <w:shd w:val="clear" w:color="auto" w:fill="E6E6E6"/>
          </w:tcPr>
          <w:p>
            <w:pPr>
              <w:spacing w:after="0"/>
              <w:rPr>
                <w:sz w:val="23"/>
                <w:szCs w:val="23"/>
                <w:color w:val="auto"/>
              </w:rPr>
            </w:pPr>
          </w:p>
        </w:tc>
        <w:tc>
          <w:tcPr>
            <w:tcW w:w="780" w:type="dxa"/>
            <w:vAlign w:val="bottom"/>
            <w:tcBorders>
              <w:bottom w:val="single" w:sz="8" w:color="auto"/>
            </w:tcBorders>
            <w:vMerge w:val="continue"/>
            <w:shd w:val="clear" w:color="auto" w:fill="E6E6E6"/>
          </w:tcPr>
          <w:p>
            <w:pPr>
              <w:spacing w:after="0"/>
              <w:rPr>
                <w:sz w:val="23"/>
                <w:szCs w:val="23"/>
                <w:color w:val="auto"/>
              </w:rPr>
            </w:pPr>
          </w:p>
        </w:tc>
        <w:tc>
          <w:tcPr>
            <w:tcW w:w="120" w:type="dxa"/>
            <w:vAlign w:val="bottom"/>
            <w:tcBorders>
              <w:bottom w:val="single" w:sz="8" w:color="E6E6E6"/>
            </w:tcBorders>
            <w:vMerge w:val="continue"/>
            <w:shd w:val="clear" w:color="auto" w:fill="E6E6E6"/>
          </w:tcPr>
          <w:p>
            <w:pPr>
              <w:spacing w:after="0"/>
              <w:rPr>
                <w:sz w:val="23"/>
                <w:szCs w:val="23"/>
                <w:color w:val="auto"/>
              </w:rPr>
            </w:pPr>
          </w:p>
        </w:tc>
        <w:tc>
          <w:tcPr>
            <w:tcW w:w="220" w:type="dxa"/>
            <w:vAlign w:val="bottom"/>
            <w:tcBorders>
              <w:bottom w:val="single" w:sz="8" w:color="auto"/>
            </w:tcBorders>
            <w:vMerge w:val="continue"/>
            <w:shd w:val="clear" w:color="auto" w:fill="E6E6E6"/>
          </w:tcPr>
          <w:p>
            <w:pPr>
              <w:spacing w:after="0"/>
              <w:rPr>
                <w:sz w:val="23"/>
                <w:szCs w:val="23"/>
                <w:color w:val="auto"/>
              </w:rPr>
            </w:pPr>
          </w:p>
        </w:tc>
        <w:tc>
          <w:tcPr>
            <w:tcW w:w="740" w:type="dxa"/>
            <w:vAlign w:val="bottom"/>
            <w:tcBorders>
              <w:bottom w:val="single" w:sz="8" w:color="auto"/>
            </w:tcBorders>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-2017395</wp:posOffset>
            </wp:positionV>
            <wp:extent cx="2067560"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42">
                      <a:extLst>
                        <a:ext uri="{28A0092B-C50C-407E-A947-70E740481C1C}"/>
                      </a:extLst>
                    </a:blip>
                    <a:srcRect/>
                    <a:stretch>
                      <a:fillRect/>
                    </a:stretch>
                  </pic:blipFill>
                  <pic:spPr bwMode="auto">
                    <a:xfrm>
                      <a:off x="0" y="0"/>
                      <a:ext cx="2067560" cy="25400"/>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-1647825</wp:posOffset>
            </wp:positionV>
            <wp:extent cx="206756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43">
                      <a:extLst>
                        <a:ext uri="{28A0092B-C50C-407E-A947-70E740481C1C}"/>
                      </a:extLst>
                    </a:blip>
                    <a:srcRect/>
                    <a:stretch>
                      <a:fillRect/>
                    </a:stretch>
                  </pic:blipFill>
                  <pic:spPr bwMode="auto">
                    <a:xfrm>
                      <a:off x="0" y="0"/>
                      <a:ext cx="2067560" cy="25400"/>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-1093470</wp:posOffset>
            </wp:positionV>
            <wp:extent cx="206756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44">
                      <a:extLst>
                        <a:ext uri="{28A0092B-C50C-407E-A947-70E740481C1C}"/>
                      </a:extLst>
                    </a:blip>
                    <a:srcRect/>
                    <a:stretch>
                      <a:fillRect/>
                    </a:stretch>
                  </pic:blipFill>
                  <pic:spPr bwMode="auto">
                    <a:xfrm>
                      <a:off x="0" y="0"/>
                      <a:ext cx="2067560" cy="25400"/>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-807085</wp:posOffset>
            </wp:positionV>
            <wp:extent cx="2067560"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45">
                      <a:extLst>
                        <a:ext uri="{28A0092B-C50C-407E-A947-70E740481C1C}"/>
                      </a:extLst>
                    </a:blip>
                    <a:srcRect/>
                    <a:stretch>
                      <a:fillRect/>
                    </a:stretch>
                  </pic:blipFill>
                  <pic:spPr bwMode="auto">
                    <a:xfrm>
                      <a:off x="0" y="0"/>
                      <a:ext cx="2067560" cy="25400"/>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-335280</wp:posOffset>
            </wp:positionV>
            <wp:extent cx="206756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46">
                      <a:extLst>
                        <a:ext uri="{28A0092B-C50C-407E-A947-70E740481C1C}"/>
                      </a:extLst>
                    </a:blip>
                    <a:srcRect/>
                    <a:stretch>
                      <a:fillRect/>
                    </a:stretch>
                  </pic:blipFill>
                  <pic:spPr bwMode="auto">
                    <a:xfrm>
                      <a:off x="0" y="0"/>
                      <a:ext cx="2067560" cy="25400"/>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-42545</wp:posOffset>
            </wp:positionV>
            <wp:extent cx="2067560" cy="501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47">
                      <a:extLst>
                        <a:ext uri="{28A0092B-C50C-407E-A947-70E740481C1C}"/>
                      </a:extLst>
                    </a:blip>
                    <a:srcRect/>
                    <a:stretch>
                      <a:fillRect/>
                    </a:stretch>
                  </pic:blipFill>
                  <pic:spPr bwMode="auto">
                    <a:xfrm>
                      <a:off x="0" y="0"/>
                      <a:ext cx="2067560" cy="5016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Operating and nonoperating special charges (credits) and unrealized (gains) losses on investments included the following:</w:t>
      </w:r>
    </w:p>
    <w:p>
      <w:pPr>
        <w:spacing w:after="0" w:line="200" w:lineRule="exact"/>
        <w:rPr>
          <w:sz w:val="20"/>
          <w:szCs w:val="20"/>
          <w:color w:val="auto"/>
        </w:rPr>
      </w:pPr>
    </w:p>
    <w:p>
      <w:pPr>
        <w:jc w:val="both"/>
        <w:ind w:right="40"/>
        <w:spacing w:after="0" w:line="357" w:lineRule="auto"/>
        <w:rPr>
          <w:sz w:val="20"/>
          <w:szCs w:val="20"/>
          <w:color w:val="auto"/>
        </w:rPr>
      </w:pPr>
      <w:r>
        <w:rPr>
          <w:rFonts w:ascii="Arial" w:cs="Arial" w:eastAsia="Arial" w:hAnsi="Arial"/>
          <w:sz w:val="17"/>
          <w:szCs w:val="17"/>
          <w:color w:val="auto"/>
        </w:rPr>
        <w:t>During 2025, the Company recorded a $561 million special charge in connection with a proposed labor contract ratification payment for the Company's employees represented by the AFA. See Note 12 for more information related to this labor contract.</w:t>
      </w:r>
    </w:p>
    <w:p>
      <w:pPr>
        <w:spacing w:after="0" w:line="59"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During 2025, the Company recorded $303 million of net gains on sale of assets and other special charges, which were primarily comprised of $427 million of gains on various aircraft sale-leaseback transactions, partially offset by $125 million in other charges mainly consisting of certain one-time expenses related to the Three Party Agreement in connection with the merger between Mesa and Legacy Republic and write-offs related to various cancelled projects.</w:t>
      </w:r>
    </w:p>
    <w:p>
      <w:pPr>
        <w:spacing w:after="0" w:line="130" w:lineRule="exact"/>
        <w:rPr>
          <w:sz w:val="20"/>
          <w:szCs w:val="20"/>
          <w:color w:val="auto"/>
        </w:rPr>
      </w:pPr>
    </w:p>
    <w:p>
      <w:pPr>
        <w:ind w:right="380"/>
        <w:spacing w:after="0" w:line="337" w:lineRule="auto"/>
        <w:rPr>
          <w:sz w:val="20"/>
          <w:szCs w:val="20"/>
          <w:color w:val="auto"/>
        </w:rPr>
      </w:pPr>
      <w:r>
        <w:rPr>
          <w:rFonts w:ascii="Arial" w:cs="Arial" w:eastAsia="Arial" w:hAnsi="Arial"/>
          <w:sz w:val="17"/>
          <w:szCs w:val="17"/>
          <w:color w:val="auto"/>
        </w:rPr>
        <w:t>During 2025, the Company recorded $20 million of charges related to the prepayment in full of the outstanding principal balance of the MileagePlus senior secured notes in July 2025. See Note 10 for more information related to this prepayment.</w:t>
      </w:r>
    </w:p>
    <w:p>
      <w:pPr>
        <w:spacing w:after="0" w:line="60" w:lineRule="exact"/>
        <w:rPr>
          <w:sz w:val="20"/>
          <w:szCs w:val="20"/>
          <w:color w:val="auto"/>
        </w:rPr>
      </w:pPr>
    </w:p>
    <w:p>
      <w:pPr>
        <w:jc w:val="both"/>
        <w:ind w:right="480"/>
        <w:spacing w:after="0" w:line="274" w:lineRule="auto"/>
        <w:rPr>
          <w:sz w:val="20"/>
          <w:szCs w:val="20"/>
          <w:color w:val="auto"/>
        </w:rPr>
      </w:pPr>
      <w:r>
        <w:rPr>
          <w:rFonts w:ascii="Arial" w:cs="Arial" w:eastAsia="Arial" w:hAnsi="Arial"/>
          <w:sz w:val="19"/>
          <w:szCs w:val="19"/>
          <w:color w:val="auto"/>
        </w:rPr>
        <w:t>During 2024, the Company recorded $128 million of charges related to the prepayment in full of the outstanding principal balance of the MileagePlus Term Loan in July 2024, the refinancing of its 2021 term loans in February 2024 and a partial prepayment of the 2024 Term Loans.</w:t>
      </w:r>
    </w:p>
    <w:p>
      <w:pPr>
        <w:sectPr>
          <w:pgSz w:w="11880" w:h="15480" w:orient="portrait"/>
          <w:cols w:equalWidth="0" w:num="1">
            <w:col w:w="9960"/>
          </w:cols>
          <w:pgMar w:left="960" w:top="586"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9960"/>
          </w:cols>
          <w:pgMar w:left="960" w:top="586" w:right="960" w:bottom="33" w:gutter="0" w:footer="0" w:header="0"/>
          <w:type w:val="continuous"/>
        </w:sectPr>
      </w:pPr>
    </w:p>
    <w:bookmarkStart w:id="94" w:name="page95"/>
    <w:bookmarkEnd w:id="94"/>
    <w:p>
      <w:pPr>
        <w:ind w:left="1400" w:right="760" w:hanging="1396"/>
        <w:spacing w:after="0" w:line="298" w:lineRule="auto"/>
        <w:tabs>
          <w:tab w:leader="none" w:pos="138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9"/>
          <w:szCs w:val="19"/>
          <w:b w:val="1"/>
          <w:bCs w:val="1"/>
          <w:color w:val="auto"/>
        </w:rPr>
        <w:t>CHANGES IN AND DISAGREEMENTS WITH ACCOUNTANTS ON ACCOUNTING AND FINANCIAL DISCLOSURE</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182"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Evaluation of Disclosure Control and Procedures</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UAL and United each maintain controls and procedures that are designed to ensure that information required to be disclosed in the reports filed or submitted by UAL and United to the SEC is recorded, processed, summarized and reported, within the time periods specified by the SEC's rules and forms, and is accumulated and communicated to management including the Chief Executive Officer and Chief Financial Officer, as appropriate, to allow timely decisions regarding required disclosure. The management of UAL and United, including the Chief Executive Officer and Chief Financial Officer, performed an evaluation to conclude with reasonable assurance that UAL's and United's disclosure controls and procedures as defined in Rules 13a-15(e) and 15d-15(e) under the Exchange Act were designed and operating effectively to report the information each company is required to disclose in the reports they file with the SEC on a timely basis. Based on that evaluation, the Chief Executive Officer and the Chief Financial Officer of UAL and United have concluded that as of December 31, 2025, disclosure controls and procedures were effective.</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Management's Reports on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UAL and United Management's Reports on Internal Control Over Financial Reporting are included herein.</w:t>
      </w:r>
    </w:p>
    <w:p>
      <w:pPr>
        <w:spacing w:after="0" w:line="189" w:lineRule="exact"/>
        <w:rPr>
          <w:sz w:val="20"/>
          <w:szCs w:val="20"/>
          <w:color w:val="auto"/>
        </w:rPr>
      </w:pPr>
    </w:p>
    <w:p>
      <w:pPr>
        <w:ind w:right="120"/>
        <w:spacing w:after="0" w:line="274" w:lineRule="auto"/>
        <w:rPr>
          <w:sz w:val="20"/>
          <w:szCs w:val="20"/>
          <w:color w:val="auto"/>
        </w:rPr>
      </w:pPr>
      <w:r>
        <w:rPr>
          <w:rFonts w:ascii="Arial" w:cs="Arial" w:eastAsia="Arial" w:hAnsi="Arial"/>
          <w:sz w:val="19"/>
          <w:szCs w:val="19"/>
          <w:color w:val="auto"/>
        </w:rPr>
        <w:t>Ernst &amp; Young LLP, an independent registered public accounting firm, has audited the Company's financial statements included in this Form 10-K and issued its report on the effectiveness of the Company's internal control over financial reporting as of December 31, 2025, which is included herein.</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Internal Control over Financial Reporting during the Quarter Ended December 31, 2025</w:t>
      </w:r>
    </w:p>
    <w:p>
      <w:pPr>
        <w:spacing w:after="0" w:line="197" w:lineRule="exact"/>
        <w:rPr>
          <w:sz w:val="20"/>
          <w:szCs w:val="20"/>
          <w:color w:val="auto"/>
        </w:rPr>
      </w:pPr>
    </w:p>
    <w:p>
      <w:pPr>
        <w:ind w:right="300"/>
        <w:spacing w:after="0" w:line="357" w:lineRule="auto"/>
        <w:rPr>
          <w:sz w:val="20"/>
          <w:szCs w:val="20"/>
          <w:color w:val="auto"/>
        </w:rPr>
      </w:pPr>
      <w:r>
        <w:rPr>
          <w:rFonts w:ascii="Arial" w:cs="Arial" w:eastAsia="Arial" w:hAnsi="Arial"/>
          <w:sz w:val="17"/>
          <w:szCs w:val="17"/>
          <w:color w:val="auto"/>
        </w:rPr>
        <w:t>During the three months ended December 31, 2025, there was no change in UAL's or United's internal control over financial reporting that materially affected, or is reasonably likely to materially affect, their internal control over financial reporting.</w:t>
      </w:r>
    </w:p>
    <w:p>
      <w:pPr>
        <w:sectPr>
          <w:pgSz w:w="11880" w:h="15480" w:orient="portrait"/>
          <w:cols w:equalWidth="0" w:num="1">
            <w:col w:w="9960"/>
          </w:cols>
          <w:pgMar w:left="960" w:top="579"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9960"/>
          </w:cols>
          <w:pgMar w:left="960" w:top="579" w:right="960" w:bottom="33"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To the Stockholders and the Board of Directors of United Airlines Holdings, Inc.</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Internal Control Over Financial Reporting</w:t>
      </w:r>
    </w:p>
    <w:p>
      <w:pPr>
        <w:spacing w:after="0" w:line="196"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We have audited United Airlines Holdings, Inc.'s (the "Company") internal control over financial reporting as of December 31, 2025, based on criteria established in Internal Control-Integrated Framework issued by the Committee of Sponsoring Organizations of the Treadway Commission (2013 framework) (the "COSO criteria"). In our opinion, the Company maintained, in all material respects, effective internal control over financial reporting as of December 31, 2025, based on the COSO criteria.</w:t>
      </w:r>
    </w:p>
    <w:p>
      <w:pPr>
        <w:spacing w:after="0" w:line="9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2025 consolidated financial statements and our report dated February 12, 2026 expressed an unqualified opinion thereon.</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Reports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Chicago, Illinois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February 12, 2026</w:t>
      </w:r>
    </w:p>
    <w:p>
      <w:pPr>
        <w:sectPr>
          <w:pgSz w:w="11880" w:h="15480" w:orient="portrait"/>
          <w:cols w:equalWidth="0" w:num="1">
            <w:col w:w="9960"/>
          </w:cols>
          <w:pgMar w:left="960" w:top="812"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9960"/>
          </w:cols>
          <w:pgMar w:left="960" w:top="812" w:right="960" w:bottom="33" w:gutter="0" w:footer="0" w:header="0"/>
          <w:type w:val="continuous"/>
        </w:sectPr>
      </w:pPr>
    </w:p>
    <w:bookmarkStart w:id="96" w:name="page97"/>
    <w:bookmarkEnd w:id="96"/>
    <w:p>
      <w:pPr>
        <w:spacing w:after="0"/>
        <w:rPr>
          <w:sz w:val="20"/>
          <w:szCs w:val="20"/>
          <w:color w:val="auto"/>
        </w:rPr>
      </w:pPr>
      <w:r>
        <w:rPr>
          <w:rFonts w:ascii="Arial" w:cs="Arial" w:eastAsia="Arial" w:hAnsi="Arial"/>
          <w:sz w:val="19"/>
          <w:szCs w:val="19"/>
          <w:b w:val="1"/>
          <w:bCs w:val="1"/>
          <w:color w:val="auto"/>
        </w:rPr>
        <w:t>United Airlines Holdings, Inc. Management Report on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February 12, 2026</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To the Stockholders of United Airlines Holdings, Inc.</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Chicago, Illinois</w:t>
      </w:r>
    </w:p>
    <w:p>
      <w:pPr>
        <w:spacing w:after="0" w:line="189"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The management of United Airlines Holdings, Inc. ("UAL")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Under the supervision and with the participation of management, including our Chief Executive Officer and Chief Financial Officer, we conducted an evaluation of the design and operating effectiveness of our internal control over financial reporting as of December 31, 2025. In making this assessment, management used the framework set forth in Internal Control—Integrated Framework (2013 Framework) issued by the Committee of the Sponsoring Organizations of the Treadway Commission. Based on this evaluation, our Chief Executive Officer and Chief Financial Officer concluded that our internal control over financial reporting was effective as of December 31, 2025.</w:t>
      </w:r>
    </w:p>
    <w:p>
      <w:pPr>
        <w:spacing w:after="0" w:line="135" w:lineRule="exact"/>
        <w:rPr>
          <w:sz w:val="20"/>
          <w:szCs w:val="20"/>
          <w:color w:val="auto"/>
        </w:rPr>
      </w:pPr>
    </w:p>
    <w:p>
      <w:pPr>
        <w:ind w:right="120"/>
        <w:spacing w:after="0" w:line="357" w:lineRule="auto"/>
        <w:rPr>
          <w:sz w:val="20"/>
          <w:szCs w:val="20"/>
          <w:color w:val="auto"/>
        </w:rPr>
      </w:pPr>
      <w:r>
        <w:rPr>
          <w:rFonts w:ascii="Arial" w:cs="Arial" w:eastAsia="Arial" w:hAnsi="Arial"/>
          <w:sz w:val="17"/>
          <w:szCs w:val="17"/>
          <w:color w:val="auto"/>
        </w:rPr>
        <w:t>Our independent registered public accounting firm, Ernst &amp; Young LLP, who audited UAL's consolidated financial statements included in this Form 10-K, has issued a report on UAL's internal control over financial reporting, which is included herein.</w:t>
      </w: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United Airlines, Inc. Management Report on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February 12, 2026</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To the Stockholder of United Airlines, Inc.</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Chicago, Illinois</w:t>
      </w:r>
    </w:p>
    <w:p>
      <w:pPr>
        <w:spacing w:after="0" w:line="189"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The management of United Airlines, Inc. ("United") is responsible for establishing and maintaining adequate internal control over financial reporting, as such term is defined in Exchange Act Rule 13a-15(f). United's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United's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Under the supervision and with the participation of management, including United's Chief Executive Officer and Chief Financial Officer, United conducted an evaluation of the design and operating effectiveness of its internal control over financial reporting as of December 31, 2025. In making this assessment, management used the framework set forth in Internal Control— Integrated Framework (2013 Framework) issued by the Committee of the Sponsoring Organizations of the Treadway Commission. Based on this evaluation, United's Chief Executive Officer and Chief Financial Officer concluded that its internal control over financial reporting was effective as of December 31, 2025.</w:t>
      </w:r>
    </w:p>
    <w:p>
      <w:pPr>
        <w:spacing w:after="0" w:line="135"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annual report does not include an attestation report of United's registered public accounting firm regarding internal control over financial reporting. Management's report was not subject to attestation by United's registered public accounting firm pursuant to the rules of the Securities and Exchange Commission that permit United to provide only management's report in this annual report.</w:t>
      </w:r>
    </w:p>
    <w:p>
      <w:pPr>
        <w:sectPr>
          <w:pgSz w:w="11880" w:h="15480" w:orient="portrait"/>
          <w:cols w:equalWidth="0" w:num="1">
            <w:col w:w="9960"/>
          </w:cols>
          <w:pgMar w:left="960" w:top="909"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9960"/>
          </w:cols>
          <w:pgMar w:left="960" w:top="909" w:right="960" w:bottom="33" w:gutter="0" w:footer="0" w:header="0"/>
          <w:type w:val="continuous"/>
        </w:sectPr>
      </w:pPr>
    </w:p>
    <w:bookmarkStart w:id="97" w:name="page98"/>
    <w:bookmarkEnd w:id="97"/>
    <w:p>
      <w:pPr>
        <w:spacing w:after="0"/>
        <w:tabs>
          <w:tab w:leader="none" w:pos="1380" w:val="left"/>
        </w:tabs>
        <w:rPr>
          <w:sz w:val="20"/>
          <w:szCs w:val="20"/>
          <w:color w:val="auto"/>
        </w:rPr>
      </w:pPr>
      <w:r>
        <w:rPr>
          <w:rFonts w:ascii="Arial" w:cs="Arial" w:eastAsia="Arial" w:hAnsi="Arial"/>
          <w:sz w:val="19"/>
          <w:szCs w:val="19"/>
          <w:b w:val="1"/>
          <w:bCs w:val="1"/>
          <w:color w:val="auto"/>
        </w:rPr>
        <w:t>ITEM 9B.</w:t>
      </w:r>
      <w:r>
        <w:rPr>
          <w:sz w:val="20"/>
          <w:szCs w:val="20"/>
          <w:color w:val="auto"/>
        </w:rPr>
        <w:tab/>
      </w:r>
      <w:r>
        <w:rPr>
          <w:rFonts w:ascii="Arial" w:cs="Arial" w:eastAsia="Arial" w:hAnsi="Arial"/>
          <w:sz w:val="19"/>
          <w:szCs w:val="19"/>
          <w:b w:val="1"/>
          <w:bCs w:val="1"/>
          <w:color w:val="auto"/>
        </w:rPr>
        <w:t>OTHER INFORMATION.</w:t>
      </w:r>
    </w:p>
    <w:p>
      <w:pPr>
        <w:spacing w:after="0" w:line="196" w:lineRule="exact"/>
        <w:rPr>
          <w:sz w:val="20"/>
          <w:szCs w:val="20"/>
          <w:color w:val="auto"/>
        </w:rPr>
      </w:pPr>
    </w:p>
    <w:p>
      <w:pPr>
        <w:ind w:left="700" w:hanging="697"/>
        <w:spacing w:after="0"/>
        <w:tabs>
          <w:tab w:leader="none" w:pos="7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None.</w:t>
      </w:r>
    </w:p>
    <w:p>
      <w:pPr>
        <w:spacing w:after="0" w:line="188" w:lineRule="exact"/>
        <w:rPr>
          <w:rFonts w:ascii="Arial" w:cs="Arial" w:eastAsia="Arial" w:hAnsi="Arial"/>
          <w:sz w:val="19"/>
          <w:szCs w:val="19"/>
          <w:color w:val="auto"/>
        </w:rPr>
      </w:pPr>
    </w:p>
    <w:p>
      <w:pPr>
        <w:ind w:left="700" w:right="420" w:hanging="697"/>
        <w:spacing w:after="0" w:line="268" w:lineRule="auto"/>
        <w:tabs>
          <w:tab w:leader="none" w:pos="7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During the three months ended December 31, 2025, no director or "officer" (as defined in Rule 16a-1(f) under the Exchange Act) of the Company or United informed the Company or United of the adoption, modification or termination of a "Rule 10b5-1 trading arrangement" or a "non-Rule 10b5-1 trading arrangement," as each term is defined in Item 408(a) of Regulation S-K under the Exchange Act.</w:t>
      </w:r>
    </w:p>
    <w:p>
      <w:pPr>
        <w:spacing w:after="0" w:line="123"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b w:val="1"/>
          <w:bCs w:val="1"/>
          <w:color w:val="auto"/>
        </w:rPr>
        <w:t>ITEM 9C.</w:t>
      </w:r>
      <w:r>
        <w:rPr>
          <w:sz w:val="20"/>
          <w:szCs w:val="20"/>
          <w:color w:val="auto"/>
        </w:rPr>
        <w:tab/>
      </w:r>
      <w:r>
        <w:rPr>
          <w:rFonts w:ascii="Arial" w:cs="Arial" w:eastAsia="Arial" w:hAnsi="Arial"/>
          <w:sz w:val="19"/>
          <w:szCs w:val="19"/>
          <w:b w:val="1"/>
          <w:bCs w:val="1"/>
          <w:color w:val="auto"/>
        </w:rPr>
        <w:t>DISCLOSURE REGARDING FOREIGN JURISDICTIONS THAT PREVENT INSPECTIONS.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III</w:t>
      </w:r>
    </w:p>
    <w:p>
      <w:pPr>
        <w:spacing w:after="0" w:line="189"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196"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Reference is made to the 2026 Proxy Statement with respect to information about UAL's directors under the principal heading "Item 1 – Election of Directors", including under the subheadings "Director Biographical information" and "Director Qualifications", and information about UAL's corporate governance under the subheadings "Board Selection and Election" and "How the Board is Organized" under the principal heading "Board and Corporate Governance Matters" in the 2026 Proxy Statement, which is incorporated herein by reference and made a part hereof in response to the information required by Item 10 with respect to UAL.</w:t>
      </w:r>
    </w:p>
    <w:p>
      <w:pPr>
        <w:spacing w:after="0" w:line="135" w:lineRule="exact"/>
        <w:rPr>
          <w:sz w:val="20"/>
          <w:szCs w:val="20"/>
          <w:color w:val="auto"/>
        </w:rPr>
      </w:pPr>
    </w:p>
    <w:p>
      <w:pPr>
        <w:jc w:val="both"/>
        <w:ind w:right="200"/>
        <w:spacing w:after="0" w:line="274" w:lineRule="auto"/>
        <w:rPr>
          <w:sz w:val="20"/>
          <w:szCs w:val="20"/>
          <w:color w:val="auto"/>
        </w:rPr>
      </w:pPr>
      <w:r>
        <w:rPr>
          <w:rFonts w:ascii="Arial" w:cs="Arial" w:eastAsia="Arial" w:hAnsi="Arial"/>
          <w:sz w:val="19"/>
          <w:szCs w:val="19"/>
          <w:color w:val="auto"/>
        </w:rPr>
        <w:t>The information required by Item 10 with respect to UAL's and United's executive officers has been included in Part I of this Form 10-K under the caption "Information about Our Executive Officers" and is incorporated herein by reference and made a part hereof in response to the information required by Item 10 with respect to UAL.</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Reference is made to information with respect to UAL's non-compliance with Section 16(a) of the Exchange Act, if applicable, under the subheading "Delinquent Section 16(a) Reports" under the principal heading "Securities Ownership" in the 2026 Proxy Statement, which is incorporated herein by reference and made a part hereof in response to the information required by Item 10 with respect to UAL.</w:t>
      </w:r>
    </w:p>
    <w:p>
      <w:pPr>
        <w:spacing w:after="0" w:line="125" w:lineRule="exact"/>
        <w:rPr>
          <w:sz w:val="20"/>
          <w:szCs w:val="20"/>
          <w:color w:val="auto"/>
        </w:rPr>
      </w:pPr>
    </w:p>
    <w:p>
      <w:pPr>
        <w:ind w:right="180"/>
        <w:spacing w:after="0" w:line="266" w:lineRule="auto"/>
        <w:rPr>
          <w:sz w:val="20"/>
          <w:szCs w:val="20"/>
          <w:color w:val="auto"/>
        </w:rPr>
      </w:pPr>
      <w:r>
        <w:rPr>
          <w:rFonts w:ascii="Arial" w:cs="Arial" w:eastAsia="Arial" w:hAnsi="Arial"/>
          <w:sz w:val="19"/>
          <w:szCs w:val="19"/>
          <w:b w:val="1"/>
          <w:bCs w:val="1"/>
          <w:i w:val="1"/>
          <w:iCs w:val="1"/>
          <w:color w:val="auto"/>
        </w:rPr>
        <w:t xml:space="preserve">Code of Ethics. </w:t>
      </w:r>
      <w:r>
        <w:rPr>
          <w:rFonts w:ascii="Arial" w:cs="Arial" w:eastAsia="Arial" w:hAnsi="Arial"/>
          <w:sz w:val="19"/>
          <w:szCs w:val="19"/>
          <w:color w:val="auto"/>
        </w:rPr>
        <w:t>The Company has a code of ethics, the "Code of Ethics and Business Conduct," for its directors, officers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employees. The code serves as a "Code of Ethics" as defined by SEC regulations, and as a "Code of Conduct" under Nasdaq Listing Rule 5610. The code is available on the Company's investor relations website at ir.united.com. Waivers granted to certain officers from compliance with or future amendments to the code will be disclosed on the Company's investor relations website in accordance with Item 5.05 of Form 8-K.</w:t>
      </w:r>
    </w:p>
    <w:p>
      <w:pPr>
        <w:spacing w:after="0" w:line="128"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The Company has adopted an insider trading policy that governs the purchase, sale and any other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dispositions of the Company's securities by the Company's directors, officers and employees and by UAL itself. The Company believes that this policy is reasonably designed to promote compliance with insider trading laws, rules and regulations, as well as the Nasdaq listing standards. A copy of the United Airlines Holdings, Inc. Securities Trading Policy is filed as Exhibit 19 to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Information required by this item with respect to United is omitted pursuant to General Instruction I(2)(c) of Form 10-K.</w:t>
      </w:r>
    </w:p>
    <w:p>
      <w:pPr>
        <w:spacing w:after="0" w:line="182"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b w:val="1"/>
          <w:bCs w:val="1"/>
          <w:color w:val="auto"/>
        </w:rPr>
        <w:t>ITEM 11.</w:t>
      </w:r>
      <w:r>
        <w:rPr>
          <w:sz w:val="20"/>
          <w:szCs w:val="20"/>
          <w:color w:val="auto"/>
        </w:rPr>
        <w:tab/>
      </w:r>
      <w:r>
        <w:rPr>
          <w:rFonts w:ascii="Arial" w:cs="Arial" w:eastAsia="Arial" w:hAnsi="Arial"/>
          <w:sz w:val="19"/>
          <w:szCs w:val="19"/>
          <w:b w:val="1"/>
          <w:bCs w:val="1"/>
          <w:color w:val="auto"/>
        </w:rPr>
        <w:t>EXECUTIVE COMPENSATION.</w:t>
      </w:r>
    </w:p>
    <w:p>
      <w:pPr>
        <w:spacing w:after="0" w:line="196" w:lineRule="exact"/>
        <w:rPr>
          <w:sz w:val="20"/>
          <w:szCs w:val="20"/>
          <w:color w:val="auto"/>
        </w:rPr>
      </w:pPr>
    </w:p>
    <w:p>
      <w:pPr>
        <w:ind w:right="160"/>
        <w:spacing w:after="0" w:line="274" w:lineRule="auto"/>
        <w:rPr>
          <w:sz w:val="20"/>
          <w:szCs w:val="20"/>
          <w:color w:val="auto"/>
        </w:rPr>
      </w:pPr>
      <w:r>
        <w:rPr>
          <w:rFonts w:ascii="Arial" w:cs="Arial" w:eastAsia="Arial" w:hAnsi="Arial"/>
          <w:sz w:val="19"/>
          <w:szCs w:val="19"/>
          <w:color w:val="auto"/>
        </w:rPr>
        <w:t>Reference is made to the 2026 Proxy Statement with respect to information about UAL's executive and director compensation and certain related matters, which is incorporated herein by reference and made a part hereof in response to the information required by Item 11 with respect to UAL.</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Information required by this item with respect to United is omitted pursuant to General Instruction I(2)(c) of Form 10-K.</w:t>
      </w:r>
    </w:p>
    <w:p>
      <w:pPr>
        <w:spacing w:after="0" w:line="222" w:lineRule="exact"/>
        <w:rPr>
          <w:sz w:val="20"/>
          <w:szCs w:val="20"/>
          <w:color w:val="auto"/>
        </w:rPr>
      </w:pPr>
    </w:p>
    <w:p>
      <w:pPr>
        <w:ind w:left="1400" w:right="400" w:hanging="1396"/>
        <w:spacing w:after="0" w:line="298" w:lineRule="auto"/>
        <w:tabs>
          <w:tab w:leader="none" w:pos="1380" w:val="left"/>
        </w:tabs>
        <w:rPr>
          <w:sz w:val="20"/>
          <w:szCs w:val="20"/>
          <w:color w:val="auto"/>
        </w:rPr>
      </w:pPr>
      <w:r>
        <w:rPr>
          <w:rFonts w:ascii="Arial" w:cs="Arial" w:eastAsia="Arial" w:hAnsi="Arial"/>
          <w:sz w:val="19"/>
          <w:szCs w:val="19"/>
          <w:b w:val="1"/>
          <w:bCs w:val="1"/>
          <w:color w:val="auto"/>
        </w:rPr>
        <w:t>ITEM 12.</w:t>
      </w:r>
      <w:r>
        <w:rPr>
          <w:sz w:val="20"/>
          <w:szCs w:val="20"/>
          <w:color w:val="auto"/>
        </w:rPr>
        <w:tab/>
      </w:r>
      <w:r>
        <w:rPr>
          <w:rFonts w:ascii="Arial" w:cs="Arial" w:eastAsia="Arial" w:hAnsi="Arial"/>
          <w:sz w:val="19"/>
          <w:szCs w:val="19"/>
          <w:b w:val="1"/>
          <w:bCs w:val="1"/>
          <w:color w:val="auto"/>
        </w:rPr>
        <w:t>SECURITY OWNERSHIP OF CERTAIN BENEFICIAL OWNERS AND MANAGEMENT AND RELATED STOCKHOLDER MATTERS.</w:t>
      </w:r>
    </w:p>
    <w:p>
      <w:pPr>
        <w:spacing w:after="0" w:line="27" w:lineRule="exact"/>
        <w:rPr>
          <w:sz w:val="20"/>
          <w:szCs w:val="20"/>
          <w:color w:val="auto"/>
        </w:rPr>
      </w:pPr>
    </w:p>
    <w:p>
      <w:pPr>
        <w:ind w:right="440"/>
        <w:spacing w:after="0" w:line="257" w:lineRule="auto"/>
        <w:rPr>
          <w:sz w:val="20"/>
          <w:szCs w:val="20"/>
          <w:color w:val="auto"/>
        </w:rPr>
      </w:pPr>
      <w:r>
        <w:rPr>
          <w:rFonts w:ascii="Arial" w:cs="Arial" w:eastAsia="Arial" w:hAnsi="Arial"/>
          <w:sz w:val="19"/>
          <w:szCs w:val="19"/>
          <w:color w:val="auto"/>
        </w:rPr>
        <w:t>Reference is made to the 2026 Proxy Statement with respect to the security ownership of certain beneficial owners and management and certain equity compensation plan information, which is incorporated herein by reference and made a part hereof in response to the information required by Item 12 with respect to UAL.</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Information required by this item with respect to United is omitted pursuant to General Instruction I(2)(c) of Form 10-K.</w:t>
      </w:r>
    </w:p>
    <w:p>
      <w:pPr>
        <w:sectPr>
          <w:pgSz w:w="11880" w:h="15480" w:orient="portrait"/>
          <w:cols w:equalWidth="0" w:num="1">
            <w:col w:w="9940"/>
          </w:cols>
          <w:pgMar w:left="960" w:top="579"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9940"/>
          </w:cols>
          <w:pgMar w:left="960" w:top="579" w:right="980" w:bottom="33" w:gutter="0" w:footer="0" w:header="0"/>
          <w:type w:val="continuous"/>
        </w:sectPr>
      </w:pPr>
    </w:p>
    <w:bookmarkStart w:id="98" w:name="page99"/>
    <w:bookmarkEnd w:id="98"/>
    <w:p>
      <w:pPr>
        <w:ind w:left="1400" w:right="1360" w:hanging="1396"/>
        <w:spacing w:after="0" w:line="298" w:lineRule="auto"/>
        <w:tabs>
          <w:tab w:leader="none" w:pos="1380" w:val="left"/>
        </w:tabs>
        <w:rPr>
          <w:sz w:val="20"/>
          <w:szCs w:val="20"/>
          <w:color w:val="auto"/>
        </w:rPr>
      </w:pPr>
      <w:r>
        <w:rPr>
          <w:rFonts w:ascii="Arial" w:cs="Arial" w:eastAsia="Arial" w:hAnsi="Arial"/>
          <w:sz w:val="19"/>
          <w:szCs w:val="19"/>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105" w:lineRule="exact"/>
        <w:rPr>
          <w:sz w:val="20"/>
          <w:szCs w:val="20"/>
          <w:color w:val="auto"/>
        </w:rPr>
      </w:pPr>
    </w:p>
    <w:p>
      <w:pPr>
        <w:ind w:right="140"/>
        <w:spacing w:after="0" w:line="274" w:lineRule="auto"/>
        <w:rPr>
          <w:sz w:val="20"/>
          <w:szCs w:val="20"/>
          <w:color w:val="auto"/>
        </w:rPr>
      </w:pPr>
      <w:r>
        <w:rPr>
          <w:rFonts w:ascii="Arial" w:cs="Arial" w:eastAsia="Arial" w:hAnsi="Arial"/>
          <w:sz w:val="19"/>
          <w:szCs w:val="19"/>
          <w:color w:val="auto"/>
        </w:rPr>
        <w:t>Reference is made to the 2026 Proxy Statement with respect to information about certain relationships and related transactions and director independence, which is incorporated herein by reference and made a part hereof in response to the information required by Item 13 with respect to UAL.</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Information required by this item with respect to United is omitted pursuant to General Instruction I(2)(c) of Form 10-K.</w:t>
      </w:r>
    </w:p>
    <w:p>
      <w:pPr>
        <w:spacing w:after="0" w:line="182"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b w:val="1"/>
          <w:bCs w:val="1"/>
          <w:color w:val="auto"/>
        </w:rPr>
        <w:t>ITEM 14.</w:t>
      </w:r>
      <w:r>
        <w:rPr>
          <w:sz w:val="20"/>
          <w:szCs w:val="20"/>
          <w:color w:val="auto"/>
        </w:rPr>
        <w:tab/>
      </w:r>
      <w:r>
        <w:rPr>
          <w:rFonts w:ascii="Arial" w:cs="Arial" w:eastAsia="Arial" w:hAnsi="Arial"/>
          <w:sz w:val="19"/>
          <w:szCs w:val="19"/>
          <w:b w:val="1"/>
          <w:bCs w:val="1"/>
          <w:color w:val="auto"/>
        </w:rPr>
        <w:t>PRINCIPAL ACCOUNTANT FEES AND SERVICES.</w:t>
      </w:r>
    </w:p>
    <w:p>
      <w:pPr>
        <w:spacing w:after="0" w:line="196" w:lineRule="exact"/>
        <w:rPr>
          <w:sz w:val="20"/>
          <w:szCs w:val="20"/>
          <w:color w:val="auto"/>
        </w:rPr>
      </w:pPr>
    </w:p>
    <w:p>
      <w:pPr>
        <w:ind w:right="220"/>
        <w:spacing w:after="0" w:line="268" w:lineRule="auto"/>
        <w:rPr>
          <w:sz w:val="20"/>
          <w:szCs w:val="20"/>
          <w:color w:val="auto"/>
        </w:rPr>
      </w:pPr>
      <w:r>
        <w:rPr>
          <w:rFonts w:ascii="Arial" w:cs="Arial" w:eastAsia="Arial" w:hAnsi="Arial"/>
          <w:sz w:val="19"/>
          <w:szCs w:val="19"/>
          <w:color w:val="auto"/>
        </w:rPr>
        <w:t>The Audit Committee has adopted a policy on pre-approval of services of the Company's independent registered public accounting firm. As a wholly-owned subsidiary of UAL, United's audit services are determined by UAL. The policy provides that the Audit Committee shall pre-approve all audit and non-audit services to be provided to UAL and its subsidiaries and affiliates by its independent auditors. The process by which this is carried out is as follows:</w:t>
      </w:r>
    </w:p>
    <w:p>
      <w:pPr>
        <w:spacing w:after="0" w:line="130"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For recurring services, the Audit Committee reviews and pre-approves the independent registered public accounting firm's annual audit services in conjunction with the annual appointment of the outside auditors. The reviewed materials include a description of the services along with related fees. The Audit Committee also reviews and pre-approves other classes of recurring services along with fee thresholds for pre-approved services. In the event that the additional services are required prior to the next scheduled Audit Committee meeting, pre-approvals of additional services follow the process described below.</w:t>
      </w:r>
    </w:p>
    <w:p>
      <w:pPr>
        <w:spacing w:after="0" w:line="105" w:lineRule="exact"/>
        <w:rPr>
          <w:sz w:val="20"/>
          <w:szCs w:val="20"/>
          <w:color w:val="auto"/>
        </w:rPr>
      </w:pPr>
    </w:p>
    <w:p>
      <w:pPr>
        <w:ind w:right="240"/>
        <w:spacing w:after="0" w:line="303" w:lineRule="auto"/>
        <w:rPr>
          <w:sz w:val="20"/>
          <w:szCs w:val="20"/>
          <w:color w:val="auto"/>
        </w:rPr>
      </w:pPr>
      <w:r>
        <w:rPr>
          <w:rFonts w:ascii="Arial" w:cs="Arial" w:eastAsia="Arial" w:hAnsi="Arial"/>
          <w:sz w:val="17"/>
          <w:szCs w:val="17"/>
          <w:color w:val="auto"/>
        </w:rPr>
        <w:t>Any requests for audit and tax services not contemplated with the recurring services approval described above must be submitted to the Audit Committee for specific pre-approval and services cannot commence until such approval has been granted. Normally, pre-approval is provided at regularly scheduled meetings. However, the authority to grant specific preapproval between meetings, as necessary, has been delegated to the Chair of the Audit Committee. The Chair must update the Audit Committee at the next regularly scheduled meeting of any services that were granted specific pre-approval.</w:t>
      </w:r>
    </w:p>
    <w:p>
      <w:pPr>
        <w:spacing w:after="0" w:line="105"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color w:val="auto"/>
        </w:rPr>
        <w:t>On a periodic basis, the Audit Committee reviews the status of services and fees incurred year-to-date and a list of newly pre-approved services since its last regularly scheduled meeting. The Audit Committee has considered whether the 2025 and 2024 non-audit services provided by Ernst &amp; Young LLP, the Company's independent registered public accounting firm, are compatible with maintaining auditor independence and concluded that such services were compatible with maintaining Ernst &amp; Young LLP's independence.</w:t>
      </w:r>
    </w:p>
    <w:p>
      <w:pPr>
        <w:spacing w:after="0" w:line="133" w:lineRule="exact"/>
        <w:rPr>
          <w:sz w:val="20"/>
          <w:szCs w:val="20"/>
          <w:color w:val="auto"/>
        </w:rPr>
      </w:pPr>
    </w:p>
    <w:p>
      <w:pPr>
        <w:ind w:right="420"/>
        <w:spacing w:after="0" w:line="294" w:lineRule="auto"/>
        <w:rPr>
          <w:sz w:val="20"/>
          <w:szCs w:val="20"/>
          <w:color w:val="auto"/>
        </w:rPr>
      </w:pPr>
      <w:r>
        <w:rPr>
          <w:rFonts w:ascii="Arial" w:cs="Arial" w:eastAsia="Arial" w:hAnsi="Arial"/>
          <w:sz w:val="19"/>
          <w:szCs w:val="19"/>
          <w:color w:val="auto"/>
        </w:rPr>
        <w:t>All of the services in 2025 and 2024 under the Audit Fees and Tax Fees categories below have been approved by the Audit Committee pursuant to paragraph (c)(7) of Rule 2-01 of Regulation S-X of the Exchange Act.</w:t>
      </w:r>
    </w:p>
    <w:p>
      <w:pPr>
        <w:spacing w:after="0" w:line="105" w:lineRule="exact"/>
        <w:rPr>
          <w:sz w:val="20"/>
          <w:szCs w:val="20"/>
          <w:color w:val="auto"/>
        </w:rPr>
      </w:pPr>
    </w:p>
    <w:p>
      <w:pPr>
        <w:ind w:right="320"/>
        <w:spacing w:after="0" w:line="294" w:lineRule="auto"/>
        <w:rPr>
          <w:sz w:val="20"/>
          <w:szCs w:val="20"/>
          <w:color w:val="auto"/>
        </w:rPr>
      </w:pPr>
      <w:r>
        <w:rPr>
          <w:rFonts w:ascii="Arial" w:cs="Arial" w:eastAsia="Arial" w:hAnsi="Arial"/>
          <w:sz w:val="19"/>
          <w:szCs w:val="19"/>
          <w:color w:val="auto"/>
        </w:rPr>
        <w:t>The aggregate fees billed for professional services rendered by the Company's independent auditors in 2025 and 2024 are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4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Service</w:t>
            </w:r>
          </w:p>
        </w:tc>
        <w:tc>
          <w:tcPr>
            <w:tcW w:w="300" w:type="dxa"/>
            <w:vAlign w:val="bottom"/>
            <w:tcBorders>
              <w:bottom w:val="single" w:sz="8" w:color="E6E6E6"/>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03"/>
              <w:spacing w:after="0"/>
              <w:rPr>
                <w:sz w:val="20"/>
                <w:szCs w:val="20"/>
                <w:color w:val="auto"/>
              </w:rPr>
            </w:pPr>
            <w:r>
              <w:rPr>
                <w:rFonts w:ascii="Arial" w:cs="Arial" w:eastAsia="Arial" w:hAnsi="Arial"/>
                <w:sz w:val="19"/>
                <w:szCs w:val="19"/>
                <w:b w:val="1"/>
                <w:bCs w:val="1"/>
                <w:color w:val="auto"/>
              </w:rPr>
              <w:t>2025</w:t>
            </w:r>
          </w:p>
        </w:tc>
        <w:tc>
          <w:tcPr>
            <w:tcW w:w="220" w:type="dxa"/>
            <w:vAlign w:val="bottom"/>
            <w:tcBorders>
              <w:bottom w:val="single" w:sz="8" w:color="E6E6E6"/>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03"/>
              <w:spacing w:after="0"/>
              <w:rPr>
                <w:sz w:val="20"/>
                <w:szCs w:val="20"/>
                <w:color w:val="auto"/>
              </w:rPr>
            </w:pPr>
            <w:r>
              <w:rPr>
                <w:rFonts w:ascii="Arial" w:cs="Arial" w:eastAsia="Arial" w:hAnsi="Arial"/>
                <w:sz w:val="19"/>
                <w:szCs w:val="19"/>
                <w:b w:val="1"/>
                <w:bCs w:val="1"/>
                <w:color w:val="auto"/>
              </w:rPr>
              <w:t>2024</w:t>
            </w:r>
          </w:p>
        </w:tc>
      </w:tr>
      <w:tr>
        <w:trPr>
          <w:trHeight w:val="296"/>
        </w:trPr>
        <w:tc>
          <w:tcPr>
            <w:tcW w:w="5480" w:type="dxa"/>
            <w:vAlign w:val="bottom"/>
            <w:shd w:val="clear" w:color="auto" w:fill="E6E6E6"/>
          </w:tcPr>
          <w:p>
            <w:pPr>
              <w:ind w:left="60"/>
              <w:spacing w:after="0"/>
              <w:rPr>
                <w:sz w:val="20"/>
                <w:szCs w:val="20"/>
                <w:color w:val="auto"/>
              </w:rPr>
            </w:pPr>
            <w:r>
              <w:rPr>
                <w:rFonts w:ascii="Arial" w:cs="Arial" w:eastAsia="Arial" w:hAnsi="Arial"/>
                <w:sz w:val="19"/>
                <w:szCs w:val="19"/>
                <w:color w:val="auto"/>
              </w:rPr>
              <w:t>Audit Fees</w:t>
            </w:r>
          </w:p>
        </w:tc>
        <w:tc>
          <w:tcPr>
            <w:tcW w:w="780" w:type="dxa"/>
            <w:vAlign w:val="bottom"/>
            <w:gridSpan w:val="2"/>
            <w:shd w:val="clear" w:color="auto" w:fill="E6E6E6"/>
          </w:tcPr>
          <w:p>
            <w:pPr>
              <w:jc w:val="right"/>
              <w:ind w:right="243"/>
              <w:spacing w:after="0"/>
              <w:rPr>
                <w:sz w:val="20"/>
                <w:szCs w:val="20"/>
                <w:color w:val="auto"/>
              </w:rPr>
            </w:pPr>
            <w:r>
              <w:rPr>
                <w:rFonts w:ascii="Arial" w:cs="Arial" w:eastAsia="Arial" w:hAnsi="Arial"/>
                <w:sz w:val="19"/>
                <w:szCs w:val="19"/>
                <w:color w:val="auto"/>
              </w:rPr>
              <w:t>$</w:t>
            </w:r>
          </w:p>
        </w:tc>
        <w:tc>
          <w:tcPr>
            <w:tcW w:w="15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5,478</w:t>
            </w:r>
          </w:p>
        </w:tc>
        <w:tc>
          <w:tcPr>
            <w:tcW w:w="680" w:type="dxa"/>
            <w:vAlign w:val="bottom"/>
            <w:gridSpan w:val="2"/>
            <w:shd w:val="clear" w:color="auto" w:fill="E6E6E6"/>
          </w:tcPr>
          <w:p>
            <w:pPr>
              <w:jc w:val="right"/>
              <w:ind w:right="223"/>
              <w:spacing w:after="0"/>
              <w:rPr>
                <w:sz w:val="20"/>
                <w:szCs w:val="20"/>
                <w:color w:val="auto"/>
              </w:rPr>
            </w:pPr>
            <w:r>
              <w:rPr>
                <w:rFonts w:ascii="Arial" w:cs="Arial" w:eastAsia="Arial" w:hAnsi="Arial"/>
                <w:sz w:val="19"/>
                <w:szCs w:val="19"/>
                <w:color w:val="auto"/>
              </w:rPr>
              <w:t>$</w:t>
            </w:r>
          </w:p>
        </w:tc>
        <w:tc>
          <w:tcPr>
            <w:tcW w:w="15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4,768</w:t>
            </w:r>
          </w:p>
        </w:tc>
      </w:tr>
      <w:tr>
        <w:trPr>
          <w:trHeight w:val="295"/>
        </w:trPr>
        <w:tc>
          <w:tcPr>
            <w:tcW w:w="5480" w:type="dxa"/>
            <w:vAlign w:val="bottom"/>
            <w:tcBorders>
              <w:bottom w:val="single" w:sz="8" w:color="E6E6E6"/>
            </w:tcBorders>
          </w:tcPr>
          <w:p>
            <w:pPr>
              <w:ind w:left="60"/>
              <w:spacing w:after="0"/>
              <w:rPr>
                <w:sz w:val="20"/>
                <w:szCs w:val="20"/>
                <w:color w:val="auto"/>
              </w:rPr>
            </w:pPr>
            <w:r>
              <w:rPr>
                <w:rFonts w:ascii="Arial" w:cs="Arial" w:eastAsia="Arial" w:hAnsi="Arial"/>
                <w:sz w:val="19"/>
                <w:szCs w:val="19"/>
                <w:color w:val="auto"/>
              </w:rPr>
              <w:t>Tax Fees</w:t>
            </w:r>
          </w:p>
        </w:tc>
        <w:tc>
          <w:tcPr>
            <w:tcW w:w="300" w:type="dxa"/>
            <w:vAlign w:val="bottom"/>
            <w:tcBorders>
              <w:bottom w:val="single" w:sz="8" w:color="E6E6E6"/>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220" w:type="dxa"/>
            <w:vAlign w:val="bottom"/>
            <w:tcBorders>
              <w:bottom w:val="single" w:sz="8" w:color="E6E6E6"/>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w:t>
            </w:r>
          </w:p>
        </w:tc>
      </w:tr>
      <w:tr>
        <w:trPr>
          <w:trHeight w:val="305"/>
        </w:trPr>
        <w:tc>
          <w:tcPr>
            <w:tcW w:w="54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Total Fees</w:t>
            </w:r>
          </w:p>
        </w:tc>
        <w:tc>
          <w:tcPr>
            <w:tcW w:w="30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jc w:val="right"/>
              <w:ind w:right="243"/>
              <w:spacing w:after="0"/>
              <w:rPr>
                <w:sz w:val="20"/>
                <w:szCs w:val="20"/>
                <w:color w:val="auto"/>
              </w:rPr>
            </w:pPr>
            <w:r>
              <w:rPr>
                <w:rFonts w:ascii="Arial" w:cs="Arial" w:eastAsia="Arial" w:hAnsi="Arial"/>
                <w:sz w:val="19"/>
                <w:szCs w:val="19"/>
                <w:color w:val="auto"/>
              </w:rPr>
              <w:t>$</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5,488</w:t>
            </w:r>
          </w:p>
        </w:tc>
        <w:tc>
          <w:tcPr>
            <w:tcW w:w="22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jc w:val="right"/>
              <w:ind w:right="223"/>
              <w:spacing w:after="0"/>
              <w:rPr>
                <w:sz w:val="20"/>
                <w:szCs w:val="20"/>
                <w:color w:val="auto"/>
              </w:rPr>
            </w:pPr>
            <w:r>
              <w:rPr>
                <w:rFonts w:ascii="Arial" w:cs="Arial" w:eastAsia="Arial" w:hAnsi="Arial"/>
                <w:sz w:val="19"/>
                <w:szCs w:val="19"/>
                <w:color w:val="auto"/>
              </w:rPr>
              <w:t>$</w:t>
            </w:r>
          </w:p>
        </w:tc>
        <w:tc>
          <w:tcPr>
            <w:tcW w:w="1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4,810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-612775</wp:posOffset>
            </wp:positionV>
            <wp:extent cx="634619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48">
                      <a:extLst>
                        <a:ext uri="{28A0092B-C50C-407E-A947-70E740481C1C}"/>
                      </a:extLst>
                    </a:blip>
                    <a:srcRect/>
                    <a:stretch>
                      <a:fillRect/>
                    </a:stretch>
                  </pic:blipFill>
                  <pic:spPr bwMode="auto">
                    <a:xfrm>
                      <a:off x="0" y="0"/>
                      <a:ext cx="6346190" cy="2540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-224790</wp:posOffset>
            </wp:positionV>
            <wp:extent cx="267779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49">
                      <a:extLst>
                        <a:ext uri="{28A0092B-C50C-407E-A947-70E740481C1C}"/>
                      </a:extLst>
                    </a:blip>
                    <a:srcRect/>
                    <a:stretch>
                      <a:fillRect/>
                    </a:stretch>
                  </pic:blipFill>
                  <pic:spPr bwMode="auto">
                    <a:xfrm>
                      <a:off x="0" y="0"/>
                      <a:ext cx="2677795" cy="2540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-43180</wp:posOffset>
            </wp:positionV>
            <wp:extent cx="2677795" cy="501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50">
                      <a:extLst>
                        <a:ext uri="{28A0092B-C50C-407E-A947-70E740481C1C}"/>
                      </a:extLst>
                    </a:blip>
                    <a:srcRect/>
                    <a:stretch>
                      <a:fillRect/>
                    </a:stretch>
                  </pic:blipFill>
                  <pic:spPr bwMode="auto">
                    <a:xfrm>
                      <a:off x="0" y="0"/>
                      <a:ext cx="2677795" cy="50165"/>
                    </a:xfrm>
                    <a:prstGeom prst="rect">
                      <a:avLst/>
                    </a:prstGeom>
                    <a:noFill/>
                  </pic:spPr>
                </pic:pic>
              </a:graphicData>
            </a:graphic>
          </wp:anchor>
        </w:drawing>
      </w:r>
    </w:p>
    <w:p>
      <w:pPr>
        <w:spacing w:after="0" w:line="157" w:lineRule="exact"/>
        <w:rPr>
          <w:sz w:val="20"/>
          <w:szCs w:val="20"/>
          <w:color w:val="auto"/>
        </w:rPr>
      </w:pPr>
    </w:p>
    <w:p>
      <w:pPr>
        <w:ind w:right="180"/>
        <w:spacing w:after="0" w:line="264" w:lineRule="auto"/>
        <w:rPr>
          <w:sz w:val="20"/>
          <w:szCs w:val="20"/>
          <w:color w:val="auto"/>
        </w:rPr>
      </w:pPr>
      <w:r>
        <w:rPr>
          <w:rFonts w:ascii="Arial" w:cs="Arial" w:eastAsia="Arial" w:hAnsi="Arial"/>
          <w:sz w:val="19"/>
          <w:szCs w:val="19"/>
          <w:b w:val="1"/>
          <w:bCs w:val="1"/>
          <w:i w:val="1"/>
          <w:iCs w:val="1"/>
          <w:color w:val="auto"/>
        </w:rPr>
        <w:t xml:space="preserve">Audit Fees. </w:t>
      </w:r>
      <w:r>
        <w:rPr>
          <w:rFonts w:ascii="Arial" w:cs="Arial" w:eastAsia="Arial" w:hAnsi="Arial"/>
          <w:sz w:val="19"/>
          <w:szCs w:val="19"/>
          <w:color w:val="auto"/>
        </w:rPr>
        <w:t>For 2025 and 2024, audit fees consist primarily of the audit and quarterly reviews of the consolidated financial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statements and the audit of the effectiveness of internal control over financial reporting of the Company and its wholly-owned subsidiaries. Audit fees also include the audit of the consolidated financial statements of United Airlines, attestation services required by statute or regulation, comfort letters, consents, assistance with and review of documents filed with the SEC, and accounting and financial reporting consultations and research work necessary to comply with generally accepted auditing standards.</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b w:val="1"/>
          <w:bCs w:val="1"/>
          <w:i w:val="1"/>
          <w:iCs w:val="1"/>
          <w:color w:val="auto"/>
        </w:rPr>
        <w:t xml:space="preserve">Tax Fees. </w:t>
      </w:r>
      <w:r>
        <w:rPr>
          <w:rFonts w:ascii="Arial" w:cs="Arial" w:eastAsia="Arial" w:hAnsi="Arial"/>
          <w:sz w:val="19"/>
          <w:szCs w:val="19"/>
          <w:color w:val="auto"/>
        </w:rPr>
        <w:t>Tax fees for 2025 and 2024 relate to professional services provided for research and consultations regarding tax</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accounting and tax compliance matters and review of U.S. and international tax impacts of certain transactions, exclusive of tax services rendered in connection with the audit.</w:t>
      </w:r>
    </w:p>
    <w:p>
      <w:pPr>
        <w:sectPr>
          <w:pgSz w:w="11880" w:h="15480" w:orient="portrait"/>
          <w:cols w:equalWidth="0" w:num="1">
            <w:col w:w="9960"/>
          </w:cols>
          <w:pgMar w:left="960" w:top="579" w:right="9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9960"/>
          </w:cols>
          <w:pgMar w:left="960" w:top="579" w:right="960" w:bottom="33" w:gutter="0" w:footer="0" w:header="0"/>
          <w:type w:val="continuous"/>
        </w:sectPr>
      </w:pPr>
    </w:p>
    <w:bookmarkStart w:id="99" w:name="page100"/>
    <w:bookmarkEnd w:id="99"/>
    <w:p>
      <w:pPr>
        <w:ind w:left="4580"/>
        <w:spacing w:after="0"/>
        <w:rPr>
          <w:sz w:val="20"/>
          <w:szCs w:val="20"/>
          <w:color w:val="auto"/>
        </w:rPr>
      </w:pPr>
      <w:r>
        <w:rPr>
          <w:rFonts w:ascii="Arial" w:cs="Arial" w:eastAsia="Arial" w:hAnsi="Arial"/>
          <w:sz w:val="19"/>
          <w:szCs w:val="19"/>
          <w:b w:val="1"/>
          <w:bCs w:val="1"/>
          <w:color w:val="auto"/>
        </w:rPr>
        <w:t>PART IV</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15. EXHIBITS AND FINANCIAL STATEMENT SCHEDULES.</w:t>
      </w:r>
    </w:p>
    <w:p>
      <w:pPr>
        <w:spacing w:after="0" w:line="306" w:lineRule="exact"/>
        <w:rPr>
          <w:sz w:val="20"/>
          <w:szCs w:val="20"/>
          <w:color w:val="auto"/>
        </w:rPr>
      </w:pPr>
    </w:p>
    <w:p>
      <w:pPr>
        <w:ind w:left="900" w:hanging="846"/>
        <w:spacing w:after="0"/>
        <w:tabs>
          <w:tab w:leader="none" w:pos="9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List of documents filed as part of this report:</w:t>
      </w:r>
    </w:p>
    <w:p>
      <w:pPr>
        <w:spacing w:after="0" w:line="253" w:lineRule="exact"/>
        <w:rPr>
          <w:rFonts w:ascii="Arial" w:cs="Arial" w:eastAsia="Arial" w:hAnsi="Arial"/>
          <w:sz w:val="19"/>
          <w:szCs w:val="19"/>
          <w:color w:val="auto"/>
        </w:rPr>
      </w:pPr>
    </w:p>
    <w:p>
      <w:pPr>
        <w:ind w:left="900" w:right="500" w:hanging="628"/>
        <w:spacing w:after="0" w:line="254" w:lineRule="auto"/>
        <w:tabs>
          <w:tab w:leader="none" w:pos="900" w:val="left"/>
        </w:tabs>
        <w:numPr>
          <w:ilvl w:val="1"/>
          <w:numId w:val="37"/>
        </w:numPr>
        <w:rPr>
          <w:rFonts w:ascii="Arial" w:cs="Arial" w:eastAsia="Arial" w:hAnsi="Arial"/>
          <w:sz w:val="19"/>
          <w:szCs w:val="19"/>
          <w:color w:val="auto"/>
        </w:rPr>
      </w:pPr>
      <w:r>
        <w:rPr>
          <w:rFonts w:ascii="Arial" w:cs="Arial" w:eastAsia="Arial" w:hAnsi="Arial"/>
          <w:sz w:val="19"/>
          <w:szCs w:val="19"/>
          <w:b w:val="1"/>
          <w:bCs w:val="1"/>
          <w:i w:val="1"/>
          <w:iCs w:val="1"/>
          <w:color w:val="auto"/>
        </w:rPr>
        <w:t>Financial Statements</w:t>
      </w:r>
      <w:r>
        <w:rPr>
          <w:rFonts w:ascii="Arial" w:cs="Arial" w:eastAsia="Arial" w:hAnsi="Arial"/>
          <w:sz w:val="19"/>
          <w:szCs w:val="19"/>
          <w:color w:val="auto"/>
        </w:rPr>
        <w:t>. The financial statements required by this item are listed in Part II, Item 8,</w:t>
      </w:r>
      <w:r>
        <w:rPr>
          <w:rFonts w:ascii="Arial" w:cs="Arial" w:eastAsia="Arial" w:hAnsi="Arial"/>
          <w:sz w:val="19"/>
          <w:szCs w:val="19"/>
          <w:b w:val="1"/>
          <w:bCs w:val="1"/>
          <w:i w:val="1"/>
          <w:iCs w:val="1"/>
          <w:color w:val="auto"/>
        </w:rPr>
        <w:t xml:space="preserve"> Financial Statements and Supplementary Data </w:t>
      </w:r>
      <w:r>
        <w:rPr>
          <w:rFonts w:ascii="Arial" w:cs="Arial" w:eastAsia="Arial" w:hAnsi="Arial"/>
          <w:sz w:val="19"/>
          <w:szCs w:val="19"/>
          <w:color w:val="auto"/>
        </w:rPr>
        <w:t>herein.</w:t>
      </w:r>
    </w:p>
    <w:p>
      <w:pPr>
        <w:spacing w:after="0" w:line="178" w:lineRule="exact"/>
        <w:rPr>
          <w:rFonts w:ascii="Arial" w:cs="Arial" w:eastAsia="Arial" w:hAnsi="Arial"/>
          <w:sz w:val="19"/>
          <w:szCs w:val="19"/>
          <w:color w:val="auto"/>
        </w:rPr>
      </w:pPr>
    </w:p>
    <w:p>
      <w:pPr>
        <w:ind w:left="900" w:right="20" w:hanging="628"/>
        <w:spacing w:after="0" w:line="312" w:lineRule="auto"/>
        <w:tabs>
          <w:tab w:leader="none" w:pos="900" w:val="left"/>
        </w:tabs>
        <w:numPr>
          <w:ilvl w:val="1"/>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Statement Schedules. </w:t>
      </w:r>
      <w:r>
        <w:rPr>
          <w:rFonts w:ascii="Arial" w:cs="Arial" w:eastAsia="Arial" w:hAnsi="Arial"/>
          <w:sz w:val="17"/>
          <w:szCs w:val="17"/>
          <w:color w:val="auto"/>
        </w:rPr>
        <w:t>Financial statement schedules are not included herein as they are not applicable,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required or the required information is shown in the consolidated financial statements or notes thereto.</w:t>
      </w:r>
    </w:p>
    <w:p>
      <w:pPr>
        <w:spacing w:after="0" w:line="180" w:lineRule="exact"/>
        <w:rPr>
          <w:rFonts w:ascii="Arial" w:cs="Arial" w:eastAsia="Arial" w:hAnsi="Arial"/>
          <w:sz w:val="17"/>
          <w:szCs w:val="17"/>
          <w:color w:val="auto"/>
        </w:rPr>
      </w:pPr>
    </w:p>
    <w:p>
      <w:pPr>
        <w:ind w:left="900" w:hanging="846"/>
        <w:spacing w:after="0"/>
        <w:tabs>
          <w:tab w:leader="none" w:pos="900" w:val="left"/>
        </w:tabs>
        <w:numPr>
          <w:ilvl w:val="0"/>
          <w:numId w:val="3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Exhibits. </w:t>
      </w:r>
      <w:r>
        <w:rPr>
          <w:rFonts w:ascii="Arial" w:cs="Arial" w:eastAsia="Arial" w:hAnsi="Arial"/>
          <w:sz w:val="19"/>
          <w:szCs w:val="19"/>
          <w:color w:val="auto"/>
        </w:rPr>
        <w:t>The exhibits required by this item are provided in the Exhibit Index.</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16. FORM 10-K SUMMARY.</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0" w:lineRule="exact"/>
        <w:rPr>
          <w:sz w:val="20"/>
          <w:szCs w:val="20"/>
          <w:color w:val="auto"/>
        </w:rPr>
      </w:pP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40" w:type="dxa"/>
            <w:vAlign w:val="bottom"/>
            <w:gridSpan w:val="22"/>
          </w:tcPr>
          <w:p>
            <w:pPr>
              <w:ind w:left="2080"/>
              <w:spacing w:after="0"/>
              <w:rPr>
                <w:sz w:val="20"/>
                <w:szCs w:val="20"/>
                <w:color w:val="auto"/>
              </w:rPr>
            </w:pPr>
            <w:r>
              <w:rPr>
                <w:rFonts w:ascii="Arial" w:cs="Arial" w:eastAsia="Arial" w:hAnsi="Arial"/>
                <w:sz w:val="19"/>
                <w:szCs w:val="19"/>
                <w:b w:val="1"/>
                <w:bCs w:val="1"/>
                <w:color w:val="auto"/>
              </w:rPr>
              <w:t>EXHIBIT INDEX</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47"/>
        </w:trPr>
        <w:tc>
          <w:tcPr>
            <w:tcW w:w="1940" w:type="dxa"/>
            <w:vAlign w:val="bottom"/>
            <w:gridSpan w:val="3"/>
          </w:tcPr>
          <w:p>
            <w:pPr>
              <w:spacing w:after="0"/>
              <w:rPr>
                <w:sz w:val="20"/>
                <w:szCs w:val="20"/>
                <w:color w:val="auto"/>
              </w:rPr>
            </w:pPr>
            <w:r>
              <w:rPr>
                <w:rFonts w:ascii="Arial" w:cs="Arial" w:eastAsia="Arial" w:hAnsi="Arial"/>
                <w:sz w:val="19"/>
                <w:szCs w:val="19"/>
                <w:b w:val="1"/>
                <w:bCs w:val="1"/>
                <w:color w:val="auto"/>
                <w:w w:val="96"/>
              </w:rPr>
              <w:t>Exhibit No. Registrant</w:t>
            </w: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360" w:type="dxa"/>
            <w:vAlign w:val="bottom"/>
            <w:gridSpan w:val="21"/>
          </w:tcPr>
          <w:p>
            <w:pPr>
              <w:ind w:left="380"/>
              <w:spacing w:after="0"/>
              <w:rPr>
                <w:sz w:val="20"/>
                <w:szCs w:val="20"/>
                <w:color w:val="auto"/>
              </w:rPr>
            </w:pPr>
            <w:r>
              <w:rPr>
                <w:rFonts w:ascii="Arial" w:cs="Arial" w:eastAsia="Arial" w:hAnsi="Arial"/>
                <w:sz w:val="19"/>
                <w:szCs w:val="19"/>
                <w:b w:val="1"/>
                <w:bCs w:val="1"/>
                <w:color w:val="auto"/>
              </w:rPr>
              <w:t>Exhibit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3"/>
        </w:trPr>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92"/>
              </w:rPr>
              <w:t>Articles of Incorporation and Bylaws</w:t>
            </w:r>
          </w:p>
        </w:tc>
        <w:tc>
          <w:tcPr>
            <w:tcW w:w="3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36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6"/>
        </w:trPr>
        <w:tc>
          <w:tcPr>
            <w:tcW w:w="940" w:type="dxa"/>
            <w:vAlign w:val="bottom"/>
          </w:tcPr>
          <w:p>
            <w:pPr>
              <w:spacing w:after="0"/>
              <w:rPr>
                <w:sz w:val="20"/>
                <w:szCs w:val="20"/>
                <w:color w:val="auto"/>
              </w:rPr>
            </w:pPr>
            <w:r>
              <w:rPr>
                <w:rFonts w:ascii="Arial" w:cs="Arial" w:eastAsia="Arial" w:hAnsi="Arial"/>
                <w:sz w:val="19"/>
                <w:szCs w:val="19"/>
                <w:color w:val="auto"/>
              </w:rPr>
              <w:t>3.1</w:t>
            </w:r>
          </w:p>
        </w:tc>
        <w:tc>
          <w:tcPr>
            <w:tcW w:w="1000" w:type="dxa"/>
            <w:vAlign w:val="bottom"/>
            <w:gridSpan w:val="2"/>
          </w:tcPr>
          <w:p>
            <w:pPr>
              <w:ind w:left="140"/>
              <w:spacing w:after="0"/>
              <w:rPr>
                <w:sz w:val="20"/>
                <w:szCs w:val="20"/>
                <w:color w:val="auto"/>
              </w:rPr>
            </w:pPr>
            <w:r>
              <w:rPr>
                <w:rFonts w:ascii="Arial" w:cs="Arial" w:eastAsia="Arial" w:hAnsi="Arial"/>
                <w:sz w:val="19"/>
                <w:szCs w:val="19"/>
                <w:color w:val="auto"/>
              </w:rPr>
              <w:t>UAL</w:t>
            </w:r>
          </w:p>
        </w:tc>
        <w:tc>
          <w:tcPr>
            <w:tcW w:w="140" w:type="dxa"/>
            <w:vAlign w:val="bottom"/>
          </w:tcPr>
          <w:p>
            <w:pPr>
              <w:spacing w:after="0"/>
              <w:rPr>
                <w:sz w:val="24"/>
                <w:szCs w:val="24"/>
                <w:color w:val="auto"/>
              </w:rPr>
            </w:pPr>
          </w:p>
        </w:tc>
        <w:tc>
          <w:tcPr>
            <w:tcW w:w="7440" w:type="dxa"/>
            <w:vAlign w:val="bottom"/>
            <w:gridSpan w:val="22"/>
          </w:tcPr>
          <w:p>
            <w:pPr>
              <w:spacing w:after="0"/>
              <w:rPr>
                <w:sz w:val="20"/>
                <w:szCs w:val="20"/>
                <w:color w:val="auto"/>
              </w:rPr>
            </w:pPr>
            <w:r>
              <w:rPr>
                <w:rFonts w:ascii="Arial" w:cs="Arial" w:eastAsia="Arial" w:hAnsi="Arial"/>
                <w:sz w:val="19"/>
                <w:szCs w:val="19"/>
                <w:color w:val="auto"/>
                <w:w w:val="96"/>
              </w:rPr>
              <w:t>Amended and Restated Certificate of Incorporation of United Airlines Holdings, Inc. (filed as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320" w:type="dxa"/>
            <w:vAlign w:val="bottom"/>
            <w:tcBorders>
              <w:top w:val="single" w:sz="8" w:color="auto"/>
            </w:tcBorders>
            <w:gridSpan w:val="16"/>
          </w:tcPr>
          <w:p>
            <w:pPr>
              <w:spacing w:after="0" w:line="174" w:lineRule="exact"/>
              <w:rPr>
                <w:sz w:val="20"/>
                <w:szCs w:val="20"/>
                <w:color w:val="auto"/>
              </w:rPr>
            </w:pPr>
            <w:r>
              <w:rPr>
                <w:rFonts w:ascii="Arial" w:cs="Arial" w:eastAsia="Arial" w:hAnsi="Arial"/>
                <w:sz w:val="19"/>
                <w:szCs w:val="19"/>
                <w:color w:val="auto"/>
                <w:w w:val="98"/>
              </w:rPr>
              <w:t>Exhibit 3.1 to UAL's Form 8-K filed June 27, 2019 and incorporated herein by reference)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4"/>
        </w:trPr>
        <w:tc>
          <w:tcPr>
            <w:tcW w:w="940" w:type="dxa"/>
            <w:vAlign w:val="bottom"/>
          </w:tcPr>
          <w:p>
            <w:pPr>
              <w:spacing w:after="0"/>
              <w:rPr>
                <w:sz w:val="20"/>
                <w:szCs w:val="20"/>
                <w:color w:val="auto"/>
              </w:rPr>
            </w:pPr>
            <w:r>
              <w:rPr>
                <w:rFonts w:ascii="Arial" w:cs="Arial" w:eastAsia="Arial" w:hAnsi="Arial"/>
                <w:sz w:val="19"/>
                <w:szCs w:val="19"/>
                <w:color w:val="auto"/>
              </w:rPr>
              <w:t>3.2</w:t>
            </w:r>
          </w:p>
        </w:tc>
        <w:tc>
          <w:tcPr>
            <w:tcW w:w="1000" w:type="dxa"/>
            <w:vAlign w:val="bottom"/>
            <w:gridSpan w:val="2"/>
          </w:tcPr>
          <w:p>
            <w:pPr>
              <w:ind w:left="140"/>
              <w:spacing w:after="0"/>
              <w:rPr>
                <w:sz w:val="20"/>
                <w:szCs w:val="20"/>
                <w:color w:val="auto"/>
              </w:rPr>
            </w:pPr>
            <w:r>
              <w:rPr>
                <w:rFonts w:ascii="Arial" w:cs="Arial" w:eastAsia="Arial" w:hAnsi="Arial"/>
                <w:sz w:val="19"/>
                <w:szCs w:val="19"/>
                <w:color w:val="auto"/>
              </w:rPr>
              <w:t>UAL</w:t>
            </w:r>
          </w:p>
        </w:tc>
        <w:tc>
          <w:tcPr>
            <w:tcW w:w="140" w:type="dxa"/>
            <w:vAlign w:val="bottom"/>
          </w:tcPr>
          <w:p>
            <w:pPr>
              <w:spacing w:after="0"/>
              <w:rPr>
                <w:sz w:val="24"/>
                <w:szCs w:val="24"/>
                <w:color w:val="auto"/>
              </w:rPr>
            </w:pPr>
          </w:p>
        </w:tc>
        <w:tc>
          <w:tcPr>
            <w:tcW w:w="7440" w:type="dxa"/>
            <w:vAlign w:val="bottom"/>
            <w:tcBorders>
              <w:bottom w:val="single" w:sz="8" w:color="auto"/>
            </w:tcBorders>
            <w:gridSpan w:val="22"/>
          </w:tcPr>
          <w:p>
            <w:pPr>
              <w:spacing w:after="0"/>
              <w:rPr>
                <w:sz w:val="20"/>
                <w:szCs w:val="20"/>
                <w:color w:val="auto"/>
              </w:rPr>
            </w:pPr>
            <w:r>
              <w:rPr>
                <w:rFonts w:ascii="Arial" w:cs="Arial" w:eastAsia="Arial" w:hAnsi="Arial"/>
                <w:sz w:val="19"/>
                <w:szCs w:val="19"/>
                <w:color w:val="auto"/>
                <w:w w:val="95"/>
              </w:rPr>
              <w:t>Amended and Restated Bylaws of United Airlines Holdings, Inc. (filed as Exhibit 3.1 to UAL's</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40" w:type="dxa"/>
            <w:vAlign w:val="bottom"/>
            <w:gridSpan w:val="22"/>
          </w:tcPr>
          <w:p>
            <w:pPr>
              <w:spacing w:after="0" w:line="174" w:lineRule="exact"/>
              <w:rPr>
                <w:sz w:val="20"/>
                <w:szCs w:val="20"/>
                <w:color w:val="auto"/>
              </w:rPr>
            </w:pPr>
            <w:r>
              <w:rPr>
                <w:rFonts w:ascii="Arial" w:cs="Arial" w:eastAsia="Arial" w:hAnsi="Arial"/>
                <w:sz w:val="19"/>
                <w:szCs w:val="19"/>
                <w:color w:val="auto"/>
              </w:rPr>
              <w:t>Form 8-K filed December 18, 2024 and incorporated herein by reference)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4"/>
        </w:trPr>
        <w:tc>
          <w:tcPr>
            <w:tcW w:w="940" w:type="dxa"/>
            <w:vAlign w:val="bottom"/>
          </w:tcPr>
          <w:p>
            <w:pPr>
              <w:spacing w:after="0"/>
              <w:rPr>
                <w:sz w:val="20"/>
                <w:szCs w:val="20"/>
                <w:color w:val="auto"/>
              </w:rPr>
            </w:pPr>
            <w:r>
              <w:rPr>
                <w:rFonts w:ascii="Arial" w:cs="Arial" w:eastAsia="Arial" w:hAnsi="Arial"/>
                <w:sz w:val="19"/>
                <w:szCs w:val="19"/>
                <w:color w:val="auto"/>
              </w:rPr>
              <w:t>3.3</w:t>
            </w:r>
          </w:p>
        </w:tc>
        <w:tc>
          <w:tcPr>
            <w:tcW w:w="1000" w:type="dxa"/>
            <w:vAlign w:val="bottom"/>
            <w:gridSpan w:val="2"/>
          </w:tcPr>
          <w:p>
            <w:pPr>
              <w:ind w:left="140"/>
              <w:spacing w:after="0"/>
              <w:rPr>
                <w:sz w:val="20"/>
                <w:szCs w:val="20"/>
                <w:color w:val="auto"/>
              </w:rPr>
            </w:pPr>
            <w:r>
              <w:rPr>
                <w:rFonts w:ascii="Arial" w:cs="Arial" w:eastAsia="Arial" w:hAnsi="Arial"/>
                <w:sz w:val="19"/>
                <w:szCs w:val="19"/>
                <w:color w:val="auto"/>
              </w:rPr>
              <w:t>UAL</w:t>
            </w:r>
          </w:p>
        </w:tc>
        <w:tc>
          <w:tcPr>
            <w:tcW w:w="140" w:type="dxa"/>
            <w:vAlign w:val="bottom"/>
          </w:tcPr>
          <w:p>
            <w:pPr>
              <w:spacing w:after="0"/>
              <w:rPr>
                <w:sz w:val="24"/>
                <w:szCs w:val="24"/>
                <w:color w:val="auto"/>
              </w:rPr>
            </w:pPr>
          </w:p>
        </w:tc>
        <w:tc>
          <w:tcPr>
            <w:tcW w:w="7440" w:type="dxa"/>
            <w:vAlign w:val="bottom"/>
            <w:gridSpan w:val="22"/>
          </w:tcPr>
          <w:p>
            <w:pPr>
              <w:spacing w:after="0"/>
              <w:rPr>
                <w:sz w:val="20"/>
                <w:szCs w:val="20"/>
                <w:color w:val="auto"/>
              </w:rPr>
            </w:pPr>
            <w:r>
              <w:rPr>
                <w:rFonts w:ascii="Arial" w:cs="Arial" w:eastAsia="Arial" w:hAnsi="Arial"/>
                <w:sz w:val="19"/>
                <w:szCs w:val="19"/>
                <w:color w:val="auto"/>
                <w:w w:val="94"/>
              </w:rPr>
              <w:t>Certificate of Designation of the Series A Junior Participating Serial Preferred Stock of United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20" w:type="dxa"/>
            <w:vAlign w:val="bottom"/>
            <w:tcBorders>
              <w:top w:val="single" w:sz="8" w:color="auto"/>
              <w:bottom w:val="single" w:sz="8" w:color="auto"/>
            </w:tcBorders>
            <w:gridSpan w:val="21"/>
          </w:tcPr>
          <w:p>
            <w:pPr>
              <w:spacing w:after="0" w:line="174" w:lineRule="exact"/>
              <w:rPr>
                <w:sz w:val="20"/>
                <w:szCs w:val="20"/>
                <w:color w:val="auto"/>
              </w:rPr>
            </w:pPr>
            <w:r>
              <w:rPr>
                <w:rFonts w:ascii="Arial" w:cs="Arial" w:eastAsia="Arial" w:hAnsi="Arial"/>
                <w:sz w:val="19"/>
                <w:szCs w:val="19"/>
                <w:color w:val="auto"/>
                <w:w w:val="95"/>
              </w:rPr>
              <w:t>Airlines Holdings, Inc. (filed as Exhibit 3.1 to UAL's Registration Statement on Form 8-A filed</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40" w:type="dxa"/>
            <w:vAlign w:val="bottom"/>
            <w:gridSpan w:val="22"/>
          </w:tcPr>
          <w:p>
            <w:pPr>
              <w:spacing w:after="0" w:line="174" w:lineRule="exact"/>
              <w:rPr>
                <w:sz w:val="20"/>
                <w:szCs w:val="20"/>
                <w:color w:val="auto"/>
              </w:rPr>
            </w:pPr>
            <w:r>
              <w:rPr>
                <w:rFonts w:ascii="Arial" w:cs="Arial" w:eastAsia="Arial" w:hAnsi="Arial"/>
                <w:sz w:val="19"/>
                <w:szCs w:val="19"/>
                <w:color w:val="auto"/>
              </w:rPr>
              <w:t>December 7, 2020 and incorporated herein by reference)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3"/>
        </w:trPr>
        <w:tc>
          <w:tcPr>
            <w:tcW w:w="940" w:type="dxa"/>
            <w:vAlign w:val="bottom"/>
          </w:tcPr>
          <w:p>
            <w:pPr>
              <w:spacing w:after="0"/>
              <w:rPr>
                <w:sz w:val="20"/>
                <w:szCs w:val="20"/>
                <w:color w:val="auto"/>
              </w:rPr>
            </w:pPr>
            <w:r>
              <w:rPr>
                <w:rFonts w:ascii="Arial" w:cs="Arial" w:eastAsia="Arial" w:hAnsi="Arial"/>
                <w:sz w:val="19"/>
                <w:szCs w:val="19"/>
                <w:color w:val="auto"/>
              </w:rPr>
              <w:t>3.4</w:t>
            </w:r>
          </w:p>
        </w:tc>
        <w:tc>
          <w:tcPr>
            <w:tcW w:w="1000" w:type="dxa"/>
            <w:vAlign w:val="bottom"/>
            <w:gridSpan w:val="2"/>
          </w:tcPr>
          <w:p>
            <w:pPr>
              <w:ind w:left="140"/>
              <w:spacing w:after="0"/>
              <w:rPr>
                <w:sz w:val="20"/>
                <w:szCs w:val="20"/>
                <w:color w:val="auto"/>
              </w:rPr>
            </w:pPr>
            <w:r>
              <w:rPr>
                <w:rFonts w:ascii="Arial" w:cs="Arial" w:eastAsia="Arial" w:hAnsi="Arial"/>
                <w:sz w:val="19"/>
                <w:szCs w:val="19"/>
                <w:color w:val="auto"/>
              </w:rPr>
              <w:t>United</w:t>
            </w:r>
          </w:p>
        </w:tc>
        <w:tc>
          <w:tcPr>
            <w:tcW w:w="140" w:type="dxa"/>
            <w:vAlign w:val="bottom"/>
          </w:tcPr>
          <w:p>
            <w:pPr>
              <w:spacing w:after="0"/>
              <w:rPr>
                <w:sz w:val="24"/>
                <w:szCs w:val="24"/>
                <w:color w:val="auto"/>
              </w:rPr>
            </w:pPr>
          </w:p>
        </w:tc>
        <w:tc>
          <w:tcPr>
            <w:tcW w:w="7440" w:type="dxa"/>
            <w:vAlign w:val="bottom"/>
            <w:tcBorders>
              <w:bottom w:val="single" w:sz="8" w:color="auto"/>
            </w:tcBorders>
            <w:gridSpan w:val="22"/>
          </w:tcPr>
          <w:p>
            <w:pPr>
              <w:spacing w:after="0"/>
              <w:rPr>
                <w:sz w:val="20"/>
                <w:szCs w:val="20"/>
                <w:color w:val="auto"/>
              </w:rPr>
            </w:pPr>
            <w:r>
              <w:rPr>
                <w:rFonts w:ascii="Arial" w:cs="Arial" w:eastAsia="Arial" w:hAnsi="Arial"/>
                <w:sz w:val="19"/>
                <w:szCs w:val="19"/>
                <w:color w:val="auto"/>
                <w:w w:val="94"/>
              </w:rPr>
              <w:t>Amended and Restated Certificate of Incorporation of United Airlines, Inc. (filed as Exhibit 3.1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4"/>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0" w:type="dxa"/>
            <w:vAlign w:val="bottom"/>
            <w:tcBorders>
              <w:bottom w:val="single" w:sz="8" w:color="auto"/>
            </w:tcBorders>
            <w:gridSpan w:val="8"/>
          </w:tcPr>
          <w:p>
            <w:pPr>
              <w:spacing w:after="0" w:line="174" w:lineRule="exact"/>
              <w:rPr>
                <w:sz w:val="20"/>
                <w:szCs w:val="20"/>
                <w:color w:val="auto"/>
              </w:rPr>
            </w:pPr>
            <w:r>
              <w:rPr>
                <w:rFonts w:ascii="Arial" w:cs="Arial" w:eastAsia="Arial" w:hAnsi="Arial"/>
                <w:sz w:val="19"/>
                <w:szCs w:val="19"/>
                <w:color w:val="auto"/>
                <w:w w:val="94"/>
              </w:rPr>
              <w:t>to UAL's Form 8-K filed April 3, 2013 and incorporated herein by reference)</w:t>
            </w:r>
          </w:p>
        </w:tc>
        <w:tc>
          <w:tcPr>
            <w:tcW w:w="1440" w:type="dxa"/>
            <w:vAlign w:val="bottom"/>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3"/>
        </w:trPr>
        <w:tc>
          <w:tcPr>
            <w:tcW w:w="940" w:type="dxa"/>
            <w:vAlign w:val="bottom"/>
          </w:tcPr>
          <w:p>
            <w:pPr>
              <w:spacing w:after="0"/>
              <w:rPr>
                <w:sz w:val="20"/>
                <w:szCs w:val="20"/>
                <w:color w:val="auto"/>
              </w:rPr>
            </w:pPr>
            <w:r>
              <w:rPr>
                <w:rFonts w:ascii="Arial" w:cs="Arial" w:eastAsia="Arial" w:hAnsi="Arial"/>
                <w:sz w:val="19"/>
                <w:szCs w:val="19"/>
                <w:color w:val="auto"/>
              </w:rPr>
              <w:t>3.5</w:t>
            </w:r>
          </w:p>
        </w:tc>
        <w:tc>
          <w:tcPr>
            <w:tcW w:w="1000" w:type="dxa"/>
            <w:vAlign w:val="bottom"/>
            <w:gridSpan w:val="2"/>
          </w:tcPr>
          <w:p>
            <w:pPr>
              <w:ind w:left="140"/>
              <w:spacing w:after="0"/>
              <w:rPr>
                <w:sz w:val="20"/>
                <w:szCs w:val="20"/>
                <w:color w:val="auto"/>
              </w:rPr>
            </w:pPr>
            <w:r>
              <w:rPr>
                <w:rFonts w:ascii="Arial" w:cs="Arial" w:eastAsia="Arial" w:hAnsi="Arial"/>
                <w:sz w:val="19"/>
                <w:szCs w:val="19"/>
                <w:color w:val="auto"/>
              </w:rPr>
              <w:t>United</w:t>
            </w:r>
          </w:p>
        </w:tc>
        <w:tc>
          <w:tcPr>
            <w:tcW w:w="140" w:type="dxa"/>
            <w:vAlign w:val="bottom"/>
          </w:tcPr>
          <w:p>
            <w:pPr>
              <w:spacing w:after="0"/>
              <w:rPr>
                <w:sz w:val="24"/>
                <w:szCs w:val="24"/>
                <w:color w:val="auto"/>
              </w:rPr>
            </w:pPr>
          </w:p>
        </w:tc>
        <w:tc>
          <w:tcPr>
            <w:tcW w:w="7440" w:type="dxa"/>
            <w:vAlign w:val="bottom"/>
            <w:gridSpan w:val="22"/>
          </w:tcPr>
          <w:p>
            <w:pPr>
              <w:spacing w:after="0"/>
              <w:rPr>
                <w:sz w:val="20"/>
                <w:szCs w:val="20"/>
                <w:color w:val="auto"/>
              </w:rPr>
            </w:pPr>
            <w:r>
              <w:rPr>
                <w:rFonts w:ascii="Arial" w:cs="Arial" w:eastAsia="Arial" w:hAnsi="Arial"/>
                <w:sz w:val="19"/>
                <w:szCs w:val="19"/>
                <w:color w:val="auto"/>
                <w:w w:val="95"/>
              </w:rPr>
              <w:t>Amended and Restated By-laws of United Airlines, Inc. (filed as Exhibit 3.2 to UAL's Form 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380" w:type="dxa"/>
            <w:vAlign w:val="bottom"/>
            <w:tcBorders>
              <w:top w:val="single" w:sz="8" w:color="auto"/>
            </w:tcBorders>
            <w:gridSpan w:val="19"/>
          </w:tcPr>
          <w:p>
            <w:pPr>
              <w:spacing w:after="0" w:line="174" w:lineRule="exact"/>
              <w:rPr>
                <w:sz w:val="20"/>
                <w:szCs w:val="20"/>
                <w:color w:val="auto"/>
              </w:rPr>
            </w:pPr>
            <w:r>
              <w:rPr>
                <w:rFonts w:ascii="Arial" w:cs="Arial" w:eastAsia="Arial" w:hAnsi="Arial"/>
                <w:sz w:val="19"/>
                <w:szCs w:val="19"/>
                <w:color w:val="auto"/>
              </w:rPr>
              <w:t>K filed April 3, 2013 and incorporated herein by reference)</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0" w:type="dxa"/>
            <w:vAlign w:val="bottom"/>
            <w:gridSpan w:val="5"/>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0"/>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80" w:type="dxa"/>
            <w:vAlign w:val="bottom"/>
            <w:tcBorders>
              <w:bottom w:val="single" w:sz="8" w:color="auto"/>
            </w:tcBorders>
            <w:gridSpan w:val="7"/>
          </w:tcPr>
          <w:p>
            <w:pPr>
              <w:spacing w:after="0"/>
              <w:rPr>
                <w:sz w:val="20"/>
                <w:szCs w:val="20"/>
                <w:color w:val="auto"/>
              </w:rPr>
            </w:pPr>
            <w:r>
              <w:rPr>
                <w:rFonts w:ascii="Arial" w:cs="Arial" w:eastAsia="Arial" w:hAnsi="Arial"/>
                <w:sz w:val="19"/>
                <w:szCs w:val="19"/>
                <w:b w:val="1"/>
                <w:bCs w:val="1"/>
                <w:color w:val="auto"/>
                <w:w w:val="92"/>
              </w:rPr>
              <w:t>Instruments Defining Rights of Security Holders, Including Indentures</w:t>
            </w:r>
          </w:p>
        </w:tc>
        <w:tc>
          <w:tcPr>
            <w:tcW w:w="156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5"/>
        </w:trPr>
        <w:tc>
          <w:tcPr>
            <w:tcW w:w="940" w:type="dxa"/>
            <w:vAlign w:val="bottom"/>
          </w:tcPr>
          <w:p>
            <w:pPr>
              <w:spacing w:after="0"/>
              <w:rPr>
                <w:sz w:val="20"/>
                <w:szCs w:val="20"/>
                <w:color w:val="auto"/>
              </w:rPr>
            </w:pPr>
            <w:r>
              <w:rPr>
                <w:rFonts w:ascii="Arial" w:cs="Arial" w:eastAsia="Arial" w:hAnsi="Arial"/>
                <w:sz w:val="19"/>
                <w:szCs w:val="19"/>
                <w:color w:val="auto"/>
              </w:rPr>
              <w:t>4.1</w:t>
            </w:r>
          </w:p>
        </w:tc>
        <w:tc>
          <w:tcPr>
            <w:tcW w:w="1000" w:type="dxa"/>
            <w:vAlign w:val="bottom"/>
            <w:gridSpan w:val="2"/>
          </w:tcPr>
          <w:p>
            <w:pPr>
              <w:ind w:left="140"/>
              <w:spacing w:after="0"/>
              <w:rPr>
                <w:sz w:val="20"/>
                <w:szCs w:val="20"/>
                <w:color w:val="auto"/>
              </w:rPr>
            </w:pPr>
            <w:r>
              <w:rPr>
                <w:rFonts w:ascii="Arial" w:cs="Arial" w:eastAsia="Arial" w:hAnsi="Arial"/>
                <w:sz w:val="19"/>
                <w:szCs w:val="19"/>
                <w:color w:val="auto"/>
              </w:rPr>
              <w:t>UAL</w:t>
            </w:r>
          </w:p>
        </w:tc>
        <w:tc>
          <w:tcPr>
            <w:tcW w:w="140" w:type="dxa"/>
            <w:vAlign w:val="bottom"/>
          </w:tcPr>
          <w:p>
            <w:pPr>
              <w:spacing w:after="0"/>
              <w:rPr>
                <w:sz w:val="24"/>
                <w:szCs w:val="24"/>
                <w:color w:val="auto"/>
              </w:rPr>
            </w:pPr>
          </w:p>
        </w:tc>
        <w:tc>
          <w:tcPr>
            <w:tcW w:w="7440" w:type="dxa"/>
            <w:vAlign w:val="bottom"/>
            <w:tcBorders>
              <w:bottom w:val="single" w:sz="8" w:color="auto"/>
            </w:tcBorders>
            <w:gridSpan w:val="22"/>
          </w:tcPr>
          <w:p>
            <w:pPr>
              <w:spacing w:after="0"/>
              <w:rPr>
                <w:sz w:val="20"/>
                <w:szCs w:val="20"/>
                <w:color w:val="auto"/>
              </w:rPr>
            </w:pPr>
            <w:r>
              <w:rPr>
                <w:rFonts w:ascii="Arial" w:cs="Arial" w:eastAsia="Arial" w:hAnsi="Arial"/>
                <w:sz w:val="19"/>
                <w:szCs w:val="19"/>
                <w:color w:val="auto"/>
                <w:w w:val="94"/>
              </w:rPr>
              <w:t>Indenture, dated as of May 7, 2013, among United Continental Holdings, Inc., United Airlines,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940" w:type="dxa"/>
            <w:vAlign w:val="bottom"/>
          </w:tcPr>
          <w:p>
            <w:pPr>
              <w:spacing w:after="0"/>
              <w:rPr>
                <w:sz w:val="16"/>
                <w:szCs w:val="16"/>
                <w:color w:val="auto"/>
              </w:rPr>
            </w:pPr>
          </w:p>
        </w:tc>
        <w:tc>
          <w:tcPr>
            <w:tcW w:w="1000" w:type="dxa"/>
            <w:vAlign w:val="bottom"/>
            <w:gridSpan w:val="2"/>
          </w:tcPr>
          <w:p>
            <w:pPr>
              <w:ind w:left="140"/>
              <w:spacing w:after="0" w:line="184" w:lineRule="exact"/>
              <w:rPr>
                <w:sz w:val="20"/>
                <w:szCs w:val="20"/>
                <w:color w:val="auto"/>
              </w:rPr>
            </w:pPr>
            <w:r>
              <w:rPr>
                <w:rFonts w:ascii="Arial" w:cs="Arial" w:eastAsia="Arial" w:hAnsi="Arial"/>
                <w:sz w:val="19"/>
                <w:szCs w:val="19"/>
                <w:color w:val="auto"/>
              </w:rPr>
              <w:t>United</w:t>
            </w:r>
          </w:p>
        </w:tc>
        <w:tc>
          <w:tcPr>
            <w:tcW w:w="140" w:type="dxa"/>
            <w:vAlign w:val="bottom"/>
          </w:tcPr>
          <w:p>
            <w:pPr>
              <w:spacing w:after="0"/>
              <w:rPr>
                <w:sz w:val="16"/>
                <w:szCs w:val="16"/>
                <w:color w:val="auto"/>
              </w:rPr>
            </w:pPr>
          </w:p>
        </w:tc>
        <w:tc>
          <w:tcPr>
            <w:tcW w:w="7440" w:type="dxa"/>
            <w:vAlign w:val="bottom"/>
            <w:gridSpan w:val="22"/>
          </w:tcPr>
          <w:p>
            <w:pPr>
              <w:spacing w:after="0" w:line="184" w:lineRule="exact"/>
              <w:rPr>
                <w:sz w:val="20"/>
                <w:szCs w:val="20"/>
                <w:color w:val="auto"/>
              </w:rPr>
            </w:pPr>
            <w:r>
              <w:rPr>
                <w:rFonts w:ascii="Arial" w:cs="Arial" w:eastAsia="Arial" w:hAnsi="Arial"/>
                <w:sz w:val="19"/>
                <w:szCs w:val="19"/>
                <w:color w:val="auto"/>
                <w:w w:val="95"/>
              </w:rPr>
              <w:t>Inc. and The Bank of New York Mellon Trust Company, N.A., as Trustee (filed as Exhibit 4.1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0" w:type="dxa"/>
            <w:vAlign w:val="bottom"/>
            <w:tcBorders>
              <w:top w:val="single" w:sz="8" w:color="auto"/>
            </w:tcBorders>
            <w:gridSpan w:val="20"/>
          </w:tcPr>
          <w:p>
            <w:pPr>
              <w:spacing w:after="0" w:line="174" w:lineRule="exact"/>
              <w:rPr>
                <w:sz w:val="20"/>
                <w:szCs w:val="20"/>
                <w:color w:val="auto"/>
              </w:rPr>
            </w:pPr>
            <w:r>
              <w:rPr>
                <w:rFonts w:ascii="Arial" w:cs="Arial" w:eastAsia="Arial" w:hAnsi="Arial"/>
                <w:sz w:val="19"/>
                <w:szCs w:val="19"/>
                <w:color w:val="auto"/>
              </w:rPr>
              <w:t>to UAL's Form 8-K filed on May 10, 2013 and incorporated herein by reference)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80" w:type="dxa"/>
            <w:vAlign w:val="bottom"/>
            <w:gridSpan w:val="9"/>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2"/>
        </w:trPr>
        <w:tc>
          <w:tcPr>
            <w:tcW w:w="940" w:type="dxa"/>
            <w:vAlign w:val="bottom"/>
          </w:tcPr>
          <w:p>
            <w:pPr>
              <w:spacing w:after="0"/>
              <w:rPr>
                <w:sz w:val="20"/>
                <w:szCs w:val="20"/>
                <w:color w:val="auto"/>
              </w:rPr>
            </w:pPr>
            <w:r>
              <w:rPr>
                <w:rFonts w:ascii="Arial" w:cs="Arial" w:eastAsia="Arial" w:hAnsi="Arial"/>
                <w:sz w:val="19"/>
                <w:szCs w:val="19"/>
                <w:color w:val="auto"/>
              </w:rPr>
              <w:t>4.2</w:t>
            </w:r>
          </w:p>
        </w:tc>
        <w:tc>
          <w:tcPr>
            <w:tcW w:w="1000" w:type="dxa"/>
            <w:vAlign w:val="bottom"/>
            <w:gridSpan w:val="2"/>
          </w:tcPr>
          <w:p>
            <w:pPr>
              <w:ind w:left="140"/>
              <w:spacing w:after="0"/>
              <w:rPr>
                <w:sz w:val="20"/>
                <w:szCs w:val="20"/>
                <w:color w:val="auto"/>
              </w:rPr>
            </w:pPr>
            <w:r>
              <w:rPr>
                <w:rFonts w:ascii="Arial" w:cs="Arial" w:eastAsia="Arial" w:hAnsi="Arial"/>
                <w:sz w:val="19"/>
                <w:szCs w:val="19"/>
                <w:color w:val="auto"/>
              </w:rPr>
              <w:t>UAL</w:t>
            </w:r>
          </w:p>
        </w:tc>
        <w:tc>
          <w:tcPr>
            <w:tcW w:w="140" w:type="dxa"/>
            <w:vAlign w:val="bottom"/>
          </w:tcPr>
          <w:p>
            <w:pPr>
              <w:spacing w:after="0"/>
              <w:rPr>
                <w:sz w:val="24"/>
                <w:szCs w:val="24"/>
                <w:color w:val="auto"/>
              </w:rPr>
            </w:pPr>
          </w:p>
        </w:tc>
        <w:tc>
          <w:tcPr>
            <w:tcW w:w="7140" w:type="dxa"/>
            <w:vAlign w:val="bottom"/>
            <w:tcBorders>
              <w:bottom w:val="single" w:sz="8" w:color="auto"/>
            </w:tcBorders>
            <w:gridSpan w:val="13"/>
          </w:tcPr>
          <w:p>
            <w:pPr>
              <w:spacing w:after="0"/>
              <w:rPr>
                <w:sz w:val="20"/>
                <w:szCs w:val="20"/>
                <w:color w:val="auto"/>
              </w:rPr>
            </w:pPr>
            <w:r>
              <w:rPr>
                <w:rFonts w:ascii="Arial" w:cs="Arial" w:eastAsia="Arial" w:hAnsi="Arial"/>
                <w:sz w:val="19"/>
                <w:szCs w:val="19"/>
                <w:color w:val="auto"/>
                <w:w w:val="94"/>
              </w:rPr>
              <w:t>Promissory Note, dated as of April 20, 2020, among United Airlines Holdings, Inc., United</w:t>
            </w:r>
          </w:p>
        </w:tc>
        <w:tc>
          <w:tcPr>
            <w:tcW w:w="3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940" w:type="dxa"/>
            <w:vAlign w:val="bottom"/>
          </w:tcPr>
          <w:p>
            <w:pPr>
              <w:spacing w:after="0"/>
              <w:rPr>
                <w:sz w:val="16"/>
                <w:szCs w:val="16"/>
                <w:color w:val="auto"/>
              </w:rPr>
            </w:pPr>
          </w:p>
        </w:tc>
        <w:tc>
          <w:tcPr>
            <w:tcW w:w="1000" w:type="dxa"/>
            <w:vAlign w:val="bottom"/>
            <w:gridSpan w:val="2"/>
          </w:tcPr>
          <w:p>
            <w:pPr>
              <w:ind w:left="140"/>
              <w:spacing w:after="0" w:line="184" w:lineRule="exact"/>
              <w:rPr>
                <w:sz w:val="20"/>
                <w:szCs w:val="20"/>
                <w:color w:val="auto"/>
              </w:rPr>
            </w:pPr>
            <w:r>
              <w:rPr>
                <w:rFonts w:ascii="Arial" w:cs="Arial" w:eastAsia="Arial" w:hAnsi="Arial"/>
                <w:sz w:val="19"/>
                <w:szCs w:val="19"/>
                <w:color w:val="auto"/>
              </w:rPr>
              <w:t>United</w:t>
            </w:r>
          </w:p>
        </w:tc>
        <w:tc>
          <w:tcPr>
            <w:tcW w:w="140" w:type="dxa"/>
            <w:vAlign w:val="bottom"/>
          </w:tcPr>
          <w:p>
            <w:pPr>
              <w:spacing w:after="0"/>
              <w:rPr>
                <w:sz w:val="16"/>
                <w:szCs w:val="16"/>
                <w:color w:val="auto"/>
              </w:rPr>
            </w:pPr>
          </w:p>
        </w:tc>
        <w:tc>
          <w:tcPr>
            <w:tcW w:w="7440" w:type="dxa"/>
            <w:vAlign w:val="bottom"/>
            <w:gridSpan w:val="22"/>
          </w:tcPr>
          <w:p>
            <w:pPr>
              <w:spacing w:after="0" w:line="184" w:lineRule="exact"/>
              <w:rPr>
                <w:sz w:val="20"/>
                <w:szCs w:val="20"/>
                <w:color w:val="auto"/>
              </w:rPr>
            </w:pPr>
            <w:r>
              <w:rPr>
                <w:rFonts w:ascii="Arial" w:cs="Arial" w:eastAsia="Arial" w:hAnsi="Arial"/>
                <w:sz w:val="19"/>
                <w:szCs w:val="19"/>
                <w:color w:val="auto"/>
                <w:w w:val="94"/>
              </w:rPr>
              <w:t>Airlines, Inc., as guarantor, and the United States Department of the Treasury (filed as Exhibit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360" w:type="dxa"/>
            <w:vAlign w:val="bottom"/>
            <w:tcBorders>
              <w:top w:val="single" w:sz="8" w:color="auto"/>
            </w:tcBorders>
            <w:gridSpan w:val="18"/>
          </w:tcPr>
          <w:p>
            <w:pPr>
              <w:spacing w:after="0" w:line="174" w:lineRule="exact"/>
              <w:rPr>
                <w:sz w:val="20"/>
                <w:szCs w:val="20"/>
                <w:color w:val="auto"/>
              </w:rPr>
            </w:pPr>
            <w:r>
              <w:rPr>
                <w:rFonts w:ascii="Arial" w:cs="Arial" w:eastAsia="Arial" w:hAnsi="Arial"/>
                <w:sz w:val="19"/>
                <w:szCs w:val="19"/>
                <w:color w:val="auto"/>
              </w:rPr>
              <w:t>4.</w:t>
            </w:r>
            <w:r>
              <w:rPr>
                <w:rFonts w:ascii="Arial" w:cs="Arial" w:eastAsia="Arial" w:hAnsi="Arial"/>
                <w:sz w:val="19"/>
                <w:szCs w:val="19"/>
                <w:u w:val="single" w:color="auto"/>
                <w:color w:val="auto"/>
              </w:rPr>
              <w:t>1</w:t>
            </w:r>
            <w:r>
              <w:rPr>
                <w:rFonts w:ascii="Arial" w:cs="Arial" w:eastAsia="Arial" w:hAnsi="Arial"/>
                <w:sz w:val="19"/>
                <w:szCs w:val="19"/>
                <w:color w:val="auto"/>
              </w:rPr>
              <w:t xml:space="preserve"> to UAL's Form 8-K filed April 23, 2020 and incorporated herein by reference)</w:t>
            </w: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80" w:type="dxa"/>
            <w:vAlign w:val="bottom"/>
            <w:gridSpan w:val="10"/>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2"/>
        </w:trPr>
        <w:tc>
          <w:tcPr>
            <w:tcW w:w="940" w:type="dxa"/>
            <w:vAlign w:val="bottom"/>
          </w:tcPr>
          <w:p>
            <w:pPr>
              <w:spacing w:after="0"/>
              <w:rPr>
                <w:sz w:val="20"/>
                <w:szCs w:val="20"/>
                <w:color w:val="auto"/>
              </w:rPr>
            </w:pPr>
            <w:r>
              <w:rPr>
                <w:rFonts w:ascii="Arial" w:cs="Arial" w:eastAsia="Arial" w:hAnsi="Arial"/>
                <w:sz w:val="19"/>
                <w:szCs w:val="19"/>
                <w:color w:val="auto"/>
              </w:rPr>
              <w:t>4.3</w:t>
            </w:r>
          </w:p>
        </w:tc>
        <w:tc>
          <w:tcPr>
            <w:tcW w:w="1000" w:type="dxa"/>
            <w:vAlign w:val="bottom"/>
            <w:gridSpan w:val="2"/>
          </w:tcPr>
          <w:p>
            <w:pPr>
              <w:ind w:left="140"/>
              <w:spacing w:after="0"/>
              <w:rPr>
                <w:sz w:val="20"/>
                <w:szCs w:val="20"/>
                <w:color w:val="auto"/>
              </w:rPr>
            </w:pPr>
            <w:r>
              <w:rPr>
                <w:rFonts w:ascii="Arial" w:cs="Arial" w:eastAsia="Arial" w:hAnsi="Arial"/>
                <w:sz w:val="19"/>
                <w:szCs w:val="19"/>
                <w:color w:val="auto"/>
              </w:rPr>
              <w:t>UAL</w:t>
            </w:r>
          </w:p>
        </w:tc>
        <w:tc>
          <w:tcPr>
            <w:tcW w:w="140" w:type="dxa"/>
            <w:vAlign w:val="bottom"/>
          </w:tcPr>
          <w:p>
            <w:pPr>
              <w:spacing w:after="0"/>
              <w:rPr>
                <w:sz w:val="24"/>
                <w:szCs w:val="24"/>
                <w:color w:val="auto"/>
              </w:rPr>
            </w:pPr>
          </w:p>
        </w:tc>
        <w:tc>
          <w:tcPr>
            <w:tcW w:w="7440" w:type="dxa"/>
            <w:vAlign w:val="bottom"/>
            <w:gridSpan w:val="22"/>
          </w:tcPr>
          <w:p>
            <w:pPr>
              <w:spacing w:after="0"/>
              <w:rPr>
                <w:sz w:val="20"/>
                <w:szCs w:val="20"/>
                <w:color w:val="auto"/>
              </w:rPr>
            </w:pPr>
            <w:r>
              <w:rPr>
                <w:rFonts w:ascii="Arial" w:cs="Arial" w:eastAsia="Arial" w:hAnsi="Arial"/>
                <w:sz w:val="19"/>
                <w:szCs w:val="19"/>
                <w:color w:val="auto"/>
                <w:w w:val="95"/>
              </w:rPr>
              <w:t>Promissory Note, dated as of January 15, 2021, among United Airlines Holdings, Inc., United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940" w:type="dxa"/>
            <w:vAlign w:val="bottom"/>
          </w:tcPr>
          <w:p>
            <w:pPr>
              <w:spacing w:after="0"/>
              <w:rPr>
                <w:sz w:val="16"/>
                <w:szCs w:val="16"/>
                <w:color w:val="auto"/>
              </w:rPr>
            </w:pPr>
          </w:p>
        </w:tc>
        <w:tc>
          <w:tcPr>
            <w:tcW w:w="1000" w:type="dxa"/>
            <w:vAlign w:val="bottom"/>
            <w:gridSpan w:val="2"/>
          </w:tcPr>
          <w:p>
            <w:pPr>
              <w:ind w:left="140"/>
              <w:spacing w:after="0" w:line="184" w:lineRule="exact"/>
              <w:rPr>
                <w:sz w:val="20"/>
                <w:szCs w:val="20"/>
                <w:color w:val="auto"/>
              </w:rPr>
            </w:pPr>
            <w:r>
              <w:rPr>
                <w:rFonts w:ascii="Arial" w:cs="Arial" w:eastAsia="Arial" w:hAnsi="Arial"/>
                <w:sz w:val="19"/>
                <w:szCs w:val="19"/>
                <w:color w:val="auto"/>
              </w:rPr>
              <w:t>United</w:t>
            </w:r>
          </w:p>
        </w:tc>
        <w:tc>
          <w:tcPr>
            <w:tcW w:w="140" w:type="dxa"/>
            <w:vAlign w:val="bottom"/>
          </w:tcPr>
          <w:p>
            <w:pPr>
              <w:spacing w:after="0"/>
              <w:rPr>
                <w:sz w:val="16"/>
                <w:szCs w:val="16"/>
                <w:color w:val="auto"/>
              </w:rPr>
            </w:pPr>
          </w:p>
        </w:tc>
        <w:tc>
          <w:tcPr>
            <w:tcW w:w="7340" w:type="dxa"/>
            <w:vAlign w:val="bottom"/>
            <w:tcBorders>
              <w:top w:val="single" w:sz="8" w:color="auto"/>
            </w:tcBorders>
            <w:gridSpan w:val="17"/>
          </w:tcPr>
          <w:p>
            <w:pPr>
              <w:spacing w:after="0" w:line="184" w:lineRule="exact"/>
              <w:rPr>
                <w:sz w:val="20"/>
                <w:szCs w:val="20"/>
                <w:color w:val="auto"/>
              </w:rPr>
            </w:pPr>
            <w:r>
              <w:rPr>
                <w:rFonts w:ascii="Arial" w:cs="Arial" w:eastAsia="Arial" w:hAnsi="Arial"/>
                <w:sz w:val="19"/>
                <w:szCs w:val="19"/>
                <w:color w:val="auto"/>
                <w:w w:val="93"/>
              </w:rPr>
              <w:t>Airlines, Inc., as guarantor, and the United States Department of the Treasury (filed as Exhibit</w:t>
            </w:r>
          </w:p>
        </w:tc>
        <w:tc>
          <w:tcPr>
            <w:tcW w:w="10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580" w:type="dxa"/>
            <w:vAlign w:val="bottom"/>
            <w:tcBorders>
              <w:top w:val="single" w:sz="8" w:color="auto"/>
              <w:bottom w:val="single" w:sz="8" w:color="auto"/>
            </w:tcBorders>
            <w:gridSpan w:val="11"/>
          </w:tcPr>
          <w:p>
            <w:pPr>
              <w:spacing w:after="0" w:line="174" w:lineRule="exact"/>
              <w:rPr>
                <w:sz w:val="20"/>
                <w:szCs w:val="20"/>
                <w:color w:val="auto"/>
              </w:rPr>
            </w:pPr>
            <w:r>
              <w:rPr>
                <w:rFonts w:ascii="Arial" w:cs="Arial" w:eastAsia="Arial" w:hAnsi="Arial"/>
                <w:sz w:val="19"/>
                <w:szCs w:val="19"/>
                <w:color w:val="auto"/>
                <w:w w:val="93"/>
              </w:rPr>
              <w:t>4.</w:t>
            </w:r>
            <w:r>
              <w:rPr>
                <w:rFonts w:ascii="Arial" w:cs="Arial" w:eastAsia="Arial" w:hAnsi="Arial"/>
                <w:sz w:val="19"/>
                <w:szCs w:val="19"/>
                <w:u w:val="single" w:color="auto"/>
                <w:color w:val="auto"/>
                <w:w w:val="93"/>
              </w:rPr>
              <w:t>1</w:t>
            </w:r>
            <w:r>
              <w:rPr>
                <w:rFonts w:ascii="Arial" w:cs="Arial" w:eastAsia="Arial" w:hAnsi="Arial"/>
                <w:sz w:val="19"/>
                <w:szCs w:val="19"/>
                <w:color w:val="auto"/>
                <w:w w:val="93"/>
              </w:rPr>
              <w:t xml:space="preserve"> to UAL's Form 8-K filed January 20, 2021 and incorporated herein by reference)</w:t>
            </w:r>
          </w:p>
        </w:tc>
        <w:tc>
          <w:tcPr>
            <w:tcW w:w="780" w:type="dxa"/>
            <w:vAlign w:val="bottom"/>
            <w:tcBorders>
              <w:top w:val="single" w:sz="8" w:color="auto"/>
            </w:tcBorders>
            <w:gridSpan w:val="7"/>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2"/>
        </w:trPr>
        <w:tc>
          <w:tcPr>
            <w:tcW w:w="940" w:type="dxa"/>
            <w:vAlign w:val="bottom"/>
          </w:tcPr>
          <w:p>
            <w:pPr>
              <w:spacing w:after="0"/>
              <w:rPr>
                <w:sz w:val="20"/>
                <w:szCs w:val="20"/>
                <w:color w:val="auto"/>
              </w:rPr>
            </w:pPr>
            <w:r>
              <w:rPr>
                <w:rFonts w:ascii="Arial" w:cs="Arial" w:eastAsia="Arial" w:hAnsi="Arial"/>
                <w:sz w:val="19"/>
                <w:szCs w:val="19"/>
                <w:color w:val="auto"/>
              </w:rPr>
              <w:t>4.4</w:t>
            </w:r>
          </w:p>
        </w:tc>
        <w:tc>
          <w:tcPr>
            <w:tcW w:w="1000" w:type="dxa"/>
            <w:vAlign w:val="bottom"/>
            <w:gridSpan w:val="2"/>
          </w:tcPr>
          <w:p>
            <w:pPr>
              <w:ind w:left="140"/>
              <w:spacing w:after="0"/>
              <w:rPr>
                <w:sz w:val="20"/>
                <w:szCs w:val="20"/>
                <w:color w:val="auto"/>
              </w:rPr>
            </w:pPr>
            <w:r>
              <w:rPr>
                <w:rFonts w:ascii="Arial" w:cs="Arial" w:eastAsia="Arial" w:hAnsi="Arial"/>
                <w:sz w:val="19"/>
                <w:szCs w:val="19"/>
                <w:color w:val="auto"/>
              </w:rPr>
              <w:t>UAL</w:t>
            </w:r>
          </w:p>
        </w:tc>
        <w:tc>
          <w:tcPr>
            <w:tcW w:w="140" w:type="dxa"/>
            <w:vAlign w:val="bottom"/>
          </w:tcPr>
          <w:p>
            <w:pPr>
              <w:spacing w:after="0"/>
              <w:rPr>
                <w:sz w:val="24"/>
                <w:szCs w:val="24"/>
                <w:color w:val="auto"/>
              </w:rPr>
            </w:pPr>
          </w:p>
        </w:tc>
        <w:tc>
          <w:tcPr>
            <w:tcW w:w="7440" w:type="dxa"/>
            <w:vAlign w:val="bottom"/>
            <w:gridSpan w:val="22"/>
          </w:tcPr>
          <w:p>
            <w:pPr>
              <w:spacing w:after="0"/>
              <w:rPr>
                <w:sz w:val="20"/>
                <w:szCs w:val="20"/>
                <w:color w:val="auto"/>
              </w:rPr>
            </w:pPr>
            <w:r>
              <w:rPr>
                <w:rFonts w:ascii="Arial" w:cs="Arial" w:eastAsia="Arial" w:hAnsi="Arial"/>
                <w:sz w:val="19"/>
                <w:szCs w:val="19"/>
                <w:color w:val="auto"/>
                <w:w w:val="97"/>
              </w:rPr>
              <w:t>Indenture, dated as of April 21, 2021, among United Airlines, Inc., United Airlines Holdings,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940" w:type="dxa"/>
            <w:vAlign w:val="bottom"/>
          </w:tcPr>
          <w:p>
            <w:pPr>
              <w:spacing w:after="0"/>
              <w:rPr>
                <w:sz w:val="16"/>
                <w:szCs w:val="16"/>
                <w:color w:val="auto"/>
              </w:rPr>
            </w:pPr>
          </w:p>
        </w:tc>
        <w:tc>
          <w:tcPr>
            <w:tcW w:w="1000" w:type="dxa"/>
            <w:vAlign w:val="bottom"/>
            <w:gridSpan w:val="2"/>
          </w:tcPr>
          <w:p>
            <w:pPr>
              <w:ind w:left="140"/>
              <w:spacing w:after="0" w:line="184" w:lineRule="exact"/>
              <w:rPr>
                <w:sz w:val="20"/>
                <w:szCs w:val="20"/>
                <w:color w:val="auto"/>
              </w:rPr>
            </w:pPr>
            <w:r>
              <w:rPr>
                <w:rFonts w:ascii="Arial" w:cs="Arial" w:eastAsia="Arial" w:hAnsi="Arial"/>
                <w:sz w:val="19"/>
                <w:szCs w:val="19"/>
                <w:color w:val="auto"/>
              </w:rPr>
              <w:t>United</w:t>
            </w:r>
          </w:p>
        </w:tc>
        <w:tc>
          <w:tcPr>
            <w:tcW w:w="140" w:type="dxa"/>
            <w:vAlign w:val="bottom"/>
          </w:tcPr>
          <w:p>
            <w:pPr>
              <w:spacing w:after="0"/>
              <w:rPr>
                <w:sz w:val="16"/>
                <w:szCs w:val="16"/>
                <w:color w:val="auto"/>
              </w:rPr>
            </w:pPr>
          </w:p>
        </w:tc>
        <w:tc>
          <w:tcPr>
            <w:tcW w:w="7300" w:type="dxa"/>
            <w:vAlign w:val="bottom"/>
            <w:tcBorders>
              <w:top w:val="single" w:sz="8" w:color="auto"/>
            </w:tcBorders>
            <w:gridSpan w:val="15"/>
          </w:tcPr>
          <w:p>
            <w:pPr>
              <w:spacing w:after="0" w:line="184" w:lineRule="exact"/>
              <w:rPr>
                <w:sz w:val="20"/>
                <w:szCs w:val="20"/>
                <w:color w:val="auto"/>
              </w:rPr>
            </w:pPr>
            <w:r>
              <w:rPr>
                <w:rFonts w:ascii="Arial" w:cs="Arial" w:eastAsia="Arial" w:hAnsi="Arial"/>
                <w:sz w:val="19"/>
                <w:szCs w:val="19"/>
                <w:color w:val="auto"/>
                <w:w w:val="94"/>
              </w:rPr>
              <w:t>Inc. and Wilmington Trust, National Association, as trustee and as collateral trustee (filed as</w:t>
            </w:r>
          </w:p>
        </w:tc>
        <w:tc>
          <w:tcPr>
            <w:tcW w:w="140" w:type="dxa"/>
            <w:vAlign w:val="bottom"/>
            <w:gridSpan w:val="7"/>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20" w:type="dxa"/>
            <w:vAlign w:val="bottom"/>
            <w:tcBorders>
              <w:top w:val="single" w:sz="8" w:color="auto"/>
            </w:tcBorders>
            <w:gridSpan w:val="14"/>
          </w:tcPr>
          <w:p>
            <w:pPr>
              <w:spacing w:after="0" w:line="174" w:lineRule="exact"/>
              <w:rPr>
                <w:sz w:val="20"/>
                <w:szCs w:val="20"/>
                <w:color w:val="auto"/>
              </w:rPr>
            </w:pPr>
            <w:r>
              <w:rPr>
                <w:rFonts w:ascii="Arial" w:cs="Arial" w:eastAsia="Arial" w:hAnsi="Arial"/>
                <w:sz w:val="19"/>
                <w:szCs w:val="19"/>
                <w:color w:val="auto"/>
                <w:w w:val="97"/>
              </w:rPr>
              <w:t>Exhibit 4.1 to UAL's Form 8-K filed April 22, 2021 and incorporated herein by reference)</w:t>
            </w:r>
          </w:p>
        </w:tc>
        <w:tc>
          <w:tcPr>
            <w:tcW w:w="22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620"/>
          </w:cols>
          <w:pgMar w:left="960" w:top="579" w:right="1300" w:bottom="33" w:gutter="0" w:footer="0" w:header="0"/>
        </w:sectPr>
      </w:pP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9620"/>
          </w:cols>
          <w:pgMar w:left="960" w:top="579" w:right="1300" w:bottom="33"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24"/>
        </w:trPr>
        <w:tc>
          <w:tcPr>
            <w:tcW w:w="700" w:type="dxa"/>
            <w:vAlign w:val="bottom"/>
          </w:tcPr>
          <w:p>
            <w:pPr>
              <w:spacing w:after="0"/>
              <w:rPr>
                <w:sz w:val="20"/>
                <w:szCs w:val="20"/>
                <w:color w:val="auto"/>
              </w:rPr>
            </w:pPr>
            <w:r>
              <w:rPr>
                <w:rFonts w:ascii="Arial" w:cs="Arial" w:eastAsia="Arial" w:hAnsi="Arial"/>
                <w:sz w:val="19"/>
                <w:szCs w:val="19"/>
                <w:color w:val="auto"/>
              </w:rPr>
              <w:t>4.5</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60" w:type="dxa"/>
            <w:vAlign w:val="bottom"/>
            <w:gridSpan w:val="24"/>
          </w:tcPr>
          <w:p>
            <w:pPr>
              <w:spacing w:after="0"/>
              <w:rPr>
                <w:sz w:val="20"/>
                <w:szCs w:val="20"/>
                <w:color w:val="auto"/>
              </w:rPr>
            </w:pPr>
            <w:r>
              <w:rPr>
                <w:rFonts w:ascii="Arial" w:cs="Arial" w:eastAsia="Arial" w:hAnsi="Arial"/>
                <w:sz w:val="19"/>
                <w:szCs w:val="19"/>
                <w:color w:val="auto"/>
                <w:w w:val="95"/>
              </w:rPr>
              <w:t>Form of 4.375% Senior Secured Notes due 2026 (filed as Exhibit 4.2 to UAL's Form 8-K filed</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4"/>
        </w:trPr>
        <w:tc>
          <w:tcPr>
            <w:tcW w:w="700" w:type="dxa"/>
            <w:vAlign w:val="bottom"/>
          </w:tcPr>
          <w:p>
            <w:pPr>
              <w:spacing w:after="0"/>
              <w:rPr>
                <w:sz w:val="16"/>
                <w:szCs w:val="16"/>
                <w:color w:val="auto"/>
              </w:rPr>
            </w:pPr>
          </w:p>
        </w:tc>
        <w:tc>
          <w:tcPr>
            <w:tcW w:w="1380" w:type="dxa"/>
            <w:vAlign w:val="bottom"/>
          </w:tcPr>
          <w:p>
            <w:pPr>
              <w:ind w:left="380"/>
              <w:spacing w:after="0" w:line="184" w:lineRule="exact"/>
              <w:rPr>
                <w:sz w:val="20"/>
                <w:szCs w:val="20"/>
                <w:color w:val="auto"/>
              </w:rPr>
            </w:pPr>
            <w:r>
              <w:rPr>
                <w:rFonts w:ascii="Arial" w:cs="Arial" w:eastAsia="Arial" w:hAnsi="Arial"/>
                <w:sz w:val="19"/>
                <w:szCs w:val="19"/>
                <w:color w:val="auto"/>
              </w:rPr>
              <w:t>United</w:t>
            </w:r>
          </w:p>
        </w:tc>
        <w:tc>
          <w:tcPr>
            <w:tcW w:w="4120" w:type="dxa"/>
            <w:vAlign w:val="bottom"/>
            <w:tcBorders>
              <w:top w:val="single" w:sz="8" w:color="auto"/>
              <w:bottom w:val="single" w:sz="8" w:color="auto"/>
            </w:tcBorders>
            <w:gridSpan w:val="5"/>
          </w:tcPr>
          <w:p>
            <w:pPr>
              <w:spacing w:after="0" w:line="184" w:lineRule="exact"/>
              <w:rPr>
                <w:sz w:val="20"/>
                <w:szCs w:val="20"/>
                <w:color w:val="auto"/>
              </w:rPr>
            </w:pPr>
            <w:r>
              <w:rPr>
                <w:rFonts w:ascii="Arial" w:cs="Arial" w:eastAsia="Arial" w:hAnsi="Arial"/>
                <w:sz w:val="19"/>
                <w:szCs w:val="19"/>
                <w:color w:val="auto"/>
                <w:w w:val="93"/>
              </w:rPr>
              <w:t>April 22, 2021 and incorporated herein by reference)</w:t>
            </w:r>
          </w:p>
        </w:tc>
        <w:tc>
          <w:tcPr>
            <w:tcW w:w="3280" w:type="dxa"/>
            <w:vAlign w:val="bottom"/>
            <w:tcBorders>
              <w:top w:val="single" w:sz="8" w:color="auto"/>
            </w:tcBorders>
            <w:gridSpan w:val="17"/>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32"/>
        </w:trPr>
        <w:tc>
          <w:tcPr>
            <w:tcW w:w="700" w:type="dxa"/>
            <w:vAlign w:val="bottom"/>
          </w:tcPr>
          <w:p>
            <w:pPr>
              <w:spacing w:after="0"/>
              <w:rPr>
                <w:sz w:val="20"/>
                <w:szCs w:val="20"/>
                <w:color w:val="auto"/>
              </w:rPr>
            </w:pPr>
            <w:r>
              <w:rPr>
                <w:rFonts w:ascii="Arial" w:cs="Arial" w:eastAsia="Arial" w:hAnsi="Arial"/>
                <w:sz w:val="19"/>
                <w:szCs w:val="19"/>
                <w:color w:val="auto"/>
              </w:rPr>
              <w:t>4.6</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60" w:type="dxa"/>
            <w:vAlign w:val="bottom"/>
            <w:tcBorders>
              <w:bottom w:val="single" w:sz="8" w:color="auto"/>
            </w:tcBorders>
            <w:gridSpan w:val="24"/>
          </w:tcPr>
          <w:p>
            <w:pPr>
              <w:spacing w:after="0"/>
              <w:rPr>
                <w:sz w:val="20"/>
                <w:szCs w:val="20"/>
                <w:color w:val="auto"/>
              </w:rPr>
            </w:pPr>
            <w:r>
              <w:rPr>
                <w:rFonts w:ascii="Arial" w:cs="Arial" w:eastAsia="Arial" w:hAnsi="Arial"/>
                <w:sz w:val="19"/>
                <w:szCs w:val="19"/>
                <w:color w:val="auto"/>
                <w:w w:val="93"/>
              </w:rPr>
              <w:t>Form of Notation of Guarantee for the 4.375% Senior Secured Notes due 2026 (filed as Exhibit</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700" w:type="dxa"/>
            <w:vAlign w:val="bottom"/>
          </w:tcPr>
          <w:p>
            <w:pPr>
              <w:spacing w:after="0"/>
              <w:rPr>
                <w:sz w:val="16"/>
                <w:szCs w:val="16"/>
                <w:color w:val="auto"/>
              </w:rPr>
            </w:pPr>
          </w:p>
        </w:tc>
        <w:tc>
          <w:tcPr>
            <w:tcW w:w="1380" w:type="dxa"/>
            <w:vAlign w:val="bottom"/>
          </w:tcPr>
          <w:p>
            <w:pPr>
              <w:ind w:left="380"/>
              <w:spacing w:after="0" w:line="184" w:lineRule="exact"/>
              <w:rPr>
                <w:sz w:val="20"/>
                <w:szCs w:val="20"/>
                <w:color w:val="auto"/>
              </w:rPr>
            </w:pPr>
            <w:r>
              <w:rPr>
                <w:rFonts w:ascii="Arial" w:cs="Arial" w:eastAsia="Arial" w:hAnsi="Arial"/>
                <w:sz w:val="19"/>
                <w:szCs w:val="19"/>
                <w:color w:val="auto"/>
              </w:rPr>
              <w:t>United</w:t>
            </w:r>
          </w:p>
        </w:tc>
        <w:tc>
          <w:tcPr>
            <w:tcW w:w="7460" w:type="dxa"/>
            <w:vAlign w:val="bottom"/>
            <w:gridSpan w:val="24"/>
          </w:tcPr>
          <w:p>
            <w:pPr>
              <w:spacing w:after="0" w:line="184" w:lineRule="exact"/>
              <w:rPr>
                <w:sz w:val="20"/>
                <w:szCs w:val="20"/>
                <w:color w:val="auto"/>
              </w:rPr>
            </w:pPr>
            <w:r>
              <w:rPr>
                <w:rFonts w:ascii="Arial" w:cs="Arial" w:eastAsia="Arial" w:hAnsi="Arial"/>
                <w:sz w:val="19"/>
                <w:szCs w:val="19"/>
                <w:color w:val="auto"/>
              </w:rPr>
              <w:t>4.</w:t>
            </w:r>
            <w:r>
              <w:rPr>
                <w:rFonts w:ascii="Arial" w:cs="Arial" w:eastAsia="Arial" w:hAnsi="Arial"/>
                <w:sz w:val="19"/>
                <w:szCs w:val="19"/>
                <w:u w:val="single" w:color="auto"/>
                <w:color w:val="auto"/>
              </w:rPr>
              <w:t>3</w:t>
            </w:r>
            <w:r>
              <w:rPr>
                <w:rFonts w:ascii="Arial" w:cs="Arial" w:eastAsia="Arial" w:hAnsi="Arial"/>
                <w:sz w:val="19"/>
                <w:szCs w:val="19"/>
                <w:color w:val="auto"/>
              </w:rPr>
              <w:t xml:space="preserve"> to UAL's Form 8-K filed April 22, 2021 and incorporated herein by reference)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7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2"/>
        </w:trPr>
        <w:tc>
          <w:tcPr>
            <w:tcW w:w="700" w:type="dxa"/>
            <w:vAlign w:val="bottom"/>
          </w:tcPr>
          <w:p>
            <w:pPr>
              <w:spacing w:after="0"/>
              <w:rPr>
                <w:sz w:val="20"/>
                <w:szCs w:val="20"/>
                <w:color w:val="auto"/>
              </w:rPr>
            </w:pPr>
            <w:r>
              <w:rPr>
                <w:rFonts w:ascii="Arial" w:cs="Arial" w:eastAsia="Arial" w:hAnsi="Arial"/>
                <w:sz w:val="19"/>
                <w:szCs w:val="19"/>
                <w:color w:val="auto"/>
              </w:rPr>
              <w:t>4.7</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60" w:type="dxa"/>
            <w:vAlign w:val="bottom"/>
            <w:gridSpan w:val="24"/>
          </w:tcPr>
          <w:p>
            <w:pPr>
              <w:spacing w:after="0"/>
              <w:rPr>
                <w:sz w:val="20"/>
                <w:szCs w:val="20"/>
                <w:color w:val="auto"/>
              </w:rPr>
            </w:pPr>
            <w:r>
              <w:rPr>
                <w:rFonts w:ascii="Arial" w:cs="Arial" w:eastAsia="Arial" w:hAnsi="Arial"/>
                <w:sz w:val="19"/>
                <w:szCs w:val="19"/>
                <w:color w:val="auto"/>
                <w:w w:val="95"/>
              </w:rPr>
              <w:t>Form of 4.625% Senior Secured Notes due 2029 (filed as Exhibit 4.4 to UAL's Form 8-K filed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700" w:type="dxa"/>
            <w:vAlign w:val="bottom"/>
          </w:tcPr>
          <w:p>
            <w:pPr>
              <w:spacing w:after="0"/>
              <w:rPr>
                <w:sz w:val="16"/>
                <w:szCs w:val="16"/>
                <w:color w:val="auto"/>
              </w:rPr>
            </w:pPr>
          </w:p>
        </w:tc>
        <w:tc>
          <w:tcPr>
            <w:tcW w:w="1380" w:type="dxa"/>
            <w:vAlign w:val="bottom"/>
          </w:tcPr>
          <w:p>
            <w:pPr>
              <w:ind w:left="380"/>
              <w:spacing w:after="0" w:line="184" w:lineRule="exact"/>
              <w:rPr>
                <w:sz w:val="20"/>
                <w:szCs w:val="20"/>
                <w:color w:val="auto"/>
              </w:rPr>
            </w:pPr>
            <w:r>
              <w:rPr>
                <w:rFonts w:ascii="Arial" w:cs="Arial" w:eastAsia="Arial" w:hAnsi="Arial"/>
                <w:sz w:val="19"/>
                <w:szCs w:val="19"/>
                <w:color w:val="auto"/>
              </w:rPr>
              <w:t>United</w:t>
            </w:r>
          </w:p>
        </w:tc>
        <w:tc>
          <w:tcPr>
            <w:tcW w:w="4120" w:type="dxa"/>
            <w:vAlign w:val="bottom"/>
            <w:tcBorders>
              <w:top w:val="single" w:sz="8" w:color="auto"/>
              <w:bottom w:val="single" w:sz="8" w:color="auto"/>
            </w:tcBorders>
            <w:gridSpan w:val="5"/>
          </w:tcPr>
          <w:p>
            <w:pPr>
              <w:spacing w:after="0" w:line="184" w:lineRule="exact"/>
              <w:rPr>
                <w:sz w:val="20"/>
                <w:szCs w:val="20"/>
                <w:color w:val="auto"/>
              </w:rPr>
            </w:pPr>
            <w:r>
              <w:rPr>
                <w:rFonts w:ascii="Arial" w:cs="Arial" w:eastAsia="Arial" w:hAnsi="Arial"/>
                <w:sz w:val="19"/>
                <w:szCs w:val="19"/>
                <w:color w:val="auto"/>
                <w:w w:val="93"/>
              </w:rPr>
              <w:t>April 22, 2021 and incorporated herein by reference)</w:t>
            </w:r>
          </w:p>
        </w:tc>
        <w:tc>
          <w:tcPr>
            <w:tcW w:w="3280" w:type="dxa"/>
            <w:vAlign w:val="bottom"/>
            <w:tcBorders>
              <w:top w:val="single" w:sz="8" w:color="auto"/>
            </w:tcBorders>
            <w:gridSpan w:val="17"/>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32"/>
        </w:trPr>
        <w:tc>
          <w:tcPr>
            <w:tcW w:w="700" w:type="dxa"/>
            <w:vAlign w:val="bottom"/>
          </w:tcPr>
          <w:p>
            <w:pPr>
              <w:spacing w:after="0"/>
              <w:rPr>
                <w:sz w:val="20"/>
                <w:szCs w:val="20"/>
                <w:color w:val="auto"/>
              </w:rPr>
            </w:pPr>
            <w:r>
              <w:rPr>
                <w:rFonts w:ascii="Arial" w:cs="Arial" w:eastAsia="Arial" w:hAnsi="Arial"/>
                <w:sz w:val="19"/>
                <w:szCs w:val="19"/>
                <w:color w:val="auto"/>
              </w:rPr>
              <w:t>4.8</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60" w:type="dxa"/>
            <w:vAlign w:val="bottom"/>
            <w:tcBorders>
              <w:bottom w:val="single" w:sz="8" w:color="auto"/>
            </w:tcBorders>
            <w:gridSpan w:val="24"/>
          </w:tcPr>
          <w:p>
            <w:pPr>
              <w:spacing w:after="0"/>
              <w:rPr>
                <w:sz w:val="20"/>
                <w:szCs w:val="20"/>
                <w:color w:val="auto"/>
              </w:rPr>
            </w:pPr>
            <w:r>
              <w:rPr>
                <w:rFonts w:ascii="Arial" w:cs="Arial" w:eastAsia="Arial" w:hAnsi="Arial"/>
                <w:sz w:val="19"/>
                <w:szCs w:val="19"/>
                <w:color w:val="auto"/>
                <w:w w:val="93"/>
              </w:rPr>
              <w:t>Form of Notation of Guarantee for the 4.625% Senior Secured Notes due 2029 (filed as Exhibit</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700" w:type="dxa"/>
            <w:vAlign w:val="bottom"/>
          </w:tcPr>
          <w:p>
            <w:pPr>
              <w:spacing w:after="0"/>
              <w:rPr>
                <w:sz w:val="16"/>
                <w:szCs w:val="16"/>
                <w:color w:val="auto"/>
              </w:rPr>
            </w:pPr>
          </w:p>
        </w:tc>
        <w:tc>
          <w:tcPr>
            <w:tcW w:w="1380" w:type="dxa"/>
            <w:vAlign w:val="bottom"/>
          </w:tcPr>
          <w:p>
            <w:pPr>
              <w:ind w:left="380"/>
              <w:spacing w:after="0" w:line="184" w:lineRule="exact"/>
              <w:rPr>
                <w:sz w:val="20"/>
                <w:szCs w:val="20"/>
                <w:color w:val="auto"/>
              </w:rPr>
            </w:pPr>
            <w:r>
              <w:rPr>
                <w:rFonts w:ascii="Arial" w:cs="Arial" w:eastAsia="Arial" w:hAnsi="Arial"/>
                <w:sz w:val="19"/>
                <w:szCs w:val="19"/>
                <w:color w:val="auto"/>
              </w:rPr>
              <w:t>United</w:t>
            </w:r>
          </w:p>
        </w:tc>
        <w:tc>
          <w:tcPr>
            <w:tcW w:w="7460" w:type="dxa"/>
            <w:vAlign w:val="bottom"/>
            <w:gridSpan w:val="24"/>
          </w:tcPr>
          <w:p>
            <w:pPr>
              <w:spacing w:after="0" w:line="184" w:lineRule="exact"/>
              <w:rPr>
                <w:sz w:val="20"/>
                <w:szCs w:val="20"/>
                <w:color w:val="auto"/>
              </w:rPr>
            </w:pPr>
            <w:r>
              <w:rPr>
                <w:rFonts w:ascii="Arial" w:cs="Arial" w:eastAsia="Arial" w:hAnsi="Arial"/>
                <w:sz w:val="19"/>
                <w:szCs w:val="19"/>
                <w:color w:val="auto"/>
              </w:rPr>
              <w:t>4.</w:t>
            </w:r>
            <w:r>
              <w:rPr>
                <w:rFonts w:ascii="Arial" w:cs="Arial" w:eastAsia="Arial" w:hAnsi="Arial"/>
                <w:sz w:val="19"/>
                <w:szCs w:val="19"/>
                <w:u w:val="single" w:color="auto"/>
                <w:color w:val="auto"/>
              </w:rPr>
              <w:t>5</w:t>
            </w:r>
            <w:r>
              <w:rPr>
                <w:rFonts w:ascii="Arial" w:cs="Arial" w:eastAsia="Arial" w:hAnsi="Arial"/>
                <w:sz w:val="19"/>
                <w:szCs w:val="19"/>
                <w:color w:val="auto"/>
              </w:rPr>
              <w:t xml:space="preserve"> to UAL's Form 8-K filed April 22, 2021 and incorporated herein by reference)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7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2"/>
        </w:trPr>
        <w:tc>
          <w:tcPr>
            <w:tcW w:w="700" w:type="dxa"/>
            <w:vAlign w:val="bottom"/>
          </w:tcPr>
          <w:p>
            <w:pPr>
              <w:spacing w:after="0"/>
              <w:rPr>
                <w:sz w:val="20"/>
                <w:szCs w:val="20"/>
                <w:color w:val="auto"/>
              </w:rPr>
            </w:pPr>
            <w:r>
              <w:rPr>
                <w:rFonts w:ascii="Arial" w:cs="Arial" w:eastAsia="Arial" w:hAnsi="Arial"/>
                <w:sz w:val="19"/>
                <w:szCs w:val="19"/>
                <w:color w:val="auto"/>
              </w:rPr>
              <w:t>4.9</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140" w:type="dxa"/>
            <w:vAlign w:val="bottom"/>
            <w:tcBorders>
              <w:bottom w:val="single" w:sz="8" w:color="auto"/>
            </w:tcBorders>
            <w:gridSpan w:val="13"/>
          </w:tcPr>
          <w:p>
            <w:pPr>
              <w:spacing w:after="0"/>
              <w:rPr>
                <w:sz w:val="20"/>
                <w:szCs w:val="20"/>
                <w:color w:val="auto"/>
              </w:rPr>
            </w:pPr>
            <w:r>
              <w:rPr>
                <w:rFonts w:ascii="Arial" w:cs="Arial" w:eastAsia="Arial" w:hAnsi="Arial"/>
                <w:sz w:val="19"/>
                <w:szCs w:val="19"/>
                <w:color w:val="auto"/>
                <w:w w:val="94"/>
              </w:rPr>
              <w:t>Promissory Note, dated as of April 29, 2021, among United Airlines Holdings, Inc., United</w:t>
            </w:r>
          </w:p>
        </w:tc>
        <w:tc>
          <w:tcPr>
            <w:tcW w:w="3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700" w:type="dxa"/>
            <w:vAlign w:val="bottom"/>
          </w:tcPr>
          <w:p>
            <w:pPr>
              <w:spacing w:after="0"/>
              <w:rPr>
                <w:sz w:val="16"/>
                <w:szCs w:val="16"/>
                <w:color w:val="auto"/>
              </w:rPr>
            </w:pPr>
          </w:p>
        </w:tc>
        <w:tc>
          <w:tcPr>
            <w:tcW w:w="1380" w:type="dxa"/>
            <w:vAlign w:val="bottom"/>
          </w:tcPr>
          <w:p>
            <w:pPr>
              <w:ind w:left="380"/>
              <w:spacing w:after="0" w:line="184" w:lineRule="exact"/>
              <w:rPr>
                <w:sz w:val="20"/>
                <w:szCs w:val="20"/>
                <w:color w:val="auto"/>
              </w:rPr>
            </w:pPr>
            <w:r>
              <w:rPr>
                <w:rFonts w:ascii="Arial" w:cs="Arial" w:eastAsia="Arial" w:hAnsi="Arial"/>
                <w:sz w:val="19"/>
                <w:szCs w:val="19"/>
                <w:color w:val="auto"/>
              </w:rPr>
              <w:t>United</w:t>
            </w:r>
          </w:p>
        </w:tc>
        <w:tc>
          <w:tcPr>
            <w:tcW w:w="7460" w:type="dxa"/>
            <w:vAlign w:val="bottom"/>
            <w:gridSpan w:val="24"/>
          </w:tcPr>
          <w:p>
            <w:pPr>
              <w:spacing w:after="0" w:line="184" w:lineRule="exact"/>
              <w:rPr>
                <w:sz w:val="20"/>
                <w:szCs w:val="20"/>
                <w:color w:val="auto"/>
              </w:rPr>
            </w:pPr>
            <w:r>
              <w:rPr>
                <w:rFonts w:ascii="Arial" w:cs="Arial" w:eastAsia="Arial" w:hAnsi="Arial"/>
                <w:sz w:val="19"/>
                <w:szCs w:val="19"/>
                <w:color w:val="auto"/>
                <w:w w:val="94"/>
              </w:rPr>
              <w:t>Airlines, Inc., as guarantor, and the United States Department of the Treasury (filed as Exhibit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360" w:type="dxa"/>
            <w:vAlign w:val="bottom"/>
            <w:tcBorders>
              <w:top w:val="single" w:sz="8" w:color="auto"/>
            </w:tcBorders>
            <w:gridSpan w:val="20"/>
          </w:tcPr>
          <w:p>
            <w:pPr>
              <w:spacing w:after="0" w:line="174" w:lineRule="exact"/>
              <w:rPr>
                <w:sz w:val="20"/>
                <w:szCs w:val="20"/>
                <w:color w:val="auto"/>
              </w:rPr>
            </w:pPr>
            <w:r>
              <w:rPr>
                <w:rFonts w:ascii="Arial" w:cs="Arial" w:eastAsia="Arial" w:hAnsi="Arial"/>
                <w:sz w:val="19"/>
                <w:szCs w:val="19"/>
                <w:color w:val="auto"/>
              </w:rPr>
              <w:t>4.</w:t>
            </w:r>
            <w:r>
              <w:rPr>
                <w:rFonts w:ascii="Arial" w:cs="Arial" w:eastAsia="Arial" w:hAnsi="Arial"/>
                <w:sz w:val="19"/>
                <w:szCs w:val="19"/>
                <w:u w:val="single" w:color="auto"/>
                <w:color w:val="auto"/>
              </w:rPr>
              <w:t>1</w:t>
            </w:r>
            <w:r>
              <w:rPr>
                <w:rFonts w:ascii="Arial" w:cs="Arial" w:eastAsia="Arial" w:hAnsi="Arial"/>
                <w:sz w:val="19"/>
                <w:szCs w:val="19"/>
                <w:color w:val="auto"/>
              </w:rPr>
              <w:t xml:space="preserve"> to UAL's Form 8-K filed April 30, 2021 and incorporated herein by reference)</w:t>
            </w: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7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2"/>
        </w:trPr>
        <w:tc>
          <w:tcPr>
            <w:tcW w:w="700" w:type="dxa"/>
            <w:vAlign w:val="bottom"/>
          </w:tcPr>
          <w:p>
            <w:pPr>
              <w:spacing w:after="0"/>
              <w:rPr>
                <w:sz w:val="20"/>
                <w:szCs w:val="20"/>
                <w:color w:val="auto"/>
              </w:rPr>
            </w:pPr>
            <w:r>
              <w:rPr>
                <w:rFonts w:ascii="Arial" w:cs="Arial" w:eastAsia="Arial" w:hAnsi="Arial"/>
                <w:sz w:val="19"/>
                <w:szCs w:val="19"/>
                <w:color w:val="auto"/>
              </w:rPr>
              <w:t>4.10</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60" w:type="dxa"/>
            <w:vAlign w:val="bottom"/>
            <w:gridSpan w:val="24"/>
          </w:tcPr>
          <w:p>
            <w:pPr>
              <w:spacing w:after="0"/>
              <w:rPr>
                <w:sz w:val="20"/>
                <w:szCs w:val="20"/>
                <w:color w:val="auto"/>
              </w:rPr>
            </w:pPr>
            <w:r>
              <w:rPr>
                <w:rFonts w:ascii="Arial" w:cs="Arial" w:eastAsia="Arial" w:hAnsi="Arial"/>
                <w:sz w:val="19"/>
                <w:szCs w:val="19"/>
                <w:color w:val="auto"/>
                <w:w w:val="94"/>
              </w:rPr>
              <w:t>Sixth Supplemental Indenture, dated as of February 2, 2026, among United Airlines Holdings,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700" w:type="dxa"/>
            <w:vAlign w:val="bottom"/>
          </w:tcPr>
          <w:p>
            <w:pPr>
              <w:spacing w:after="0"/>
              <w:rPr>
                <w:sz w:val="16"/>
                <w:szCs w:val="16"/>
                <w:color w:val="auto"/>
              </w:rPr>
            </w:pPr>
          </w:p>
        </w:tc>
        <w:tc>
          <w:tcPr>
            <w:tcW w:w="1380" w:type="dxa"/>
            <w:vAlign w:val="bottom"/>
          </w:tcPr>
          <w:p>
            <w:pPr>
              <w:ind w:left="380"/>
              <w:spacing w:after="0" w:line="184" w:lineRule="exact"/>
              <w:rPr>
                <w:sz w:val="20"/>
                <w:szCs w:val="20"/>
                <w:color w:val="auto"/>
              </w:rPr>
            </w:pPr>
            <w:r>
              <w:rPr>
                <w:rFonts w:ascii="Arial" w:cs="Arial" w:eastAsia="Arial" w:hAnsi="Arial"/>
                <w:sz w:val="19"/>
                <w:szCs w:val="19"/>
                <w:color w:val="auto"/>
              </w:rPr>
              <w:t>United</w:t>
            </w:r>
          </w:p>
        </w:tc>
        <w:tc>
          <w:tcPr>
            <w:tcW w:w="7380" w:type="dxa"/>
            <w:vAlign w:val="bottom"/>
            <w:tcBorders>
              <w:top w:val="single" w:sz="8" w:color="auto"/>
              <w:bottom w:val="single" w:sz="8" w:color="auto"/>
            </w:tcBorders>
            <w:gridSpan w:val="21"/>
          </w:tcPr>
          <w:p>
            <w:pPr>
              <w:spacing w:after="0" w:line="184" w:lineRule="exact"/>
              <w:rPr>
                <w:sz w:val="20"/>
                <w:szCs w:val="20"/>
                <w:color w:val="auto"/>
              </w:rPr>
            </w:pPr>
            <w:r>
              <w:rPr>
                <w:rFonts w:ascii="Arial" w:cs="Arial" w:eastAsia="Arial" w:hAnsi="Arial"/>
                <w:sz w:val="19"/>
                <w:szCs w:val="19"/>
                <w:color w:val="auto"/>
                <w:w w:val="94"/>
              </w:rPr>
              <w:t>Inc., United Airlines, Inc. and The Bank of New York Mellon Trust Company, N.A., as Trustee</w:t>
            </w:r>
          </w:p>
        </w:tc>
        <w:tc>
          <w:tcPr>
            <w:tcW w:w="60" w:type="dxa"/>
            <w:vAlign w:val="bottom"/>
            <w:tcBorders>
              <w:bottom w:val="single" w:sz="8" w:color="auto"/>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460" w:type="dxa"/>
            <w:vAlign w:val="bottom"/>
            <w:gridSpan w:val="24"/>
          </w:tcPr>
          <w:p>
            <w:pPr>
              <w:spacing w:after="0" w:line="174" w:lineRule="exact"/>
              <w:rPr>
                <w:sz w:val="20"/>
                <w:szCs w:val="20"/>
                <w:color w:val="auto"/>
              </w:rPr>
            </w:pPr>
            <w:r>
              <w:rPr>
                <w:rFonts w:ascii="Arial" w:cs="Arial" w:eastAsia="Arial" w:hAnsi="Arial"/>
                <w:sz w:val="19"/>
                <w:szCs w:val="19"/>
                <w:color w:val="auto"/>
              </w:rPr>
              <w:t>(filed as Exhibit 4.2 to UAL's Form 8-K filed February 2, 2026 and incorporated herein by</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0"/>
              </w:rPr>
              <w:t>reference)</w:t>
            </w:r>
          </w:p>
        </w:tc>
        <w:tc>
          <w:tcPr>
            <w:tcW w:w="6300" w:type="dxa"/>
            <w:vAlign w:val="bottom"/>
            <w:tcBorders>
              <w:top w:val="single" w:sz="8" w:color="auto"/>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52"/>
        </w:trPr>
        <w:tc>
          <w:tcPr>
            <w:tcW w:w="700" w:type="dxa"/>
            <w:vAlign w:val="bottom"/>
          </w:tcPr>
          <w:p>
            <w:pPr>
              <w:spacing w:after="0"/>
              <w:rPr>
                <w:sz w:val="20"/>
                <w:szCs w:val="20"/>
                <w:color w:val="auto"/>
              </w:rPr>
            </w:pPr>
            <w:r>
              <w:rPr>
                <w:rFonts w:ascii="Arial" w:cs="Arial" w:eastAsia="Arial" w:hAnsi="Arial"/>
                <w:sz w:val="19"/>
                <w:szCs w:val="19"/>
                <w:color w:val="auto"/>
              </w:rPr>
              <w:t>4.11</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60" w:type="dxa"/>
            <w:vAlign w:val="bottom"/>
            <w:tcBorders>
              <w:bottom w:val="single" w:sz="8" w:color="auto"/>
            </w:tcBorders>
            <w:gridSpan w:val="24"/>
          </w:tcPr>
          <w:p>
            <w:pPr>
              <w:spacing w:after="0"/>
              <w:rPr>
                <w:sz w:val="20"/>
                <w:szCs w:val="20"/>
                <w:color w:val="auto"/>
              </w:rPr>
            </w:pPr>
            <w:r>
              <w:rPr>
                <w:rFonts w:ascii="Arial" w:cs="Arial" w:eastAsia="Arial" w:hAnsi="Arial"/>
                <w:sz w:val="19"/>
                <w:szCs w:val="19"/>
                <w:color w:val="auto"/>
                <w:w w:val="95"/>
              </w:rPr>
              <w:t>Form of 5.375% Senior Notes due 2031 (filed as Exhibit 4.3 to UAL's Form 8-K filed February</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700" w:type="dxa"/>
            <w:vAlign w:val="bottom"/>
          </w:tcPr>
          <w:p>
            <w:pPr>
              <w:spacing w:after="0"/>
              <w:rPr>
                <w:sz w:val="16"/>
                <w:szCs w:val="16"/>
                <w:color w:val="auto"/>
              </w:rPr>
            </w:pPr>
          </w:p>
        </w:tc>
        <w:tc>
          <w:tcPr>
            <w:tcW w:w="1380" w:type="dxa"/>
            <w:vAlign w:val="bottom"/>
          </w:tcPr>
          <w:p>
            <w:pPr>
              <w:ind w:left="380"/>
              <w:spacing w:after="0" w:line="184" w:lineRule="exact"/>
              <w:rPr>
                <w:sz w:val="20"/>
                <w:szCs w:val="20"/>
                <w:color w:val="auto"/>
              </w:rPr>
            </w:pPr>
            <w:r>
              <w:rPr>
                <w:rFonts w:ascii="Arial" w:cs="Arial" w:eastAsia="Arial" w:hAnsi="Arial"/>
                <w:sz w:val="19"/>
                <w:szCs w:val="19"/>
                <w:color w:val="auto"/>
              </w:rPr>
              <w:t>United</w:t>
            </w:r>
          </w:p>
        </w:tc>
        <w:tc>
          <w:tcPr>
            <w:tcW w:w="3560" w:type="dxa"/>
            <w:vAlign w:val="bottom"/>
            <w:tcBorders>
              <w:bottom w:val="single" w:sz="8" w:color="auto"/>
            </w:tcBorders>
            <w:gridSpan w:val="4"/>
          </w:tcPr>
          <w:p>
            <w:pPr>
              <w:spacing w:after="0" w:line="184" w:lineRule="exact"/>
              <w:rPr>
                <w:sz w:val="20"/>
                <w:szCs w:val="20"/>
                <w:color w:val="auto"/>
              </w:rPr>
            </w:pPr>
            <w:r>
              <w:rPr>
                <w:rFonts w:ascii="Arial" w:cs="Arial" w:eastAsia="Arial" w:hAnsi="Arial"/>
                <w:sz w:val="19"/>
                <w:szCs w:val="19"/>
                <w:color w:val="auto"/>
                <w:w w:val="91"/>
              </w:rPr>
              <w:t>2, 2026 and incorporated herein by reference)</w:t>
            </w:r>
          </w:p>
        </w:tc>
        <w:tc>
          <w:tcPr>
            <w:tcW w:w="3900" w:type="dxa"/>
            <w:vAlign w:val="bottom"/>
            <w:gridSpan w:val="20"/>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32"/>
        </w:trPr>
        <w:tc>
          <w:tcPr>
            <w:tcW w:w="700" w:type="dxa"/>
            <w:vAlign w:val="bottom"/>
          </w:tcPr>
          <w:p>
            <w:pPr>
              <w:spacing w:after="0"/>
              <w:rPr>
                <w:sz w:val="20"/>
                <w:szCs w:val="20"/>
                <w:color w:val="auto"/>
              </w:rPr>
            </w:pPr>
            <w:r>
              <w:rPr>
                <w:rFonts w:ascii="Arial" w:cs="Arial" w:eastAsia="Arial" w:hAnsi="Arial"/>
                <w:sz w:val="19"/>
                <w:szCs w:val="19"/>
                <w:color w:val="auto"/>
              </w:rPr>
              <w:t>4.12</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60" w:type="dxa"/>
            <w:vAlign w:val="bottom"/>
            <w:tcBorders>
              <w:bottom w:val="single" w:sz="8" w:color="auto"/>
            </w:tcBorders>
            <w:gridSpan w:val="24"/>
          </w:tcPr>
          <w:p>
            <w:pPr>
              <w:spacing w:after="0"/>
              <w:rPr>
                <w:sz w:val="20"/>
                <w:szCs w:val="20"/>
                <w:color w:val="auto"/>
              </w:rPr>
            </w:pPr>
            <w:r>
              <w:rPr>
                <w:rFonts w:ascii="Arial" w:cs="Arial" w:eastAsia="Arial" w:hAnsi="Arial"/>
                <w:sz w:val="19"/>
                <w:szCs w:val="19"/>
                <w:color w:val="auto"/>
                <w:w w:val="93"/>
              </w:rPr>
              <w:t>Form of Notation of Note Guarantee for the 5.375% Senior Notes due 2031 (filed as Exhibit 4.4</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84"/>
        </w:trPr>
        <w:tc>
          <w:tcPr>
            <w:tcW w:w="700" w:type="dxa"/>
            <w:vAlign w:val="bottom"/>
          </w:tcPr>
          <w:p>
            <w:pPr>
              <w:spacing w:after="0"/>
              <w:rPr>
                <w:sz w:val="16"/>
                <w:szCs w:val="16"/>
                <w:color w:val="auto"/>
              </w:rPr>
            </w:pPr>
          </w:p>
        </w:tc>
        <w:tc>
          <w:tcPr>
            <w:tcW w:w="1380" w:type="dxa"/>
            <w:vAlign w:val="bottom"/>
          </w:tcPr>
          <w:p>
            <w:pPr>
              <w:ind w:left="380"/>
              <w:spacing w:after="0" w:line="184" w:lineRule="exact"/>
              <w:rPr>
                <w:sz w:val="20"/>
                <w:szCs w:val="20"/>
                <w:color w:val="auto"/>
              </w:rPr>
            </w:pPr>
            <w:r>
              <w:rPr>
                <w:rFonts w:ascii="Arial" w:cs="Arial" w:eastAsia="Arial" w:hAnsi="Arial"/>
                <w:sz w:val="19"/>
                <w:szCs w:val="19"/>
                <w:color w:val="auto"/>
              </w:rPr>
              <w:t>United</w:t>
            </w:r>
          </w:p>
        </w:tc>
        <w:tc>
          <w:tcPr>
            <w:tcW w:w="7460" w:type="dxa"/>
            <w:vAlign w:val="bottom"/>
            <w:gridSpan w:val="24"/>
          </w:tcPr>
          <w:p>
            <w:pPr>
              <w:spacing w:after="0" w:line="184" w:lineRule="exact"/>
              <w:rPr>
                <w:sz w:val="20"/>
                <w:szCs w:val="20"/>
                <w:color w:val="auto"/>
              </w:rPr>
            </w:pPr>
            <w:r>
              <w:rPr>
                <w:rFonts w:ascii="Arial" w:cs="Arial" w:eastAsia="Arial" w:hAnsi="Arial"/>
                <w:sz w:val="19"/>
                <w:szCs w:val="19"/>
                <w:color w:val="auto"/>
              </w:rPr>
              <w:t>to UAL's Form 8-K filed February 2, 2026 and incorporated herein by reference)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80" w:type="dxa"/>
            <w:vAlign w:val="bottom"/>
            <w:gridSpan w:val="3"/>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2"/>
        </w:trPr>
        <w:tc>
          <w:tcPr>
            <w:tcW w:w="700" w:type="dxa"/>
            <w:vAlign w:val="bottom"/>
          </w:tcPr>
          <w:p>
            <w:pPr>
              <w:spacing w:after="0"/>
              <w:rPr>
                <w:sz w:val="20"/>
                <w:szCs w:val="20"/>
                <w:color w:val="auto"/>
              </w:rPr>
            </w:pPr>
            <w:r>
              <w:rPr>
                <w:rFonts w:ascii="Arial" w:cs="Arial" w:eastAsia="Arial" w:hAnsi="Arial"/>
                <w:sz w:val="19"/>
                <w:szCs w:val="19"/>
                <w:color w:val="auto"/>
              </w:rPr>
              <w:t>4.13</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60" w:type="dxa"/>
            <w:vAlign w:val="bottom"/>
            <w:gridSpan w:val="24"/>
          </w:tcPr>
          <w:p>
            <w:pPr>
              <w:spacing w:after="0"/>
              <w:rPr>
                <w:sz w:val="20"/>
                <w:szCs w:val="20"/>
                <w:color w:val="auto"/>
              </w:rPr>
            </w:pPr>
            <w:r>
              <w:rPr>
                <w:rFonts w:ascii="Arial" w:cs="Arial" w:eastAsia="Arial" w:hAnsi="Arial"/>
                <w:sz w:val="19"/>
                <w:szCs w:val="19"/>
                <w:color w:val="auto"/>
              </w:rPr>
              <w:t>Seventh Supplemental Indenture, dated as of February 6, 2026, among United Airlines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700" w:type="dxa"/>
            <w:vAlign w:val="bottom"/>
          </w:tcPr>
          <w:p>
            <w:pPr>
              <w:spacing w:after="0"/>
              <w:rPr>
                <w:sz w:val="16"/>
                <w:szCs w:val="16"/>
                <w:color w:val="auto"/>
              </w:rPr>
            </w:pPr>
          </w:p>
        </w:tc>
        <w:tc>
          <w:tcPr>
            <w:tcW w:w="1380" w:type="dxa"/>
            <w:vAlign w:val="bottom"/>
          </w:tcPr>
          <w:p>
            <w:pPr>
              <w:ind w:left="380"/>
              <w:spacing w:after="0" w:line="184" w:lineRule="exact"/>
              <w:rPr>
                <w:sz w:val="20"/>
                <w:szCs w:val="20"/>
                <w:color w:val="auto"/>
              </w:rPr>
            </w:pPr>
            <w:r>
              <w:rPr>
                <w:rFonts w:ascii="Arial" w:cs="Arial" w:eastAsia="Arial" w:hAnsi="Arial"/>
                <w:sz w:val="19"/>
                <w:szCs w:val="19"/>
                <w:color w:val="auto"/>
              </w:rPr>
              <w:t>United</w:t>
            </w:r>
          </w:p>
        </w:tc>
        <w:tc>
          <w:tcPr>
            <w:tcW w:w="6780" w:type="dxa"/>
            <w:vAlign w:val="bottom"/>
            <w:tcBorders>
              <w:top w:val="single" w:sz="8" w:color="auto"/>
              <w:bottom w:val="single" w:sz="8" w:color="auto"/>
            </w:tcBorders>
            <w:gridSpan w:val="9"/>
          </w:tcPr>
          <w:p>
            <w:pPr>
              <w:spacing w:after="0" w:line="184" w:lineRule="exact"/>
              <w:rPr>
                <w:sz w:val="20"/>
                <w:szCs w:val="20"/>
                <w:color w:val="auto"/>
              </w:rPr>
            </w:pPr>
            <w:r>
              <w:rPr>
                <w:rFonts w:ascii="Arial" w:cs="Arial" w:eastAsia="Arial" w:hAnsi="Arial"/>
                <w:sz w:val="19"/>
                <w:szCs w:val="19"/>
                <w:color w:val="auto"/>
                <w:w w:val="93"/>
              </w:rPr>
              <w:t>Holdings, Inc., United Airlines, Inc. and The Bank of New York Mellon Trust Company,</w:t>
            </w:r>
          </w:p>
        </w:tc>
        <w:tc>
          <w:tcPr>
            <w:tcW w:w="680" w:type="dxa"/>
            <w:vAlign w:val="bottom"/>
            <w:tcBorders>
              <w:bottom w:val="single" w:sz="8" w:color="auto"/>
            </w:tcBorders>
            <w:gridSpan w:val="15"/>
          </w:tcPr>
          <w:p>
            <w:pPr>
              <w:ind w:left="200"/>
              <w:spacing w:after="0" w:line="184" w:lineRule="exact"/>
              <w:rPr>
                <w:sz w:val="20"/>
                <w:szCs w:val="20"/>
                <w:color w:val="auto"/>
              </w:rPr>
            </w:pPr>
            <w:r>
              <w:rPr>
                <w:rFonts w:ascii="Arial" w:cs="Arial" w:eastAsia="Arial" w:hAnsi="Arial"/>
                <w:sz w:val="19"/>
                <w:szCs w:val="19"/>
                <w:color w:val="auto"/>
              </w:rPr>
              <w:t>N.A.,</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460" w:type="dxa"/>
            <w:vAlign w:val="bottom"/>
            <w:gridSpan w:val="24"/>
          </w:tcPr>
          <w:p>
            <w:pPr>
              <w:spacing w:after="0" w:line="174" w:lineRule="exact"/>
              <w:rPr>
                <w:sz w:val="20"/>
                <w:szCs w:val="20"/>
                <w:color w:val="auto"/>
              </w:rPr>
            </w:pPr>
            <w:r>
              <w:rPr>
                <w:rFonts w:ascii="Arial" w:cs="Arial" w:eastAsia="Arial" w:hAnsi="Arial"/>
                <w:sz w:val="19"/>
                <w:szCs w:val="19"/>
                <w:color w:val="auto"/>
                <w:w w:val="98"/>
              </w:rPr>
              <w:t>as Trustee (filed as Exhibit 4.2 to UAL's Form 8-K filed February 6, 2026 and incorporated</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Borders>
              <w:top w:val="single" w:sz="8" w:color="auto"/>
              <w:bottom w:val="single" w:sz="8" w:color="auto"/>
            </w:tcBorders>
            <w:gridSpan w:val="2"/>
          </w:tcPr>
          <w:p>
            <w:pPr>
              <w:spacing w:after="0" w:line="174" w:lineRule="exact"/>
              <w:rPr>
                <w:sz w:val="20"/>
                <w:szCs w:val="20"/>
                <w:color w:val="auto"/>
              </w:rPr>
            </w:pPr>
            <w:r>
              <w:rPr>
                <w:rFonts w:ascii="Arial" w:cs="Arial" w:eastAsia="Arial" w:hAnsi="Arial"/>
                <w:sz w:val="19"/>
                <w:szCs w:val="19"/>
                <w:color w:val="auto"/>
                <w:w w:val="91"/>
              </w:rPr>
              <w:t>herein by reference)</w:t>
            </w:r>
          </w:p>
        </w:tc>
        <w:tc>
          <w:tcPr>
            <w:tcW w:w="5600" w:type="dxa"/>
            <w:vAlign w:val="bottom"/>
            <w:tcBorders>
              <w:top w:val="single" w:sz="8" w:color="auto"/>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52"/>
        </w:trPr>
        <w:tc>
          <w:tcPr>
            <w:tcW w:w="700" w:type="dxa"/>
            <w:vAlign w:val="bottom"/>
          </w:tcPr>
          <w:p>
            <w:pPr>
              <w:spacing w:after="0"/>
              <w:rPr>
                <w:sz w:val="20"/>
                <w:szCs w:val="20"/>
                <w:color w:val="auto"/>
              </w:rPr>
            </w:pPr>
            <w:r>
              <w:rPr>
                <w:rFonts w:ascii="Arial" w:cs="Arial" w:eastAsia="Arial" w:hAnsi="Arial"/>
                <w:sz w:val="19"/>
                <w:szCs w:val="19"/>
                <w:color w:val="auto"/>
              </w:rPr>
              <w:t>4.14</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60" w:type="dxa"/>
            <w:vAlign w:val="bottom"/>
            <w:tcBorders>
              <w:bottom w:val="single" w:sz="8" w:color="auto"/>
            </w:tcBorders>
            <w:gridSpan w:val="24"/>
          </w:tcPr>
          <w:p>
            <w:pPr>
              <w:spacing w:after="0"/>
              <w:rPr>
                <w:sz w:val="20"/>
                <w:szCs w:val="20"/>
                <w:color w:val="auto"/>
              </w:rPr>
            </w:pPr>
            <w:r>
              <w:rPr>
                <w:rFonts w:ascii="Arial" w:cs="Arial" w:eastAsia="Arial" w:hAnsi="Arial"/>
                <w:sz w:val="19"/>
                <w:szCs w:val="19"/>
                <w:color w:val="auto"/>
                <w:w w:val="95"/>
              </w:rPr>
              <w:t>Form of 4.875% Senior Notes due 2029 (filed as Exhibit 4.3 to UAL's Form 8-K filed February</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700" w:type="dxa"/>
            <w:vAlign w:val="bottom"/>
          </w:tcPr>
          <w:p>
            <w:pPr>
              <w:spacing w:after="0"/>
              <w:rPr>
                <w:sz w:val="16"/>
                <w:szCs w:val="16"/>
                <w:color w:val="auto"/>
              </w:rPr>
            </w:pPr>
          </w:p>
        </w:tc>
        <w:tc>
          <w:tcPr>
            <w:tcW w:w="1380" w:type="dxa"/>
            <w:vAlign w:val="bottom"/>
          </w:tcPr>
          <w:p>
            <w:pPr>
              <w:ind w:left="380"/>
              <w:spacing w:after="0" w:line="184" w:lineRule="exact"/>
              <w:rPr>
                <w:sz w:val="20"/>
                <w:szCs w:val="20"/>
                <w:color w:val="auto"/>
              </w:rPr>
            </w:pPr>
            <w:r>
              <w:rPr>
                <w:rFonts w:ascii="Arial" w:cs="Arial" w:eastAsia="Arial" w:hAnsi="Arial"/>
                <w:sz w:val="19"/>
                <w:szCs w:val="19"/>
                <w:color w:val="auto"/>
              </w:rPr>
              <w:t>United</w:t>
            </w:r>
          </w:p>
        </w:tc>
        <w:tc>
          <w:tcPr>
            <w:tcW w:w="3560" w:type="dxa"/>
            <w:vAlign w:val="bottom"/>
            <w:tcBorders>
              <w:bottom w:val="single" w:sz="8" w:color="auto"/>
            </w:tcBorders>
            <w:gridSpan w:val="4"/>
          </w:tcPr>
          <w:p>
            <w:pPr>
              <w:spacing w:after="0" w:line="184" w:lineRule="exact"/>
              <w:rPr>
                <w:sz w:val="20"/>
                <w:szCs w:val="20"/>
                <w:color w:val="auto"/>
              </w:rPr>
            </w:pPr>
            <w:r>
              <w:rPr>
                <w:rFonts w:ascii="Arial" w:cs="Arial" w:eastAsia="Arial" w:hAnsi="Arial"/>
                <w:sz w:val="19"/>
                <w:szCs w:val="19"/>
                <w:color w:val="auto"/>
                <w:w w:val="91"/>
              </w:rPr>
              <w:t>6, 2026 and incorporated herein by reference)</w:t>
            </w:r>
          </w:p>
        </w:tc>
        <w:tc>
          <w:tcPr>
            <w:tcW w:w="3900" w:type="dxa"/>
            <w:vAlign w:val="bottom"/>
            <w:gridSpan w:val="20"/>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32"/>
        </w:trPr>
        <w:tc>
          <w:tcPr>
            <w:tcW w:w="700" w:type="dxa"/>
            <w:vAlign w:val="bottom"/>
          </w:tcPr>
          <w:p>
            <w:pPr>
              <w:spacing w:after="0"/>
              <w:rPr>
                <w:sz w:val="20"/>
                <w:szCs w:val="20"/>
                <w:color w:val="auto"/>
              </w:rPr>
            </w:pPr>
            <w:r>
              <w:rPr>
                <w:rFonts w:ascii="Arial" w:cs="Arial" w:eastAsia="Arial" w:hAnsi="Arial"/>
                <w:sz w:val="19"/>
                <w:szCs w:val="19"/>
                <w:color w:val="auto"/>
              </w:rPr>
              <w:t>4.15</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60" w:type="dxa"/>
            <w:vAlign w:val="bottom"/>
            <w:tcBorders>
              <w:bottom w:val="single" w:sz="8" w:color="auto"/>
            </w:tcBorders>
            <w:gridSpan w:val="24"/>
          </w:tcPr>
          <w:p>
            <w:pPr>
              <w:spacing w:after="0"/>
              <w:rPr>
                <w:sz w:val="20"/>
                <w:szCs w:val="20"/>
                <w:color w:val="auto"/>
              </w:rPr>
            </w:pPr>
            <w:r>
              <w:rPr>
                <w:rFonts w:ascii="Arial" w:cs="Arial" w:eastAsia="Arial" w:hAnsi="Arial"/>
                <w:sz w:val="19"/>
                <w:szCs w:val="19"/>
                <w:color w:val="auto"/>
                <w:w w:val="93"/>
              </w:rPr>
              <w:t>Form of Notation of Note Guarantee for the 4.875% Senior Notes due 2029 (filed as Exhibit 4.4</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84"/>
        </w:trPr>
        <w:tc>
          <w:tcPr>
            <w:tcW w:w="700" w:type="dxa"/>
            <w:vAlign w:val="bottom"/>
          </w:tcPr>
          <w:p>
            <w:pPr>
              <w:spacing w:after="0"/>
              <w:rPr>
                <w:sz w:val="16"/>
                <w:szCs w:val="16"/>
                <w:color w:val="auto"/>
              </w:rPr>
            </w:pPr>
          </w:p>
        </w:tc>
        <w:tc>
          <w:tcPr>
            <w:tcW w:w="1380" w:type="dxa"/>
            <w:vAlign w:val="bottom"/>
          </w:tcPr>
          <w:p>
            <w:pPr>
              <w:ind w:left="380"/>
              <w:spacing w:after="0" w:line="184" w:lineRule="exact"/>
              <w:rPr>
                <w:sz w:val="20"/>
                <w:szCs w:val="20"/>
                <w:color w:val="auto"/>
              </w:rPr>
            </w:pPr>
            <w:r>
              <w:rPr>
                <w:rFonts w:ascii="Arial" w:cs="Arial" w:eastAsia="Arial" w:hAnsi="Arial"/>
                <w:sz w:val="19"/>
                <w:szCs w:val="19"/>
                <w:color w:val="auto"/>
              </w:rPr>
              <w:t>United</w:t>
            </w:r>
          </w:p>
        </w:tc>
        <w:tc>
          <w:tcPr>
            <w:tcW w:w="7460" w:type="dxa"/>
            <w:vAlign w:val="bottom"/>
            <w:gridSpan w:val="24"/>
          </w:tcPr>
          <w:p>
            <w:pPr>
              <w:spacing w:after="0" w:line="184" w:lineRule="exact"/>
              <w:rPr>
                <w:sz w:val="20"/>
                <w:szCs w:val="20"/>
                <w:color w:val="auto"/>
              </w:rPr>
            </w:pPr>
            <w:r>
              <w:rPr>
                <w:rFonts w:ascii="Arial" w:cs="Arial" w:eastAsia="Arial" w:hAnsi="Arial"/>
                <w:sz w:val="19"/>
                <w:szCs w:val="19"/>
                <w:color w:val="auto"/>
              </w:rPr>
              <w:t>to UAL's Form 8-K filed February 6, 2026 and incorporated herein by reference)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0" w:type="dxa"/>
            <w:vAlign w:val="bottom"/>
            <w:gridSpan w:val="3"/>
            <w:shd w:val="clear" w:color="auto" w:fill="000000"/>
          </w:tcPr>
          <w:p>
            <w:pPr>
              <w:spacing w:after="0" w:line="20" w:lineRule="exact"/>
              <w:rPr>
                <w:sz w:val="1"/>
                <w:szCs w:val="1"/>
                <w:color w:val="auto"/>
              </w:rPr>
            </w:pPr>
          </w:p>
        </w:tc>
        <w:tc>
          <w:tcPr>
            <w:tcW w:w="3680" w:type="dxa"/>
            <w:vAlign w:val="bottom"/>
            <w:gridSpan w:val="3"/>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3"/>
        </w:trPr>
        <w:tc>
          <w:tcPr>
            <w:tcW w:w="700" w:type="dxa"/>
            <w:vAlign w:val="bottom"/>
          </w:tcPr>
          <w:p>
            <w:pPr>
              <w:spacing w:after="0"/>
              <w:rPr>
                <w:sz w:val="20"/>
                <w:szCs w:val="20"/>
                <w:color w:val="auto"/>
              </w:rPr>
            </w:pPr>
            <w:r>
              <w:rPr>
                <w:rFonts w:ascii="Arial" w:cs="Arial" w:eastAsia="Arial" w:hAnsi="Arial"/>
                <w:sz w:val="19"/>
                <w:szCs w:val="19"/>
                <w:color w:val="auto"/>
              </w:rPr>
              <w:t>4.16</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60" w:type="dxa"/>
            <w:vAlign w:val="bottom"/>
            <w:gridSpan w:val="24"/>
          </w:tcPr>
          <w:p>
            <w:pPr>
              <w:spacing w:after="0"/>
              <w:rPr>
                <w:sz w:val="20"/>
                <w:szCs w:val="20"/>
                <w:color w:val="auto"/>
              </w:rPr>
            </w:pPr>
            <w:r>
              <w:rPr>
                <w:rFonts w:ascii="Arial" w:cs="Arial" w:eastAsia="Arial" w:hAnsi="Arial"/>
                <w:sz w:val="19"/>
                <w:szCs w:val="19"/>
                <w:color w:val="auto"/>
                <w:w w:val="93"/>
              </w:rPr>
              <w:t>Tax Benefits Preservation Plan, dated as of December 4, 2020, by and between United Airlines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440" w:type="dxa"/>
            <w:vAlign w:val="bottom"/>
            <w:tcBorders>
              <w:top w:val="single" w:sz="8" w:color="auto"/>
            </w:tcBorders>
            <w:gridSpan w:val="23"/>
          </w:tcPr>
          <w:p>
            <w:pPr>
              <w:spacing w:after="0" w:line="174" w:lineRule="exact"/>
              <w:rPr>
                <w:sz w:val="20"/>
                <w:szCs w:val="20"/>
                <w:color w:val="auto"/>
              </w:rPr>
            </w:pPr>
            <w:r>
              <w:rPr>
                <w:rFonts w:ascii="Arial" w:cs="Arial" w:eastAsia="Arial" w:hAnsi="Arial"/>
                <w:sz w:val="19"/>
                <w:szCs w:val="19"/>
                <w:color w:val="auto"/>
                <w:w w:val="95"/>
              </w:rPr>
              <w:t>Holdings, Inc. and Computershare Trust Company, N.A., as rights agent (which includes the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40" w:type="dxa"/>
            <w:vAlign w:val="bottom"/>
            <w:tcBorders>
              <w:top w:val="single" w:sz="8" w:color="auto"/>
            </w:tcBorders>
            <w:gridSpan w:val="18"/>
          </w:tcPr>
          <w:p>
            <w:pPr>
              <w:spacing w:after="0" w:line="174" w:lineRule="exact"/>
              <w:rPr>
                <w:sz w:val="20"/>
                <w:szCs w:val="20"/>
                <w:color w:val="auto"/>
              </w:rPr>
            </w:pPr>
            <w:r>
              <w:rPr>
                <w:rFonts w:ascii="Arial" w:cs="Arial" w:eastAsia="Arial" w:hAnsi="Arial"/>
                <w:sz w:val="19"/>
                <w:szCs w:val="19"/>
                <w:color w:val="auto"/>
                <w:w w:val="97"/>
              </w:rPr>
              <w:t>Form of Rights Certificate as Exhibit B thereto) (filed as Exhibit 4.1 to UAL's Registration</w:t>
            </w:r>
          </w:p>
        </w:tc>
        <w:tc>
          <w:tcPr>
            <w:tcW w:w="80" w:type="dxa"/>
            <w:vAlign w:val="bottom"/>
          </w:tcPr>
          <w:p>
            <w:pPr>
              <w:spacing w:after="0"/>
              <w:rPr>
                <w:sz w:val="15"/>
                <w:szCs w:val="15"/>
                <w:color w:val="auto"/>
              </w:rPr>
            </w:pPr>
          </w:p>
        </w:tc>
        <w:tc>
          <w:tcPr>
            <w:tcW w:w="1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700" w:type="dxa"/>
            <w:vAlign w:val="bottom"/>
            <w:tcBorders>
              <w:top w:val="single" w:sz="8" w:color="auto"/>
              <w:bottom w:val="single" w:sz="8" w:color="auto"/>
            </w:tcBorders>
            <w:gridSpan w:val="8"/>
          </w:tcPr>
          <w:p>
            <w:pPr>
              <w:spacing w:after="0" w:line="174" w:lineRule="exact"/>
              <w:rPr>
                <w:sz w:val="20"/>
                <w:szCs w:val="20"/>
                <w:color w:val="auto"/>
              </w:rPr>
            </w:pPr>
            <w:r>
              <w:rPr>
                <w:rFonts w:ascii="Arial" w:cs="Arial" w:eastAsia="Arial" w:hAnsi="Arial"/>
                <w:sz w:val="19"/>
                <w:szCs w:val="19"/>
                <w:color w:val="auto"/>
                <w:w w:val="92"/>
              </w:rPr>
              <w:t>Statement on Form 8-A filed December 7, 2020 and incorporated herein by reference)</w:t>
            </w:r>
          </w:p>
        </w:tc>
        <w:tc>
          <w:tcPr>
            <w:tcW w:w="420" w:type="dxa"/>
            <w:vAlign w:val="bottom"/>
            <w:tcBorders>
              <w:top w:val="single" w:sz="8" w:color="auto"/>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62"/>
        </w:trPr>
        <w:tc>
          <w:tcPr>
            <w:tcW w:w="700" w:type="dxa"/>
            <w:vAlign w:val="bottom"/>
          </w:tcPr>
          <w:p>
            <w:pPr>
              <w:spacing w:after="0"/>
              <w:rPr>
                <w:sz w:val="20"/>
                <w:szCs w:val="20"/>
                <w:color w:val="auto"/>
              </w:rPr>
            </w:pPr>
            <w:r>
              <w:rPr>
                <w:rFonts w:ascii="Arial" w:cs="Arial" w:eastAsia="Arial" w:hAnsi="Arial"/>
                <w:sz w:val="19"/>
                <w:szCs w:val="19"/>
                <w:color w:val="auto"/>
              </w:rPr>
              <w:t>4.17</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60" w:type="dxa"/>
            <w:vAlign w:val="bottom"/>
            <w:gridSpan w:val="24"/>
          </w:tcPr>
          <w:p>
            <w:pPr>
              <w:spacing w:after="0"/>
              <w:rPr>
                <w:sz w:val="20"/>
                <w:szCs w:val="20"/>
                <w:color w:val="auto"/>
              </w:rPr>
            </w:pPr>
            <w:r>
              <w:rPr>
                <w:rFonts w:ascii="Arial" w:cs="Arial" w:eastAsia="Arial" w:hAnsi="Arial"/>
                <w:sz w:val="19"/>
                <w:szCs w:val="19"/>
                <w:color w:val="auto"/>
                <w:w w:val="97"/>
              </w:rPr>
              <w:t>Amendment No. 1 to Tax Benefits Preservation Plan, dated as of January 21, 2021, by and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80" w:type="dxa"/>
            <w:vAlign w:val="bottom"/>
            <w:tcBorders>
              <w:top w:val="single" w:sz="8" w:color="auto"/>
              <w:bottom w:val="single" w:sz="8" w:color="auto"/>
            </w:tcBorders>
            <w:gridSpan w:val="10"/>
          </w:tcPr>
          <w:p>
            <w:pPr>
              <w:spacing w:after="0" w:line="174" w:lineRule="exact"/>
              <w:rPr>
                <w:sz w:val="20"/>
                <w:szCs w:val="20"/>
                <w:color w:val="auto"/>
              </w:rPr>
            </w:pPr>
            <w:r>
              <w:rPr>
                <w:rFonts w:ascii="Arial" w:cs="Arial" w:eastAsia="Arial" w:hAnsi="Arial"/>
                <w:sz w:val="19"/>
                <w:szCs w:val="19"/>
                <w:color w:val="auto"/>
                <w:w w:val="93"/>
              </w:rPr>
              <w:t>between United Airlines Holdings, Inc. and Computershare Trust Company, N.A., as rights</w:t>
            </w:r>
          </w:p>
        </w:tc>
        <w:tc>
          <w:tcPr>
            <w:tcW w:w="80" w:type="dxa"/>
            <w:vAlign w:val="bottom"/>
            <w:tcBorders>
              <w:bottom w:val="single" w:sz="8" w:color="auto"/>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160" w:type="dxa"/>
            <w:vAlign w:val="bottom"/>
            <w:tcBorders>
              <w:bottom w:val="single" w:sz="8" w:color="auto"/>
            </w:tcBorders>
            <w:gridSpan w:val="14"/>
          </w:tcPr>
          <w:p>
            <w:pPr>
              <w:spacing w:after="0" w:line="174" w:lineRule="exact"/>
              <w:rPr>
                <w:sz w:val="20"/>
                <w:szCs w:val="20"/>
                <w:color w:val="auto"/>
              </w:rPr>
            </w:pPr>
            <w:r>
              <w:rPr>
                <w:rFonts w:ascii="Arial" w:cs="Arial" w:eastAsia="Arial" w:hAnsi="Arial"/>
                <w:sz w:val="19"/>
                <w:szCs w:val="19"/>
                <w:color w:val="auto"/>
                <w:w w:val="93"/>
              </w:rPr>
              <w:t>agent (filed as Exhibit 4.18 to UAL's Form 10-K for the year ended December 31, 2020 and</w:t>
            </w:r>
          </w:p>
        </w:tc>
        <w:tc>
          <w:tcPr>
            <w:tcW w:w="4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1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0" w:type="dxa"/>
            <w:vAlign w:val="bottom"/>
            <w:tcBorders>
              <w:bottom w:val="single" w:sz="8" w:color="auto"/>
            </w:tcBorders>
            <w:gridSpan w:val="3"/>
          </w:tcPr>
          <w:p>
            <w:pPr>
              <w:spacing w:after="0" w:line="174" w:lineRule="exact"/>
              <w:rPr>
                <w:sz w:val="20"/>
                <w:szCs w:val="20"/>
                <w:color w:val="auto"/>
              </w:rPr>
            </w:pPr>
            <w:r>
              <w:rPr>
                <w:rFonts w:ascii="Arial" w:cs="Arial" w:eastAsia="Arial" w:hAnsi="Arial"/>
                <w:sz w:val="19"/>
                <w:szCs w:val="19"/>
                <w:color w:val="auto"/>
                <w:w w:val="91"/>
              </w:rPr>
              <w:t>incorporated herein by reference)</w:t>
            </w:r>
          </w:p>
        </w:tc>
        <w:tc>
          <w:tcPr>
            <w:tcW w:w="4620" w:type="dxa"/>
            <w:vAlign w:val="bottom"/>
            <w:gridSpan w:val="14"/>
          </w:tcPr>
          <w:p>
            <w:pPr>
              <w:spacing w:after="0"/>
              <w:rPr>
                <w:sz w:val="15"/>
                <w:szCs w:val="15"/>
                <w:color w:val="auto"/>
              </w:rPr>
            </w:pPr>
          </w:p>
        </w:tc>
        <w:tc>
          <w:tcPr>
            <w:tcW w:w="100" w:type="dxa"/>
            <w:vAlign w:val="bottom"/>
            <w:gridSpan w:val="2"/>
          </w:tcPr>
          <w:p>
            <w:pPr>
              <w:spacing w:after="0"/>
              <w:rPr>
                <w:sz w:val="15"/>
                <w:szCs w:val="15"/>
                <w:color w:val="auto"/>
              </w:rPr>
            </w:pPr>
          </w:p>
        </w:tc>
        <w:tc>
          <w:tcPr>
            <w:tcW w:w="1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62"/>
        </w:trPr>
        <w:tc>
          <w:tcPr>
            <w:tcW w:w="700" w:type="dxa"/>
            <w:vAlign w:val="bottom"/>
          </w:tcPr>
          <w:p>
            <w:pPr>
              <w:spacing w:after="0"/>
              <w:rPr>
                <w:sz w:val="20"/>
                <w:szCs w:val="20"/>
                <w:color w:val="auto"/>
              </w:rPr>
            </w:pPr>
            <w:r>
              <w:rPr>
                <w:rFonts w:ascii="Arial" w:cs="Arial" w:eastAsia="Arial" w:hAnsi="Arial"/>
                <w:sz w:val="19"/>
                <w:szCs w:val="19"/>
                <w:color w:val="auto"/>
              </w:rPr>
              <w:t>4.18</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60" w:type="dxa"/>
            <w:vAlign w:val="bottom"/>
            <w:gridSpan w:val="24"/>
          </w:tcPr>
          <w:p>
            <w:pPr>
              <w:spacing w:after="0"/>
              <w:rPr>
                <w:sz w:val="20"/>
                <w:szCs w:val="20"/>
                <w:color w:val="auto"/>
              </w:rPr>
            </w:pPr>
            <w:r>
              <w:rPr>
                <w:rFonts w:ascii="Arial" w:cs="Arial" w:eastAsia="Arial" w:hAnsi="Arial"/>
                <w:sz w:val="19"/>
                <w:szCs w:val="19"/>
                <w:color w:val="auto"/>
                <w:w w:val="96"/>
              </w:rPr>
              <w:t>Amendment No. 2 to Tax Benefits Preservation Plan, dated as of December 4, 2023, by and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0" w:type="dxa"/>
            <w:vAlign w:val="bottom"/>
            <w:tcBorders>
              <w:top w:val="single" w:sz="8" w:color="auto"/>
            </w:tcBorders>
            <w:gridSpan w:val="16"/>
          </w:tcPr>
          <w:p>
            <w:pPr>
              <w:spacing w:after="0" w:line="174" w:lineRule="exact"/>
              <w:rPr>
                <w:sz w:val="20"/>
                <w:szCs w:val="20"/>
                <w:color w:val="auto"/>
              </w:rPr>
            </w:pPr>
            <w:r>
              <w:rPr>
                <w:rFonts w:ascii="Arial" w:cs="Arial" w:eastAsia="Arial" w:hAnsi="Arial"/>
                <w:sz w:val="19"/>
                <w:szCs w:val="19"/>
                <w:color w:val="auto"/>
                <w:w w:val="94"/>
              </w:rPr>
              <w:t>between United Airlines Holdings, Inc. and Computershare Trust Company, N.A., as rights</w:t>
            </w:r>
          </w:p>
        </w:tc>
        <w:tc>
          <w:tcPr>
            <w:tcW w:w="120" w:type="dxa"/>
            <w:vAlign w:val="bottom"/>
            <w:gridSpan w:val="3"/>
          </w:tcPr>
          <w:p>
            <w:pPr>
              <w:spacing w:after="0"/>
              <w:rPr>
                <w:sz w:val="15"/>
                <w:szCs w:val="15"/>
                <w:color w:val="auto"/>
              </w:rPr>
            </w:pPr>
          </w:p>
        </w:tc>
        <w:tc>
          <w:tcPr>
            <w:tcW w:w="1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160" w:type="dxa"/>
            <w:vAlign w:val="bottom"/>
            <w:tcBorders>
              <w:top w:val="single" w:sz="8" w:color="auto"/>
              <w:bottom w:val="single" w:sz="8" w:color="auto"/>
            </w:tcBorders>
            <w:gridSpan w:val="14"/>
          </w:tcPr>
          <w:p>
            <w:pPr>
              <w:spacing w:after="0" w:line="174" w:lineRule="exact"/>
              <w:rPr>
                <w:sz w:val="20"/>
                <w:szCs w:val="20"/>
                <w:color w:val="auto"/>
              </w:rPr>
            </w:pPr>
            <w:r>
              <w:rPr>
                <w:rFonts w:ascii="Arial" w:cs="Arial" w:eastAsia="Arial" w:hAnsi="Arial"/>
                <w:sz w:val="19"/>
                <w:szCs w:val="19"/>
                <w:color w:val="auto"/>
                <w:w w:val="92"/>
              </w:rPr>
              <w:t>agent (filed as Exhibit 4.3 to UAL's Form 8-A/A filed on December 4, 2023 and incorporated</w:t>
            </w:r>
          </w:p>
        </w:tc>
        <w:tc>
          <w:tcPr>
            <w:tcW w:w="160" w:type="dxa"/>
            <w:vAlign w:val="bottom"/>
            <w:tcBorders>
              <w:bottom w:val="single" w:sz="8" w:color="auto"/>
            </w:tcBorders>
            <w:gridSpan w:val="5"/>
          </w:tcPr>
          <w:p>
            <w:pPr>
              <w:spacing w:after="0"/>
              <w:rPr>
                <w:sz w:val="15"/>
                <w:szCs w:val="15"/>
                <w:color w:val="auto"/>
              </w:rPr>
            </w:pPr>
          </w:p>
        </w:tc>
        <w:tc>
          <w:tcPr>
            <w:tcW w:w="1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Borders>
              <w:bottom w:val="single" w:sz="8" w:color="auto"/>
            </w:tcBorders>
            <w:gridSpan w:val="2"/>
          </w:tcPr>
          <w:p>
            <w:pPr>
              <w:spacing w:after="0" w:line="174" w:lineRule="exact"/>
              <w:rPr>
                <w:sz w:val="20"/>
                <w:szCs w:val="20"/>
                <w:color w:val="auto"/>
              </w:rPr>
            </w:pPr>
            <w:r>
              <w:rPr>
                <w:rFonts w:ascii="Arial" w:cs="Arial" w:eastAsia="Arial" w:hAnsi="Arial"/>
                <w:sz w:val="19"/>
                <w:szCs w:val="19"/>
                <w:color w:val="auto"/>
                <w:w w:val="91"/>
              </w:rPr>
              <w:t>herein by reference)</w:t>
            </w:r>
          </w:p>
        </w:tc>
        <w:tc>
          <w:tcPr>
            <w:tcW w:w="5740" w:type="dxa"/>
            <w:vAlign w:val="bottom"/>
            <w:gridSpan w:val="17"/>
          </w:tcPr>
          <w:p>
            <w:pPr>
              <w:spacing w:after="0"/>
              <w:rPr>
                <w:sz w:val="15"/>
                <w:szCs w:val="15"/>
                <w:color w:val="auto"/>
              </w:rPr>
            </w:pPr>
          </w:p>
        </w:tc>
        <w:tc>
          <w:tcPr>
            <w:tcW w:w="1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200" w:lineRule="exact"/>
        <w:rPr>
          <w:sz w:val="20"/>
          <w:szCs w:val="20"/>
          <w:color w:val="auto"/>
        </w:rPr>
      </w:pPr>
    </w:p>
    <w:p>
      <w:pPr>
        <w:sectPr>
          <w:pgSz w:w="11880" w:h="15480" w:orient="portrait"/>
          <w:cols w:equalWidth="0" w:num="1">
            <w:col w:w="9600"/>
          </w:cols>
          <w:pgMar w:left="1020" w:top="920" w:right="12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9600"/>
          </w:cols>
          <w:pgMar w:left="1020" w:top="920" w:right="1260" w:bottom="33"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4.19</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6900" w:type="dxa"/>
            <w:vAlign w:val="bottom"/>
            <w:tcBorders>
              <w:bottom w:val="single" w:sz="8" w:color="auto"/>
            </w:tcBorders>
            <w:gridSpan w:val="15"/>
          </w:tcPr>
          <w:p>
            <w:pPr>
              <w:spacing w:after="0"/>
              <w:rPr>
                <w:sz w:val="20"/>
                <w:szCs w:val="20"/>
                <w:color w:val="auto"/>
              </w:rPr>
            </w:pPr>
            <w:r>
              <w:rPr>
                <w:rFonts w:ascii="Arial" w:cs="Arial" w:eastAsia="Arial" w:hAnsi="Arial"/>
                <w:sz w:val="19"/>
                <w:szCs w:val="19"/>
                <w:color w:val="auto"/>
                <w:w w:val="93"/>
              </w:rPr>
              <w:t>Amendment No. 3 to Tax Benefits Preservation Plan, dated as of April 22, 2024, by and</w:t>
            </w:r>
          </w:p>
        </w:tc>
        <w:tc>
          <w:tcPr>
            <w:tcW w:w="660" w:type="dxa"/>
            <w:vAlign w:val="bottom"/>
            <w:gridSpan w:val="18"/>
          </w:tcPr>
          <w:p>
            <w:pPr>
              <w:spacing w:after="0"/>
              <w:rPr>
                <w:sz w:val="18"/>
                <w:szCs w:val="18"/>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60" w:type="dxa"/>
            <w:vAlign w:val="bottom"/>
            <w:tcBorders>
              <w:bottom w:val="single" w:sz="8" w:color="auto"/>
            </w:tcBorders>
            <w:gridSpan w:val="17"/>
          </w:tcPr>
          <w:p>
            <w:pPr>
              <w:spacing w:after="0" w:line="174" w:lineRule="exact"/>
              <w:rPr>
                <w:sz w:val="20"/>
                <w:szCs w:val="20"/>
                <w:color w:val="auto"/>
              </w:rPr>
            </w:pPr>
            <w:r>
              <w:rPr>
                <w:rFonts w:ascii="Arial" w:cs="Arial" w:eastAsia="Arial" w:hAnsi="Arial"/>
                <w:sz w:val="19"/>
                <w:szCs w:val="19"/>
                <w:color w:val="auto"/>
                <w:w w:val="94"/>
              </w:rPr>
              <w:t>between United Airlines Holdings, Inc. and Computershare Trust Company, N.A., as rights</w:t>
            </w:r>
          </w:p>
        </w:tc>
        <w:tc>
          <w:tcPr>
            <w:tcW w:w="400" w:type="dxa"/>
            <w:vAlign w:val="bottom"/>
            <w:gridSpan w:val="16"/>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60" w:type="dxa"/>
            <w:vAlign w:val="bottom"/>
            <w:tcBorders>
              <w:bottom w:val="single" w:sz="8" w:color="auto"/>
            </w:tcBorders>
            <w:gridSpan w:val="33"/>
          </w:tcPr>
          <w:p>
            <w:pPr>
              <w:spacing w:after="0" w:line="174" w:lineRule="exact"/>
              <w:rPr>
                <w:sz w:val="20"/>
                <w:szCs w:val="20"/>
                <w:color w:val="auto"/>
              </w:rPr>
            </w:pPr>
            <w:r>
              <w:rPr>
                <w:rFonts w:ascii="Arial" w:cs="Arial" w:eastAsia="Arial" w:hAnsi="Arial"/>
                <w:sz w:val="19"/>
                <w:szCs w:val="19"/>
                <w:color w:val="auto"/>
                <w:w w:val="95"/>
              </w:rPr>
              <w:t>agent (filed as Exhibit 4.4 to UAL's Form 8-A/A filed on April 23, 2024 and incorporated herein</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Borders>
              <w:bottom w:val="single" w:sz="8" w:color="auto"/>
            </w:tcBorders>
            <w:gridSpan w:val="3"/>
          </w:tcPr>
          <w:p>
            <w:pPr>
              <w:spacing w:after="0" w:line="174" w:lineRule="exact"/>
              <w:rPr>
                <w:sz w:val="20"/>
                <w:szCs w:val="20"/>
                <w:color w:val="auto"/>
              </w:rPr>
            </w:pPr>
            <w:r>
              <w:rPr>
                <w:rFonts w:ascii="Arial" w:cs="Arial" w:eastAsia="Arial" w:hAnsi="Arial"/>
                <w:sz w:val="19"/>
                <w:szCs w:val="19"/>
                <w:color w:val="auto"/>
                <w:w w:val="91"/>
              </w:rPr>
              <w:t>by reference)</w:t>
            </w:r>
          </w:p>
        </w:tc>
        <w:tc>
          <w:tcPr>
            <w:tcW w:w="6520" w:type="dxa"/>
            <w:vAlign w:val="bottom"/>
            <w:gridSpan w:val="30"/>
          </w:tcPr>
          <w:p>
            <w:pPr>
              <w:spacing w:after="0"/>
              <w:rPr>
                <w:sz w:val="15"/>
                <w:szCs w:val="15"/>
                <w:color w:val="auto"/>
              </w:rPr>
            </w:pPr>
          </w:p>
        </w:tc>
      </w:tr>
      <w:tr>
        <w:trPr>
          <w:trHeight w:val="552"/>
        </w:trPr>
        <w:tc>
          <w:tcPr>
            <w:tcW w:w="800" w:type="dxa"/>
            <w:vAlign w:val="bottom"/>
          </w:tcPr>
          <w:p>
            <w:pPr>
              <w:spacing w:after="0"/>
              <w:rPr>
                <w:sz w:val="20"/>
                <w:szCs w:val="20"/>
                <w:color w:val="auto"/>
              </w:rPr>
            </w:pPr>
            <w:r>
              <w:rPr>
                <w:rFonts w:ascii="Arial" w:cs="Arial" w:eastAsia="Arial" w:hAnsi="Arial"/>
                <w:sz w:val="19"/>
                <w:szCs w:val="19"/>
                <w:color w:val="auto"/>
              </w:rPr>
              <w:t>4.20</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60" w:type="dxa"/>
            <w:vAlign w:val="bottom"/>
            <w:gridSpan w:val="33"/>
          </w:tcPr>
          <w:p>
            <w:pPr>
              <w:spacing w:after="0"/>
              <w:rPr>
                <w:sz w:val="20"/>
                <w:szCs w:val="20"/>
                <w:color w:val="auto"/>
              </w:rPr>
            </w:pPr>
            <w:r>
              <w:rPr>
                <w:rFonts w:ascii="Arial" w:cs="Arial" w:eastAsia="Arial" w:hAnsi="Arial"/>
                <w:sz w:val="19"/>
                <w:szCs w:val="19"/>
                <w:color w:val="auto"/>
                <w:w w:val="96"/>
              </w:rPr>
              <w:t>Description of the Registrant's Securities Registered Pursuant to Section 12 of the Securities</w:t>
            </w: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220" w:type="dxa"/>
            <w:vAlign w:val="bottom"/>
            <w:tcBorders>
              <w:top w:val="single" w:sz="8" w:color="auto"/>
            </w:tcBorders>
            <w:gridSpan w:val="20"/>
          </w:tcPr>
          <w:p>
            <w:pPr>
              <w:spacing w:after="0" w:line="184" w:lineRule="exact"/>
              <w:rPr>
                <w:sz w:val="20"/>
                <w:szCs w:val="20"/>
                <w:color w:val="auto"/>
              </w:rPr>
            </w:pPr>
            <w:r>
              <w:rPr>
                <w:rFonts w:ascii="Arial" w:cs="Arial" w:eastAsia="Arial" w:hAnsi="Arial"/>
                <w:sz w:val="19"/>
                <w:szCs w:val="19"/>
                <w:color w:val="auto"/>
              </w:rPr>
              <w:t>Exchange Act of 1934</w:t>
            </w:r>
          </w:p>
        </w:tc>
        <w:tc>
          <w:tcPr>
            <w:tcW w:w="20" w:type="dxa"/>
            <w:vAlign w:val="bottom"/>
          </w:tcPr>
          <w:p>
            <w:pPr>
              <w:spacing w:after="0"/>
              <w:rPr>
                <w:sz w:val="16"/>
                <w:szCs w:val="16"/>
                <w:color w:val="auto"/>
              </w:rPr>
            </w:pPr>
          </w:p>
        </w:tc>
        <w:tc>
          <w:tcPr>
            <w:tcW w:w="429496727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787"/>
        </w:trPr>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9"/>
                <w:szCs w:val="19"/>
                <w:b w:val="1"/>
                <w:bCs w:val="1"/>
                <w:color w:val="auto"/>
                <w:w w:val="95"/>
              </w:rPr>
              <w:t>Material Contracts</w:t>
            </w:r>
          </w:p>
        </w:tc>
        <w:tc>
          <w:tcPr>
            <w:tcW w:w="140" w:type="dxa"/>
            <w:vAlign w:val="bottom"/>
            <w:tcBorders>
              <w:top w:val="single" w:sz="8" w:color="auto"/>
            </w:tcBorders>
          </w:tcPr>
          <w:p>
            <w:pPr>
              <w:spacing w:after="0"/>
              <w:rPr>
                <w:sz w:val="24"/>
                <w:szCs w:val="24"/>
                <w:color w:val="auto"/>
              </w:rPr>
            </w:pPr>
          </w:p>
        </w:tc>
        <w:tc>
          <w:tcPr>
            <w:tcW w:w="5820" w:type="dxa"/>
            <w:vAlign w:val="bottom"/>
            <w:gridSpan w:val="28"/>
          </w:tcPr>
          <w:p>
            <w:pPr>
              <w:spacing w:after="0"/>
              <w:rPr>
                <w:sz w:val="24"/>
                <w:szCs w:val="24"/>
                <w:color w:val="auto"/>
              </w:rPr>
            </w:pPr>
          </w:p>
        </w:tc>
      </w:tr>
      <w:tr>
        <w:trPr>
          <w:trHeight w:val="565"/>
        </w:trPr>
        <w:tc>
          <w:tcPr>
            <w:tcW w:w="800" w:type="dxa"/>
            <w:vAlign w:val="bottom"/>
          </w:tcPr>
          <w:p>
            <w:pPr>
              <w:spacing w:after="0"/>
              <w:rPr>
                <w:sz w:val="20"/>
                <w:szCs w:val="20"/>
                <w:color w:val="auto"/>
              </w:rPr>
            </w:pPr>
            <w:r>
              <w:rPr>
                <w:rFonts w:ascii="Arial" w:cs="Arial" w:eastAsia="Arial" w:hAnsi="Arial"/>
                <w:sz w:val="19"/>
                <w:szCs w:val="19"/>
                <w:color w:val="auto"/>
              </w:rPr>
              <w:t>†10.1</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60" w:type="dxa"/>
            <w:vAlign w:val="bottom"/>
            <w:tcBorders>
              <w:bottom w:val="single" w:sz="8" w:color="auto"/>
            </w:tcBorders>
            <w:gridSpan w:val="33"/>
          </w:tcPr>
          <w:p>
            <w:pPr>
              <w:spacing w:after="0"/>
              <w:rPr>
                <w:sz w:val="20"/>
                <w:szCs w:val="20"/>
                <w:color w:val="auto"/>
              </w:rPr>
            </w:pPr>
            <w:r>
              <w:rPr>
                <w:rFonts w:ascii="Arial" w:cs="Arial" w:eastAsia="Arial" w:hAnsi="Arial"/>
                <w:sz w:val="19"/>
                <w:szCs w:val="19"/>
                <w:color w:val="auto"/>
                <w:w w:val="93"/>
              </w:rPr>
              <w:t>Agreement, dated as of April 19, 2016, by and among PAR Capital Management, Inc., Altimeter</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60" w:type="dxa"/>
            <w:vAlign w:val="bottom"/>
            <w:gridSpan w:val="33"/>
          </w:tcPr>
          <w:p>
            <w:pPr>
              <w:spacing w:after="0" w:line="174" w:lineRule="exact"/>
              <w:rPr>
                <w:sz w:val="20"/>
                <w:szCs w:val="20"/>
                <w:color w:val="auto"/>
              </w:rPr>
            </w:pPr>
            <w:r>
              <w:rPr>
                <w:rFonts w:ascii="Arial" w:cs="Arial" w:eastAsia="Arial" w:hAnsi="Arial"/>
                <w:sz w:val="19"/>
                <w:szCs w:val="19"/>
                <w:color w:val="auto"/>
                <w:w w:val="95"/>
              </w:rPr>
              <w:t>Capital Management, LP, United Continental Holdings, Inc. and the other signatories listed on</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0" w:type="dxa"/>
            <w:vAlign w:val="bottom"/>
            <w:tcBorders>
              <w:top w:val="single" w:sz="8" w:color="auto"/>
            </w:tcBorders>
            <w:gridSpan w:val="29"/>
          </w:tcPr>
          <w:p>
            <w:pPr>
              <w:spacing w:after="0" w:line="174" w:lineRule="exact"/>
              <w:rPr>
                <w:sz w:val="20"/>
                <w:szCs w:val="20"/>
                <w:color w:val="auto"/>
              </w:rPr>
            </w:pPr>
            <w:r>
              <w:rPr>
                <w:rFonts w:ascii="Arial" w:cs="Arial" w:eastAsia="Arial" w:hAnsi="Arial"/>
                <w:sz w:val="19"/>
                <w:szCs w:val="19"/>
                <w:color w:val="auto"/>
                <w:w w:val="97"/>
              </w:rPr>
              <w:t>the signature page thereto (filed as Exhibit 10.1 to UAL's Form 8-K filed April 20, 2016 and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0" w:type="dxa"/>
            <w:vAlign w:val="bottom"/>
            <w:tcBorders>
              <w:top w:val="single" w:sz="8" w:color="auto"/>
              <w:bottom w:val="single" w:sz="8" w:color="auto"/>
            </w:tcBorders>
            <w:gridSpan w:val="6"/>
          </w:tcPr>
          <w:p>
            <w:pPr>
              <w:spacing w:after="0" w:line="174" w:lineRule="exact"/>
              <w:rPr>
                <w:sz w:val="20"/>
                <w:szCs w:val="20"/>
                <w:color w:val="auto"/>
              </w:rPr>
            </w:pPr>
            <w:r>
              <w:rPr>
                <w:rFonts w:ascii="Arial" w:cs="Arial" w:eastAsia="Arial" w:hAnsi="Arial"/>
                <w:sz w:val="19"/>
                <w:szCs w:val="19"/>
                <w:color w:val="auto"/>
                <w:w w:val="91"/>
              </w:rPr>
              <w:t>incorporated herein by reference)</w:t>
            </w:r>
          </w:p>
        </w:tc>
        <w:tc>
          <w:tcPr>
            <w:tcW w:w="4640" w:type="dxa"/>
            <w:vAlign w:val="bottom"/>
            <w:tcBorders>
              <w:top w:val="single" w:sz="8" w:color="auto"/>
            </w:tcBorders>
            <w:gridSpan w:val="17"/>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562"/>
        </w:trPr>
        <w:tc>
          <w:tcPr>
            <w:tcW w:w="800" w:type="dxa"/>
            <w:vAlign w:val="bottom"/>
          </w:tcPr>
          <w:p>
            <w:pPr>
              <w:spacing w:after="0"/>
              <w:rPr>
                <w:sz w:val="20"/>
                <w:szCs w:val="20"/>
                <w:color w:val="auto"/>
              </w:rPr>
            </w:pPr>
            <w:r>
              <w:rPr>
                <w:rFonts w:ascii="Arial" w:cs="Arial" w:eastAsia="Arial" w:hAnsi="Arial"/>
                <w:sz w:val="19"/>
                <w:szCs w:val="19"/>
                <w:color w:val="auto"/>
              </w:rPr>
              <w:t>†10.2</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60" w:type="dxa"/>
            <w:vAlign w:val="bottom"/>
            <w:gridSpan w:val="33"/>
          </w:tcPr>
          <w:p>
            <w:pPr>
              <w:spacing w:after="0"/>
              <w:rPr>
                <w:sz w:val="20"/>
                <w:szCs w:val="20"/>
                <w:color w:val="auto"/>
              </w:rPr>
            </w:pPr>
            <w:r>
              <w:rPr>
                <w:rFonts w:ascii="Arial" w:cs="Arial" w:eastAsia="Arial" w:hAnsi="Arial"/>
                <w:sz w:val="19"/>
                <w:szCs w:val="19"/>
                <w:color w:val="auto"/>
                <w:w w:val="96"/>
              </w:rPr>
              <w:t>United Airlines Holdings, Inc. Profit Sharing Plan (amended and restated effective January 1,</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0"/>
              </w:rPr>
              <w:t>2025)</w:t>
            </w:r>
          </w:p>
        </w:tc>
        <w:tc>
          <w:tcPr>
            <w:tcW w:w="3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294967277"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543"/>
        </w:trPr>
        <w:tc>
          <w:tcPr>
            <w:tcW w:w="800" w:type="dxa"/>
            <w:vAlign w:val="bottom"/>
          </w:tcPr>
          <w:p>
            <w:pPr>
              <w:spacing w:after="0"/>
              <w:rPr>
                <w:sz w:val="20"/>
                <w:szCs w:val="20"/>
                <w:color w:val="auto"/>
              </w:rPr>
            </w:pPr>
            <w:r>
              <w:rPr>
                <w:rFonts w:ascii="Arial" w:cs="Arial" w:eastAsia="Arial" w:hAnsi="Arial"/>
                <w:sz w:val="19"/>
                <w:szCs w:val="19"/>
                <w:color w:val="auto"/>
              </w:rPr>
              <w:t>†10.3</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240" w:type="dxa"/>
            <w:vAlign w:val="bottom"/>
            <w:tcBorders>
              <w:bottom w:val="single" w:sz="8" w:color="auto"/>
            </w:tcBorders>
            <w:gridSpan w:val="21"/>
          </w:tcPr>
          <w:p>
            <w:pPr>
              <w:spacing w:after="0"/>
              <w:rPr>
                <w:sz w:val="20"/>
                <w:szCs w:val="20"/>
                <w:color w:val="auto"/>
              </w:rPr>
            </w:pPr>
            <w:r>
              <w:rPr>
                <w:rFonts w:ascii="Arial" w:cs="Arial" w:eastAsia="Arial" w:hAnsi="Arial"/>
                <w:sz w:val="19"/>
                <w:szCs w:val="19"/>
                <w:color w:val="auto"/>
                <w:w w:val="93"/>
              </w:rPr>
              <w:t>Stock Option Award Notice, dated as of December 4, 2019, to J. Scott Kirby pursuant to the</w:t>
            </w:r>
          </w:p>
        </w:tc>
        <w:tc>
          <w:tcPr>
            <w:tcW w:w="320" w:type="dxa"/>
            <w:vAlign w:val="bottom"/>
            <w:gridSpan w:val="12"/>
          </w:tcPr>
          <w:p>
            <w:pPr>
              <w:spacing w:after="0"/>
              <w:rPr>
                <w:sz w:val="24"/>
                <w:szCs w:val="24"/>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60" w:type="dxa"/>
            <w:vAlign w:val="bottom"/>
            <w:gridSpan w:val="33"/>
          </w:tcPr>
          <w:p>
            <w:pPr>
              <w:spacing w:after="0" w:line="174" w:lineRule="exact"/>
              <w:rPr>
                <w:sz w:val="20"/>
                <w:szCs w:val="20"/>
                <w:color w:val="auto"/>
              </w:rPr>
            </w:pPr>
            <w:r>
              <w:rPr>
                <w:rFonts w:ascii="Arial" w:cs="Arial" w:eastAsia="Arial" w:hAnsi="Arial"/>
                <w:sz w:val="19"/>
                <w:szCs w:val="19"/>
                <w:color w:val="auto"/>
                <w:w w:val="97"/>
              </w:rPr>
              <w:t>United Continental Holdings, Inc. 2017 Incentive Compensation Plan (filed as Exhibit 10.2 to</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340" w:type="dxa"/>
            <w:vAlign w:val="bottom"/>
            <w:tcBorders>
              <w:top w:val="single" w:sz="8" w:color="auto"/>
            </w:tcBorders>
            <w:gridSpan w:val="27"/>
          </w:tcPr>
          <w:p>
            <w:pPr>
              <w:spacing w:after="0" w:line="174" w:lineRule="exact"/>
              <w:rPr>
                <w:sz w:val="20"/>
                <w:szCs w:val="20"/>
                <w:color w:val="auto"/>
              </w:rPr>
            </w:pPr>
            <w:r>
              <w:rPr>
                <w:rFonts w:ascii="Arial" w:cs="Arial" w:eastAsia="Arial" w:hAnsi="Arial"/>
                <w:sz w:val="19"/>
                <w:szCs w:val="19"/>
                <w:color w:val="auto"/>
              </w:rPr>
              <w:t>UAL's Form 8-K filed December 6, 2019 and incorporated herein by reference)</w:t>
            </w: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860" w:type="dxa"/>
            <w:vAlign w:val="bottom"/>
            <w:gridSpan w:val="5"/>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52"/>
        </w:trPr>
        <w:tc>
          <w:tcPr>
            <w:tcW w:w="800" w:type="dxa"/>
            <w:vAlign w:val="bottom"/>
          </w:tcPr>
          <w:p>
            <w:pPr>
              <w:spacing w:after="0"/>
              <w:rPr>
                <w:sz w:val="20"/>
                <w:szCs w:val="20"/>
                <w:color w:val="auto"/>
              </w:rPr>
            </w:pPr>
            <w:r>
              <w:rPr>
                <w:rFonts w:ascii="Arial" w:cs="Arial" w:eastAsia="Arial" w:hAnsi="Arial"/>
                <w:sz w:val="19"/>
                <w:szCs w:val="19"/>
                <w:color w:val="auto"/>
              </w:rPr>
              <w:t>†10.4</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60" w:type="dxa"/>
            <w:vAlign w:val="bottom"/>
            <w:gridSpan w:val="33"/>
          </w:tcPr>
          <w:p>
            <w:pPr>
              <w:spacing w:after="0"/>
              <w:rPr>
                <w:sz w:val="20"/>
                <w:szCs w:val="20"/>
                <w:color w:val="auto"/>
              </w:rPr>
            </w:pPr>
            <w:r>
              <w:rPr>
                <w:rFonts w:ascii="Arial" w:cs="Arial" w:eastAsia="Arial" w:hAnsi="Arial"/>
                <w:sz w:val="19"/>
                <w:szCs w:val="19"/>
                <w:color w:val="auto"/>
                <w:w w:val="99"/>
              </w:rPr>
              <w:t>Form of Stock Option Award Notice pursuant to the United Continental Holdings, Inc. 2008</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20" w:type="dxa"/>
            <w:vAlign w:val="bottom"/>
            <w:tcBorders>
              <w:top w:val="single" w:sz="8" w:color="auto"/>
              <w:bottom w:val="single" w:sz="8" w:color="auto"/>
            </w:tcBorders>
            <w:gridSpan w:val="22"/>
          </w:tcPr>
          <w:p>
            <w:pPr>
              <w:spacing w:after="0" w:line="174" w:lineRule="exact"/>
              <w:rPr>
                <w:sz w:val="20"/>
                <w:szCs w:val="20"/>
                <w:color w:val="auto"/>
              </w:rPr>
            </w:pPr>
            <w:r>
              <w:rPr>
                <w:rFonts w:ascii="Arial" w:cs="Arial" w:eastAsia="Arial" w:hAnsi="Arial"/>
                <w:sz w:val="19"/>
                <w:szCs w:val="19"/>
                <w:color w:val="auto"/>
                <w:w w:val="92"/>
              </w:rPr>
              <w:t>Incentive Compensation Plan (filed as Exhibit 10.1 to UAL's Form 10-Q for the quarter ended</w:t>
            </w:r>
          </w:p>
        </w:tc>
        <w:tc>
          <w:tcPr>
            <w:tcW w:w="6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540" w:type="dxa"/>
            <w:vAlign w:val="bottom"/>
            <w:tcBorders>
              <w:bottom w:val="single" w:sz="8" w:color="auto"/>
            </w:tcBorders>
            <w:gridSpan w:val="10"/>
          </w:tcPr>
          <w:p>
            <w:pPr>
              <w:spacing w:after="0" w:line="174" w:lineRule="exact"/>
              <w:rPr>
                <w:sz w:val="20"/>
                <w:szCs w:val="20"/>
                <w:color w:val="auto"/>
              </w:rPr>
            </w:pPr>
            <w:r>
              <w:rPr>
                <w:rFonts w:ascii="Arial" w:cs="Arial" w:eastAsia="Arial" w:hAnsi="Arial"/>
                <w:sz w:val="19"/>
                <w:szCs w:val="19"/>
                <w:color w:val="auto"/>
                <w:w w:val="91"/>
              </w:rPr>
              <w:t>September 30, 2016 and incorporated herein by reference)</w:t>
            </w:r>
          </w:p>
        </w:tc>
        <w:tc>
          <w:tcPr>
            <w:tcW w:w="2820" w:type="dxa"/>
            <w:vAlign w:val="bottom"/>
            <w:gridSpan w:val="18"/>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552"/>
        </w:trPr>
        <w:tc>
          <w:tcPr>
            <w:tcW w:w="800" w:type="dxa"/>
            <w:vAlign w:val="bottom"/>
          </w:tcPr>
          <w:p>
            <w:pPr>
              <w:spacing w:after="0"/>
              <w:rPr>
                <w:sz w:val="20"/>
                <w:szCs w:val="20"/>
                <w:color w:val="auto"/>
              </w:rPr>
            </w:pPr>
            <w:r>
              <w:rPr>
                <w:rFonts w:ascii="Arial" w:cs="Arial" w:eastAsia="Arial" w:hAnsi="Arial"/>
                <w:sz w:val="19"/>
                <w:szCs w:val="19"/>
                <w:color w:val="auto"/>
              </w:rPr>
              <w:t>†10.5</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60" w:type="dxa"/>
            <w:vAlign w:val="bottom"/>
            <w:gridSpan w:val="33"/>
          </w:tcPr>
          <w:p>
            <w:pPr>
              <w:spacing w:after="0"/>
              <w:rPr>
                <w:sz w:val="20"/>
                <w:szCs w:val="20"/>
                <w:color w:val="auto"/>
              </w:rPr>
            </w:pPr>
            <w:r>
              <w:rPr>
                <w:rFonts w:ascii="Arial" w:cs="Arial" w:eastAsia="Arial" w:hAnsi="Arial"/>
                <w:sz w:val="19"/>
                <w:szCs w:val="19"/>
                <w:color w:val="auto"/>
                <w:w w:val="97"/>
              </w:rPr>
              <w:t>UAL Corporation 2008 Incentive Compensation Plan (filed as Appendix A to UAL's Definitive</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80" w:type="dxa"/>
            <w:vAlign w:val="bottom"/>
            <w:tcBorders>
              <w:top w:val="single" w:sz="8" w:color="auto"/>
            </w:tcBorders>
            <w:gridSpan w:val="31"/>
          </w:tcPr>
          <w:p>
            <w:pPr>
              <w:spacing w:after="0" w:line="174" w:lineRule="exact"/>
              <w:rPr>
                <w:sz w:val="20"/>
                <w:szCs w:val="20"/>
                <w:color w:val="auto"/>
              </w:rPr>
            </w:pPr>
            <w:r>
              <w:rPr>
                <w:rFonts w:ascii="Arial" w:cs="Arial" w:eastAsia="Arial" w:hAnsi="Arial"/>
                <w:sz w:val="19"/>
                <w:szCs w:val="19"/>
                <w:color w:val="auto"/>
                <w:w w:val="97"/>
              </w:rPr>
              <w:t>Proxy Statement filed April 25, 2008 and incorporated herein by reference) (now named the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80" w:type="dxa"/>
            <w:vAlign w:val="bottom"/>
            <w:tcBorders>
              <w:top w:val="single" w:sz="8" w:color="auto"/>
              <w:bottom w:val="single" w:sz="8" w:color="auto"/>
            </w:tcBorders>
            <w:gridSpan w:val="11"/>
          </w:tcPr>
          <w:p>
            <w:pPr>
              <w:spacing w:after="0" w:line="174" w:lineRule="exact"/>
              <w:rPr>
                <w:sz w:val="20"/>
                <w:szCs w:val="20"/>
                <w:color w:val="auto"/>
              </w:rPr>
            </w:pPr>
            <w:r>
              <w:rPr>
                <w:rFonts w:ascii="Arial" w:cs="Arial" w:eastAsia="Arial" w:hAnsi="Arial"/>
                <w:sz w:val="19"/>
                <w:szCs w:val="19"/>
                <w:color w:val="auto"/>
                <w:w w:val="93"/>
              </w:rPr>
              <w:t>United Continental Holdings, Inc. 2008 Incentive Compensation Plan)</w:t>
            </w:r>
          </w:p>
        </w:tc>
        <w:tc>
          <w:tcPr>
            <w:tcW w:w="1720" w:type="dxa"/>
            <w:vAlign w:val="bottom"/>
            <w:tcBorders>
              <w:top w:val="single" w:sz="8" w:color="auto"/>
            </w:tcBorders>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4294967277"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r>
      <w:tr>
        <w:trPr>
          <w:trHeight w:val="552"/>
        </w:trPr>
        <w:tc>
          <w:tcPr>
            <w:tcW w:w="800" w:type="dxa"/>
            <w:vAlign w:val="bottom"/>
          </w:tcPr>
          <w:p>
            <w:pPr>
              <w:spacing w:after="0"/>
              <w:rPr>
                <w:sz w:val="20"/>
                <w:szCs w:val="20"/>
                <w:color w:val="auto"/>
              </w:rPr>
            </w:pPr>
            <w:r>
              <w:rPr>
                <w:rFonts w:ascii="Arial" w:cs="Arial" w:eastAsia="Arial" w:hAnsi="Arial"/>
                <w:sz w:val="19"/>
                <w:szCs w:val="19"/>
                <w:color w:val="auto"/>
              </w:rPr>
              <w:t>†10.6</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220" w:type="dxa"/>
            <w:vAlign w:val="bottom"/>
            <w:tcBorders>
              <w:bottom w:val="single" w:sz="8" w:color="auto"/>
            </w:tcBorders>
            <w:gridSpan w:val="22"/>
          </w:tcPr>
          <w:p>
            <w:pPr>
              <w:spacing w:after="0"/>
              <w:rPr>
                <w:sz w:val="20"/>
                <w:szCs w:val="20"/>
                <w:color w:val="auto"/>
              </w:rPr>
            </w:pPr>
            <w:r>
              <w:rPr>
                <w:rFonts w:ascii="Arial" w:cs="Arial" w:eastAsia="Arial" w:hAnsi="Arial"/>
                <w:sz w:val="19"/>
                <w:szCs w:val="19"/>
                <w:color w:val="auto"/>
                <w:w w:val="94"/>
              </w:rPr>
              <w:t>First Amendment to the UAL Corporation 2008 Incentive Compensation Plan (changing the</w:t>
            </w:r>
          </w:p>
        </w:tc>
        <w:tc>
          <w:tcPr>
            <w:tcW w:w="340" w:type="dxa"/>
            <w:vAlign w:val="bottom"/>
            <w:gridSpan w:val="11"/>
          </w:tcPr>
          <w:p>
            <w:pPr>
              <w:spacing w:after="0"/>
              <w:rPr>
                <w:sz w:val="24"/>
                <w:szCs w:val="24"/>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60" w:type="dxa"/>
            <w:vAlign w:val="bottom"/>
            <w:gridSpan w:val="33"/>
          </w:tcPr>
          <w:p>
            <w:pPr>
              <w:spacing w:after="0" w:line="174" w:lineRule="exact"/>
              <w:rPr>
                <w:sz w:val="20"/>
                <w:szCs w:val="20"/>
                <w:color w:val="auto"/>
              </w:rPr>
            </w:pPr>
            <w:r>
              <w:rPr>
                <w:rFonts w:ascii="Arial" w:cs="Arial" w:eastAsia="Arial" w:hAnsi="Arial"/>
                <w:sz w:val="19"/>
                <w:szCs w:val="19"/>
                <w:color w:val="auto"/>
                <w:w w:val="95"/>
              </w:rPr>
              <w:t>name to United Continental Holdings, Inc. 2008 Incentive Compensation Plan) (filed as Annex</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40" w:type="dxa"/>
            <w:vAlign w:val="bottom"/>
            <w:tcBorders>
              <w:top w:val="single" w:sz="8" w:color="auto"/>
            </w:tcBorders>
            <w:gridSpan w:val="30"/>
          </w:tcPr>
          <w:p>
            <w:pPr>
              <w:spacing w:after="0" w:line="174" w:lineRule="exact"/>
              <w:rPr>
                <w:sz w:val="20"/>
                <w:szCs w:val="20"/>
                <w:color w:val="auto"/>
              </w:rPr>
            </w:pPr>
            <w:r>
              <w:rPr>
                <w:rFonts w:ascii="Arial" w:cs="Arial" w:eastAsia="Arial" w:hAnsi="Arial"/>
                <w:sz w:val="19"/>
                <w:szCs w:val="19"/>
                <w:color w:val="auto"/>
              </w:rPr>
              <w:t>A to UAL's Definitive Proxy Statement filed April 26, 2013 and incorporated herein by</w:t>
            </w: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spacing w:after="0" w:line="174" w:lineRule="exact"/>
              <w:rPr>
                <w:sz w:val="20"/>
                <w:szCs w:val="20"/>
                <w:color w:val="auto"/>
              </w:rPr>
            </w:pPr>
            <w:r>
              <w:rPr>
                <w:rFonts w:ascii="Arial" w:cs="Arial" w:eastAsia="Arial" w:hAnsi="Arial"/>
                <w:sz w:val="19"/>
                <w:szCs w:val="19"/>
                <w:color w:val="auto"/>
                <w:w w:val="90"/>
              </w:rPr>
              <w:t>reference)</w:t>
            </w:r>
          </w:p>
        </w:tc>
        <w:tc>
          <w:tcPr>
            <w:tcW w:w="6040" w:type="dxa"/>
            <w:vAlign w:val="bottom"/>
            <w:tcBorders>
              <w:top w:val="single" w:sz="8" w:color="auto"/>
            </w:tcBorders>
            <w:gridSpan w:val="12"/>
          </w:tcPr>
          <w:p>
            <w:pPr>
              <w:spacing w:after="0"/>
              <w:rPr>
                <w:sz w:val="15"/>
                <w:szCs w:val="15"/>
                <w:color w:val="auto"/>
              </w:rPr>
            </w:pPr>
          </w:p>
        </w:tc>
        <w:tc>
          <w:tcPr>
            <w:tcW w:w="16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7"/>
          </w:tcPr>
          <w:p>
            <w:pPr>
              <w:spacing w:after="0"/>
              <w:rPr>
                <w:sz w:val="15"/>
                <w:szCs w:val="15"/>
                <w:color w:val="auto"/>
              </w:rPr>
            </w:pPr>
          </w:p>
        </w:tc>
        <w:tc>
          <w:tcPr>
            <w:tcW w:w="60" w:type="dxa"/>
            <w:vAlign w:val="bottom"/>
          </w:tcPr>
          <w:p>
            <w:pPr>
              <w:spacing w:after="0"/>
              <w:rPr>
                <w:sz w:val="15"/>
                <w:szCs w:val="15"/>
                <w:color w:val="auto"/>
              </w:rPr>
            </w:pPr>
          </w:p>
        </w:tc>
      </w:tr>
      <w:tr>
        <w:trPr>
          <w:trHeight w:val="562"/>
        </w:trPr>
        <w:tc>
          <w:tcPr>
            <w:tcW w:w="800" w:type="dxa"/>
            <w:vAlign w:val="bottom"/>
          </w:tcPr>
          <w:p>
            <w:pPr>
              <w:spacing w:after="0"/>
              <w:rPr>
                <w:sz w:val="20"/>
                <w:szCs w:val="20"/>
                <w:color w:val="auto"/>
              </w:rPr>
            </w:pPr>
            <w:r>
              <w:rPr>
                <w:rFonts w:ascii="Arial" w:cs="Arial" w:eastAsia="Arial" w:hAnsi="Arial"/>
                <w:sz w:val="19"/>
                <w:szCs w:val="19"/>
                <w:color w:val="auto"/>
              </w:rPr>
              <w:t>†10.7</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60" w:type="dxa"/>
            <w:vAlign w:val="bottom"/>
            <w:gridSpan w:val="33"/>
          </w:tcPr>
          <w:p>
            <w:pPr>
              <w:spacing w:after="0"/>
              <w:rPr>
                <w:sz w:val="20"/>
                <w:szCs w:val="20"/>
                <w:color w:val="auto"/>
              </w:rPr>
            </w:pPr>
            <w:r>
              <w:rPr>
                <w:rFonts w:ascii="Arial" w:cs="Arial" w:eastAsia="Arial" w:hAnsi="Arial"/>
                <w:sz w:val="19"/>
                <w:szCs w:val="19"/>
                <w:color w:val="auto"/>
                <w:w w:val="98"/>
              </w:rPr>
              <w:t>Second Amendment to the United Continental Holdings, Inc. 2008 Incentive Compensation</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80" w:type="dxa"/>
            <w:vAlign w:val="bottom"/>
            <w:tcBorders>
              <w:top w:val="single" w:sz="8" w:color="auto"/>
              <w:bottom w:val="single" w:sz="8" w:color="auto"/>
            </w:tcBorders>
            <w:gridSpan w:val="18"/>
          </w:tcPr>
          <w:p>
            <w:pPr>
              <w:spacing w:after="0" w:line="174" w:lineRule="exact"/>
              <w:rPr>
                <w:sz w:val="20"/>
                <w:szCs w:val="20"/>
                <w:color w:val="auto"/>
              </w:rPr>
            </w:pPr>
            <w:r>
              <w:rPr>
                <w:rFonts w:ascii="Arial" w:cs="Arial" w:eastAsia="Arial" w:hAnsi="Arial"/>
                <w:sz w:val="19"/>
                <w:szCs w:val="19"/>
                <w:color w:val="auto"/>
                <w:w w:val="93"/>
              </w:rPr>
              <w:t>Plan (filed as Exhibit 10.19 to UAL's Form 10-K for the year ended December 31, 2016 and</w:t>
            </w:r>
          </w:p>
        </w:tc>
        <w:tc>
          <w:tcPr>
            <w:tcW w:w="60" w:type="dxa"/>
            <w:vAlign w:val="bottom"/>
            <w:tcBorders>
              <w:bottom w:val="single" w:sz="8" w:color="auto"/>
            </w:tcBorders>
            <w:gridSpan w:val="3"/>
          </w:tcPr>
          <w:p>
            <w:pPr>
              <w:spacing w:after="0"/>
              <w:rPr>
                <w:sz w:val="15"/>
                <w:szCs w:val="15"/>
                <w:color w:val="auto"/>
              </w:rPr>
            </w:pPr>
          </w:p>
        </w:tc>
        <w:tc>
          <w:tcPr>
            <w:tcW w:w="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7"/>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0" w:type="dxa"/>
            <w:vAlign w:val="bottom"/>
            <w:tcBorders>
              <w:bottom w:val="single" w:sz="8" w:color="auto"/>
            </w:tcBorders>
            <w:gridSpan w:val="6"/>
          </w:tcPr>
          <w:p>
            <w:pPr>
              <w:spacing w:after="0" w:line="174" w:lineRule="exact"/>
              <w:rPr>
                <w:sz w:val="20"/>
                <w:szCs w:val="20"/>
                <w:color w:val="auto"/>
              </w:rPr>
            </w:pPr>
            <w:r>
              <w:rPr>
                <w:rFonts w:ascii="Arial" w:cs="Arial" w:eastAsia="Arial" w:hAnsi="Arial"/>
                <w:sz w:val="19"/>
                <w:szCs w:val="19"/>
                <w:color w:val="auto"/>
                <w:w w:val="91"/>
              </w:rPr>
              <w:t>incorporated herein by reference)</w:t>
            </w:r>
          </w:p>
        </w:tc>
        <w:tc>
          <w:tcPr>
            <w:tcW w:w="4640" w:type="dxa"/>
            <w:vAlign w:val="bottom"/>
            <w:gridSpan w:val="15"/>
          </w:tcPr>
          <w:p>
            <w:pPr>
              <w:spacing w:after="0"/>
              <w:rPr>
                <w:sz w:val="15"/>
                <w:szCs w:val="15"/>
                <w:color w:val="auto"/>
              </w:rPr>
            </w:pPr>
          </w:p>
        </w:tc>
        <w:tc>
          <w:tcPr>
            <w:tcW w:w="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7"/>
          </w:tcPr>
          <w:p>
            <w:pPr>
              <w:spacing w:after="0"/>
              <w:rPr>
                <w:sz w:val="15"/>
                <w:szCs w:val="15"/>
                <w:color w:val="auto"/>
              </w:rPr>
            </w:pPr>
          </w:p>
        </w:tc>
        <w:tc>
          <w:tcPr>
            <w:tcW w:w="60" w:type="dxa"/>
            <w:vAlign w:val="bottom"/>
          </w:tcPr>
          <w:p>
            <w:pPr>
              <w:spacing w:after="0"/>
              <w:rPr>
                <w:sz w:val="15"/>
                <w:szCs w:val="15"/>
                <w:color w:val="auto"/>
              </w:rPr>
            </w:pPr>
          </w:p>
        </w:tc>
      </w:tr>
      <w:tr>
        <w:trPr>
          <w:trHeight w:val="552"/>
        </w:trPr>
        <w:tc>
          <w:tcPr>
            <w:tcW w:w="800" w:type="dxa"/>
            <w:vAlign w:val="bottom"/>
          </w:tcPr>
          <w:p>
            <w:pPr>
              <w:spacing w:after="0"/>
              <w:rPr>
                <w:sz w:val="20"/>
                <w:szCs w:val="20"/>
                <w:color w:val="auto"/>
              </w:rPr>
            </w:pPr>
            <w:r>
              <w:rPr>
                <w:rFonts w:ascii="Arial" w:cs="Arial" w:eastAsia="Arial" w:hAnsi="Arial"/>
                <w:sz w:val="19"/>
                <w:szCs w:val="19"/>
                <w:color w:val="auto"/>
              </w:rPr>
              <w:t>†10.8</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60" w:type="dxa"/>
            <w:vAlign w:val="bottom"/>
            <w:gridSpan w:val="33"/>
          </w:tcPr>
          <w:p>
            <w:pPr>
              <w:spacing w:after="0"/>
              <w:rPr>
                <w:sz w:val="20"/>
                <w:szCs w:val="20"/>
                <w:color w:val="auto"/>
              </w:rPr>
            </w:pPr>
            <w:r>
              <w:rPr>
                <w:rFonts w:ascii="Arial" w:cs="Arial" w:eastAsia="Arial" w:hAnsi="Arial"/>
                <w:sz w:val="19"/>
                <w:szCs w:val="19"/>
                <w:color w:val="auto"/>
                <w:w w:val="94"/>
              </w:rPr>
              <w:t>United Air Lines, Inc. Management Cash Direct &amp; Cash Match Program (amended and restated</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00" w:type="dxa"/>
            <w:vAlign w:val="bottom"/>
            <w:tcBorders>
              <w:top w:val="single" w:sz="8" w:color="auto"/>
            </w:tcBorders>
            <w:gridSpan w:val="32"/>
          </w:tcPr>
          <w:p>
            <w:pPr>
              <w:spacing w:after="0" w:line="174" w:lineRule="exact"/>
              <w:rPr>
                <w:sz w:val="20"/>
                <w:szCs w:val="20"/>
                <w:color w:val="auto"/>
              </w:rPr>
            </w:pPr>
            <w:r>
              <w:rPr>
                <w:rFonts w:ascii="Arial" w:cs="Arial" w:eastAsia="Arial" w:hAnsi="Arial"/>
                <w:sz w:val="19"/>
                <w:szCs w:val="19"/>
                <w:color w:val="auto"/>
              </w:rPr>
              <w:t>effective January 1, 2016) (filed as Exhibit 10.28 to UAL's Form 10-K for the year ended</w:t>
            </w:r>
          </w:p>
        </w:tc>
        <w:tc>
          <w:tcPr>
            <w:tcW w:w="6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500" w:type="dxa"/>
            <w:vAlign w:val="bottom"/>
            <w:tcBorders>
              <w:top w:val="single" w:sz="8" w:color="auto"/>
              <w:bottom w:val="single" w:sz="8" w:color="auto"/>
            </w:tcBorders>
            <w:gridSpan w:val="9"/>
          </w:tcPr>
          <w:p>
            <w:pPr>
              <w:spacing w:after="0" w:line="174" w:lineRule="exact"/>
              <w:rPr>
                <w:sz w:val="20"/>
                <w:szCs w:val="20"/>
                <w:color w:val="auto"/>
              </w:rPr>
            </w:pPr>
            <w:r>
              <w:rPr>
                <w:rFonts w:ascii="Arial" w:cs="Arial" w:eastAsia="Arial" w:hAnsi="Arial"/>
                <w:sz w:val="19"/>
                <w:szCs w:val="19"/>
                <w:color w:val="auto"/>
                <w:w w:val="91"/>
              </w:rPr>
              <w:t>December 31, 2018 and incorporated herein by reference)</w:t>
            </w:r>
          </w:p>
        </w:tc>
        <w:tc>
          <w:tcPr>
            <w:tcW w:w="2500" w:type="dxa"/>
            <w:vAlign w:val="bottom"/>
            <w:tcBorders>
              <w:top w:val="single" w:sz="8" w:color="auto"/>
            </w:tcBorders>
            <w:gridSpan w:val="7"/>
          </w:tcPr>
          <w:p>
            <w:pPr>
              <w:spacing w:after="0"/>
              <w:rPr>
                <w:sz w:val="15"/>
                <w:szCs w:val="15"/>
                <w:color w:val="auto"/>
              </w:rPr>
            </w:pPr>
          </w:p>
        </w:tc>
        <w:tc>
          <w:tcPr>
            <w:tcW w:w="28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8"/>
          </w:tcPr>
          <w:p>
            <w:pPr>
              <w:spacing w:after="0"/>
              <w:rPr>
                <w:sz w:val="15"/>
                <w:szCs w:val="15"/>
                <w:color w:val="auto"/>
              </w:rPr>
            </w:pPr>
          </w:p>
        </w:tc>
      </w:tr>
      <w:tr>
        <w:trPr>
          <w:trHeight w:val="552"/>
        </w:trPr>
        <w:tc>
          <w:tcPr>
            <w:tcW w:w="800" w:type="dxa"/>
            <w:vAlign w:val="bottom"/>
          </w:tcPr>
          <w:p>
            <w:pPr>
              <w:spacing w:after="0"/>
              <w:rPr>
                <w:sz w:val="20"/>
                <w:szCs w:val="20"/>
                <w:color w:val="auto"/>
              </w:rPr>
            </w:pPr>
            <w:r>
              <w:rPr>
                <w:rFonts w:ascii="Arial" w:cs="Arial" w:eastAsia="Arial" w:hAnsi="Arial"/>
                <w:sz w:val="19"/>
                <w:szCs w:val="19"/>
                <w:color w:val="auto"/>
              </w:rPr>
              <w:t>†10.9</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60" w:type="dxa"/>
            <w:vAlign w:val="bottom"/>
            <w:gridSpan w:val="33"/>
          </w:tcPr>
          <w:p>
            <w:pPr>
              <w:spacing w:after="0"/>
              <w:rPr>
                <w:sz w:val="20"/>
                <w:szCs w:val="20"/>
                <w:color w:val="auto"/>
              </w:rPr>
            </w:pPr>
            <w:r>
              <w:rPr>
                <w:rFonts w:ascii="Arial" w:cs="Arial" w:eastAsia="Arial" w:hAnsi="Arial"/>
                <w:sz w:val="19"/>
                <w:szCs w:val="19"/>
                <w:color w:val="auto"/>
                <w:w w:val="96"/>
              </w:rPr>
              <w:t>United Continental Holdings, Inc. Executive Severance Plan (amended and restated effective</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80" w:type="dxa"/>
            <w:vAlign w:val="bottom"/>
            <w:tcBorders>
              <w:top w:val="single" w:sz="8" w:color="auto"/>
              <w:bottom w:val="single" w:sz="8" w:color="auto"/>
            </w:tcBorders>
            <w:gridSpan w:val="24"/>
          </w:tcPr>
          <w:p>
            <w:pPr>
              <w:spacing w:after="0" w:line="174" w:lineRule="exact"/>
              <w:rPr>
                <w:sz w:val="20"/>
                <w:szCs w:val="20"/>
                <w:color w:val="auto"/>
              </w:rPr>
            </w:pPr>
            <w:r>
              <w:rPr>
                <w:rFonts w:ascii="Arial" w:cs="Arial" w:eastAsia="Arial" w:hAnsi="Arial"/>
                <w:sz w:val="19"/>
                <w:szCs w:val="19"/>
                <w:color w:val="auto"/>
                <w:w w:val="93"/>
              </w:rPr>
              <w:t>December 6, 2023) (filed as Exhibit 10.10 to UAL's Form 10-K for the year ended December</w:t>
            </w:r>
          </w:p>
        </w:tc>
        <w:tc>
          <w:tcPr>
            <w:tcW w:w="20" w:type="dxa"/>
            <w:vAlign w:val="bottom"/>
            <w:tcBorders>
              <w:bottom w:val="single" w:sz="8" w:color="auto"/>
            </w:tcBorders>
          </w:tcPr>
          <w:p>
            <w:pPr>
              <w:spacing w:after="0"/>
              <w:rPr>
                <w:sz w:val="15"/>
                <w:szCs w:val="15"/>
                <w:color w:val="auto"/>
              </w:rPr>
            </w:pPr>
          </w:p>
        </w:tc>
        <w:tc>
          <w:tcPr>
            <w:tcW w:w="260" w:type="dxa"/>
            <w:vAlign w:val="bottom"/>
            <w:gridSpan w:val="8"/>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60" w:type="dxa"/>
            <w:vAlign w:val="bottom"/>
            <w:tcBorders>
              <w:bottom w:val="single" w:sz="8" w:color="auto"/>
            </w:tcBorders>
            <w:gridSpan w:val="7"/>
          </w:tcPr>
          <w:p>
            <w:pPr>
              <w:spacing w:after="0" w:line="174" w:lineRule="exact"/>
              <w:rPr>
                <w:sz w:val="20"/>
                <w:szCs w:val="20"/>
                <w:color w:val="auto"/>
              </w:rPr>
            </w:pPr>
            <w:r>
              <w:rPr>
                <w:rFonts w:ascii="Arial" w:cs="Arial" w:eastAsia="Arial" w:hAnsi="Arial"/>
                <w:sz w:val="19"/>
                <w:szCs w:val="19"/>
                <w:color w:val="auto"/>
                <w:w w:val="91"/>
              </w:rPr>
              <w:t>31, 2024 and incorporated herein by reference)</w:t>
            </w:r>
          </w:p>
        </w:tc>
        <w:tc>
          <w:tcPr>
            <w:tcW w:w="3640" w:type="dxa"/>
            <w:vAlign w:val="bottom"/>
            <w:gridSpan w:val="18"/>
          </w:tcPr>
          <w:p>
            <w:pPr>
              <w:spacing w:after="0"/>
              <w:rPr>
                <w:sz w:val="15"/>
                <w:szCs w:val="15"/>
                <w:color w:val="auto"/>
              </w:rPr>
            </w:pPr>
          </w:p>
        </w:tc>
        <w:tc>
          <w:tcPr>
            <w:tcW w:w="260" w:type="dxa"/>
            <w:vAlign w:val="bottom"/>
            <w:gridSpan w:val="8"/>
          </w:tcPr>
          <w:p>
            <w:pPr>
              <w:spacing w:after="0"/>
              <w:rPr>
                <w:sz w:val="15"/>
                <w:szCs w:val="15"/>
                <w:color w:val="auto"/>
              </w:rPr>
            </w:pPr>
          </w:p>
        </w:tc>
      </w:tr>
      <w:tr>
        <w:trPr>
          <w:trHeight w:val="552"/>
        </w:trPr>
        <w:tc>
          <w:tcPr>
            <w:tcW w:w="800" w:type="dxa"/>
            <w:vAlign w:val="bottom"/>
          </w:tcPr>
          <w:p>
            <w:pPr>
              <w:spacing w:after="0"/>
              <w:rPr>
                <w:sz w:val="20"/>
                <w:szCs w:val="20"/>
                <w:color w:val="auto"/>
              </w:rPr>
            </w:pPr>
            <w:r>
              <w:rPr>
                <w:rFonts w:ascii="Arial" w:cs="Arial" w:eastAsia="Arial" w:hAnsi="Arial"/>
                <w:sz w:val="19"/>
                <w:szCs w:val="19"/>
                <w:color w:val="auto"/>
              </w:rPr>
              <w:t>†10.10</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60" w:type="dxa"/>
            <w:vAlign w:val="bottom"/>
            <w:gridSpan w:val="33"/>
          </w:tcPr>
          <w:p>
            <w:pPr>
              <w:spacing w:after="0"/>
              <w:rPr>
                <w:sz w:val="20"/>
                <w:szCs w:val="20"/>
                <w:color w:val="auto"/>
              </w:rPr>
            </w:pPr>
            <w:r>
              <w:rPr>
                <w:rFonts w:ascii="Arial" w:cs="Arial" w:eastAsia="Arial" w:hAnsi="Arial"/>
                <w:sz w:val="19"/>
                <w:szCs w:val="19"/>
                <w:color w:val="auto"/>
                <w:w w:val="97"/>
              </w:rPr>
              <w:t>United Continental Holdings, Inc. 2017 Incentive Compensation Plan (filed as Exhibit 10.1 to</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840" w:type="dxa"/>
            <w:vAlign w:val="bottom"/>
            <w:tcBorders>
              <w:top w:val="single" w:sz="8" w:color="auto"/>
              <w:bottom w:val="single" w:sz="8" w:color="auto"/>
            </w:tcBorders>
            <w:gridSpan w:val="12"/>
          </w:tcPr>
          <w:p>
            <w:pPr>
              <w:spacing w:after="0" w:line="174" w:lineRule="exact"/>
              <w:rPr>
                <w:sz w:val="20"/>
                <w:szCs w:val="20"/>
                <w:color w:val="auto"/>
              </w:rPr>
            </w:pPr>
            <w:r>
              <w:rPr>
                <w:rFonts w:ascii="Arial" w:cs="Arial" w:eastAsia="Arial" w:hAnsi="Arial"/>
                <w:sz w:val="19"/>
                <w:szCs w:val="19"/>
                <w:color w:val="auto"/>
                <w:w w:val="94"/>
              </w:rPr>
              <w:t>UAL's Form 8-K filed May 30, 2017 and incorporated herein by reference)</w:t>
            </w:r>
          </w:p>
        </w:tc>
        <w:tc>
          <w:tcPr>
            <w:tcW w:w="1500" w:type="dxa"/>
            <w:vAlign w:val="bottom"/>
            <w:tcBorders>
              <w:top w:val="single" w:sz="8" w:color="auto"/>
            </w:tcBorders>
            <w:gridSpan w:val="15"/>
          </w:tcPr>
          <w:p>
            <w:pPr>
              <w:spacing w:after="0"/>
              <w:rPr>
                <w:sz w:val="15"/>
                <w:szCs w:val="15"/>
                <w:color w:val="auto"/>
              </w:rPr>
            </w:pPr>
          </w:p>
        </w:tc>
        <w:tc>
          <w:tcPr>
            <w:tcW w:w="220" w:type="dxa"/>
            <w:vAlign w:val="bottom"/>
            <w:gridSpan w:val="6"/>
          </w:tcPr>
          <w:p>
            <w:pPr>
              <w:spacing w:after="0"/>
              <w:rPr>
                <w:sz w:val="15"/>
                <w:szCs w:val="15"/>
                <w:color w:val="auto"/>
              </w:rPr>
            </w:pPr>
          </w:p>
        </w:tc>
      </w:tr>
      <w:tr>
        <w:trPr>
          <w:trHeight w:val="543"/>
        </w:trPr>
        <w:tc>
          <w:tcPr>
            <w:tcW w:w="800" w:type="dxa"/>
            <w:vAlign w:val="bottom"/>
          </w:tcPr>
          <w:p>
            <w:pPr>
              <w:spacing w:after="0"/>
              <w:rPr>
                <w:sz w:val="20"/>
                <w:szCs w:val="20"/>
                <w:color w:val="auto"/>
              </w:rPr>
            </w:pPr>
            <w:r>
              <w:rPr>
                <w:rFonts w:ascii="Arial" w:cs="Arial" w:eastAsia="Arial" w:hAnsi="Arial"/>
                <w:sz w:val="19"/>
                <w:szCs w:val="19"/>
                <w:color w:val="auto"/>
              </w:rPr>
              <w:t>†10.11</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60" w:type="dxa"/>
            <w:vAlign w:val="bottom"/>
            <w:gridSpan w:val="33"/>
          </w:tcPr>
          <w:p>
            <w:pPr>
              <w:spacing w:after="0"/>
              <w:rPr>
                <w:sz w:val="20"/>
                <w:szCs w:val="20"/>
                <w:color w:val="auto"/>
              </w:rPr>
            </w:pPr>
            <w:r>
              <w:rPr>
                <w:rFonts w:ascii="Arial" w:cs="Arial" w:eastAsia="Arial" w:hAnsi="Arial"/>
                <w:sz w:val="19"/>
                <w:szCs w:val="19"/>
                <w:color w:val="auto"/>
                <w:w w:val="99"/>
              </w:rPr>
              <w:t>Form of Stock Option Award Notice pursuant to the United Continental Holdings, Inc. 2017</w:t>
            </w:r>
          </w:p>
        </w:tc>
      </w:tr>
      <w:tr>
        <w:trPr>
          <w:trHeight w:val="197"/>
        </w:trPr>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20" w:type="dxa"/>
            <w:vAlign w:val="bottom"/>
            <w:tcBorders>
              <w:top w:val="single" w:sz="8" w:color="auto"/>
            </w:tcBorders>
            <w:gridSpan w:val="22"/>
          </w:tcPr>
          <w:p>
            <w:pPr>
              <w:spacing w:after="0" w:line="197" w:lineRule="exact"/>
              <w:rPr>
                <w:sz w:val="20"/>
                <w:szCs w:val="20"/>
                <w:color w:val="auto"/>
              </w:rPr>
            </w:pPr>
            <w:r>
              <w:rPr>
                <w:rFonts w:ascii="Arial" w:cs="Arial" w:eastAsia="Arial" w:hAnsi="Arial"/>
                <w:sz w:val="19"/>
                <w:szCs w:val="19"/>
                <w:color w:val="auto"/>
                <w:w w:val="92"/>
              </w:rPr>
              <w:t>Incentive Compensation Plan (filed as Exhibit 10.7 to UAL's Form 10-Q for the quarter ended</w:t>
            </w:r>
          </w:p>
        </w:tc>
        <w:tc>
          <w:tcPr>
            <w:tcW w:w="340" w:type="dxa"/>
            <w:vAlign w:val="bottom"/>
            <w:gridSpan w:val="11"/>
          </w:tcPr>
          <w:p>
            <w:pPr>
              <w:spacing w:after="0"/>
              <w:rPr>
                <w:sz w:val="17"/>
                <w:szCs w:val="17"/>
                <w:color w:val="auto"/>
              </w:rPr>
            </w:pPr>
          </w:p>
        </w:tc>
      </w:tr>
      <w:tr>
        <w:trPr>
          <w:trHeight w:val="197"/>
        </w:trPr>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60" w:type="dxa"/>
            <w:vAlign w:val="bottom"/>
            <w:tcBorders>
              <w:top w:val="single" w:sz="8" w:color="auto"/>
              <w:bottom w:val="single" w:sz="8" w:color="auto"/>
            </w:tcBorders>
            <w:gridSpan w:val="8"/>
          </w:tcPr>
          <w:p>
            <w:pPr>
              <w:spacing w:after="0" w:line="197" w:lineRule="exact"/>
              <w:rPr>
                <w:sz w:val="20"/>
                <w:szCs w:val="20"/>
                <w:color w:val="auto"/>
              </w:rPr>
            </w:pPr>
            <w:r>
              <w:rPr>
                <w:rFonts w:ascii="Arial" w:cs="Arial" w:eastAsia="Arial" w:hAnsi="Arial"/>
                <w:sz w:val="19"/>
                <w:szCs w:val="19"/>
                <w:color w:val="auto"/>
                <w:w w:val="91"/>
              </w:rPr>
              <w:t>June 30, 2017 and incorporated herein by reference)</w:t>
            </w:r>
          </w:p>
        </w:tc>
        <w:tc>
          <w:tcPr>
            <w:tcW w:w="3300" w:type="dxa"/>
            <w:vAlign w:val="bottom"/>
            <w:tcBorders>
              <w:top w:val="single" w:sz="8" w:color="auto"/>
            </w:tcBorders>
            <w:gridSpan w:val="20"/>
          </w:tcPr>
          <w:p>
            <w:pPr>
              <w:spacing w:after="0"/>
              <w:rPr>
                <w:sz w:val="17"/>
                <w:szCs w:val="17"/>
                <w:color w:val="auto"/>
              </w:rPr>
            </w:pPr>
          </w:p>
        </w:tc>
        <w:tc>
          <w:tcPr>
            <w:tcW w:w="200" w:type="dxa"/>
            <w:vAlign w:val="bottom"/>
            <w:gridSpan w:val="5"/>
          </w:tcPr>
          <w:p>
            <w:pPr>
              <w:spacing w:after="0"/>
              <w:rPr>
                <w:sz w:val="17"/>
                <w:szCs w:val="17"/>
                <w:color w:val="auto"/>
              </w:rPr>
            </w:pPr>
          </w:p>
        </w:tc>
      </w:tr>
    </w:tbl>
    <w:p>
      <w:pPr>
        <w:spacing w:after="0" w:line="200" w:lineRule="exact"/>
        <w:rPr>
          <w:sz w:val="20"/>
          <w:szCs w:val="20"/>
          <w:color w:val="auto"/>
        </w:rPr>
      </w:pPr>
    </w:p>
    <w:p>
      <w:pPr>
        <w:sectPr>
          <w:pgSz w:w="11880" w:h="15480" w:orient="portrait"/>
          <w:cols w:equalWidth="0" w:num="1">
            <w:col w:w="9640"/>
          </w:cols>
          <w:pgMar w:left="1020" w:top="630" w:right="1220" w:bottom="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9640"/>
          </w:cols>
          <w:pgMar w:left="1020" w:top="630" w:right="1220" w:bottom="45"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†10.12</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20" w:type="dxa"/>
            <w:vAlign w:val="bottom"/>
            <w:gridSpan w:val="26"/>
          </w:tcPr>
          <w:p>
            <w:pPr>
              <w:spacing w:after="0"/>
              <w:rPr>
                <w:sz w:val="20"/>
                <w:szCs w:val="20"/>
                <w:color w:val="auto"/>
              </w:rPr>
            </w:pPr>
            <w:r>
              <w:rPr>
                <w:rFonts w:ascii="Arial" w:cs="Arial" w:eastAsia="Arial" w:hAnsi="Arial"/>
                <w:sz w:val="19"/>
                <w:szCs w:val="19"/>
                <w:color w:val="auto"/>
                <w:w w:val="96"/>
              </w:rPr>
              <w:t>United Airlines Holdings, Inc. 2006 Director Equity Incentive Plan (as amended and restated,</w:t>
            </w:r>
          </w:p>
        </w:tc>
        <w:tc>
          <w:tcPr>
            <w:tcW w:w="20" w:type="dxa"/>
            <w:vAlign w:val="bottom"/>
          </w:tcPr>
          <w:p>
            <w:pPr>
              <w:spacing w:after="0"/>
              <w:rPr>
                <w:sz w:val="18"/>
                <w:szCs w:val="18"/>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320" w:type="dxa"/>
            <w:vAlign w:val="bottom"/>
            <w:tcBorders>
              <w:top w:val="single" w:sz="8" w:color="auto"/>
            </w:tcBorders>
            <w:gridSpan w:val="19"/>
          </w:tcPr>
          <w:p>
            <w:pPr>
              <w:spacing w:after="0" w:line="174" w:lineRule="exact"/>
              <w:rPr>
                <w:sz w:val="20"/>
                <w:szCs w:val="20"/>
                <w:color w:val="auto"/>
              </w:rPr>
            </w:pPr>
            <w:r>
              <w:rPr>
                <w:rFonts w:ascii="Arial" w:cs="Arial" w:eastAsia="Arial" w:hAnsi="Arial"/>
                <w:sz w:val="19"/>
                <w:szCs w:val="19"/>
                <w:color w:val="auto"/>
                <w:w w:val="99"/>
              </w:rPr>
              <w:t>effective May 24, 2023) (filed as Exhibit 10.2 to UAL's Form 8-K filed May 30, 2023 and</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1"/>
              </w:rPr>
              <w:t>incorporated herein by reference)</w:t>
            </w:r>
          </w:p>
        </w:tc>
        <w:tc>
          <w:tcPr>
            <w:tcW w:w="4460" w:type="dxa"/>
            <w:vAlign w:val="bottom"/>
            <w:tcBorders>
              <w:top w:val="single" w:sz="8" w:color="auto"/>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52"/>
        </w:trPr>
        <w:tc>
          <w:tcPr>
            <w:tcW w:w="800" w:type="dxa"/>
            <w:vAlign w:val="bottom"/>
          </w:tcPr>
          <w:p>
            <w:pPr>
              <w:spacing w:after="0"/>
              <w:rPr>
                <w:sz w:val="20"/>
                <w:szCs w:val="20"/>
                <w:color w:val="auto"/>
              </w:rPr>
            </w:pPr>
            <w:r>
              <w:rPr>
                <w:rFonts w:ascii="Arial" w:cs="Arial" w:eastAsia="Arial" w:hAnsi="Arial"/>
                <w:sz w:val="19"/>
                <w:szCs w:val="19"/>
                <w:color w:val="auto"/>
              </w:rPr>
              <w:t>†10.13</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20" w:type="dxa"/>
            <w:vAlign w:val="bottom"/>
            <w:gridSpan w:val="26"/>
          </w:tcPr>
          <w:p>
            <w:pPr>
              <w:spacing w:after="0"/>
              <w:rPr>
                <w:sz w:val="20"/>
                <w:szCs w:val="20"/>
                <w:color w:val="auto"/>
              </w:rPr>
            </w:pPr>
            <w:r>
              <w:rPr>
                <w:rFonts w:ascii="Arial" w:cs="Arial" w:eastAsia="Arial" w:hAnsi="Arial"/>
                <w:sz w:val="19"/>
                <w:szCs w:val="19"/>
                <w:color w:val="auto"/>
                <w:w w:val="96"/>
              </w:rPr>
              <w:t>Form of Share Unit Award Notice pursuant to the United Airlines Holdings, Inc. 2006 Director</w:t>
            </w:r>
          </w:p>
        </w:tc>
        <w:tc>
          <w:tcPr>
            <w:tcW w:w="20" w:type="dxa"/>
            <w:vAlign w:val="bottom"/>
          </w:tcPr>
          <w:p>
            <w:pPr>
              <w:spacing w:after="0"/>
              <w:rPr>
                <w:sz w:val="24"/>
                <w:szCs w:val="24"/>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60" w:type="dxa"/>
            <w:vAlign w:val="bottom"/>
            <w:tcBorders>
              <w:top w:val="single" w:sz="8" w:color="auto"/>
              <w:bottom w:val="single" w:sz="8" w:color="auto"/>
            </w:tcBorders>
            <w:gridSpan w:val="22"/>
          </w:tcPr>
          <w:p>
            <w:pPr>
              <w:spacing w:after="0" w:line="174" w:lineRule="exact"/>
              <w:rPr>
                <w:sz w:val="20"/>
                <w:szCs w:val="20"/>
                <w:color w:val="auto"/>
              </w:rPr>
            </w:pPr>
            <w:r>
              <w:rPr>
                <w:rFonts w:ascii="Arial" w:cs="Arial" w:eastAsia="Arial" w:hAnsi="Arial"/>
                <w:sz w:val="19"/>
                <w:szCs w:val="19"/>
                <w:color w:val="auto"/>
                <w:w w:val="94"/>
              </w:rPr>
              <w:t>Equity Incentive Plan (for awards granted on or after May 2025) (filed as Exhibit 10.1 to UAL's</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20" w:type="dxa"/>
            <w:vAlign w:val="bottom"/>
            <w:gridSpan w:val="26"/>
          </w:tcPr>
          <w:p>
            <w:pPr>
              <w:spacing w:after="0" w:line="174" w:lineRule="exact"/>
              <w:rPr>
                <w:sz w:val="20"/>
                <w:szCs w:val="20"/>
                <w:color w:val="auto"/>
              </w:rPr>
            </w:pPr>
            <w:r>
              <w:rPr>
                <w:rFonts w:ascii="Arial" w:cs="Arial" w:eastAsia="Arial" w:hAnsi="Arial"/>
                <w:sz w:val="19"/>
                <w:szCs w:val="19"/>
                <w:color w:val="auto"/>
              </w:rPr>
              <w:t>Form 10-Q for the quarter ended June 30, 2025 and incorporated herein by reference)</w:t>
            </w: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72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2"/>
        </w:trPr>
        <w:tc>
          <w:tcPr>
            <w:tcW w:w="800" w:type="dxa"/>
            <w:vAlign w:val="bottom"/>
          </w:tcPr>
          <w:p>
            <w:pPr>
              <w:spacing w:after="0"/>
              <w:rPr>
                <w:sz w:val="20"/>
                <w:szCs w:val="20"/>
                <w:color w:val="auto"/>
              </w:rPr>
            </w:pPr>
            <w:r>
              <w:rPr>
                <w:rFonts w:ascii="Arial" w:cs="Arial" w:eastAsia="Arial" w:hAnsi="Arial"/>
                <w:sz w:val="19"/>
                <w:szCs w:val="19"/>
                <w:color w:val="auto"/>
              </w:rPr>
              <w:t>†10.14</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20" w:type="dxa"/>
            <w:vAlign w:val="bottom"/>
            <w:gridSpan w:val="26"/>
          </w:tcPr>
          <w:p>
            <w:pPr>
              <w:spacing w:after="0"/>
              <w:rPr>
                <w:sz w:val="20"/>
                <w:szCs w:val="20"/>
                <w:color w:val="auto"/>
              </w:rPr>
            </w:pPr>
            <w:r>
              <w:rPr>
                <w:rFonts w:ascii="Arial" w:cs="Arial" w:eastAsia="Arial" w:hAnsi="Arial"/>
                <w:sz w:val="19"/>
                <w:szCs w:val="19"/>
                <w:color w:val="auto"/>
                <w:w w:val="94"/>
              </w:rPr>
              <w:t>United Airlines Holdings, Inc. Amended and Restated 2021 Incentive Compensation Plan (filed</w:t>
            </w:r>
          </w:p>
        </w:tc>
        <w:tc>
          <w:tcPr>
            <w:tcW w:w="20" w:type="dxa"/>
            <w:vAlign w:val="bottom"/>
          </w:tcPr>
          <w:p>
            <w:pPr>
              <w:spacing w:after="0"/>
              <w:rPr>
                <w:sz w:val="24"/>
                <w:szCs w:val="24"/>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60" w:type="dxa"/>
            <w:vAlign w:val="bottom"/>
            <w:tcBorders>
              <w:top w:val="single" w:sz="8" w:color="auto"/>
              <w:bottom w:val="single" w:sz="8" w:color="auto"/>
            </w:tcBorders>
            <w:gridSpan w:val="17"/>
          </w:tcPr>
          <w:p>
            <w:pPr>
              <w:spacing w:after="0" w:line="174" w:lineRule="exact"/>
              <w:rPr>
                <w:sz w:val="20"/>
                <w:szCs w:val="20"/>
                <w:color w:val="auto"/>
              </w:rPr>
            </w:pPr>
            <w:r>
              <w:rPr>
                <w:rFonts w:ascii="Arial" w:cs="Arial" w:eastAsia="Arial" w:hAnsi="Arial"/>
                <w:sz w:val="19"/>
                <w:szCs w:val="19"/>
                <w:color w:val="auto"/>
                <w:w w:val="94"/>
              </w:rPr>
              <w:t>as Exhibit 10.1 to UAL's Form 8-K filed May 28, 2021 and incorporated herein by reference)</w:t>
            </w:r>
          </w:p>
        </w:tc>
        <w:tc>
          <w:tcPr>
            <w:tcW w:w="260" w:type="dxa"/>
            <w:vAlign w:val="bottom"/>
            <w:tcBorders>
              <w:top w:val="single" w:sz="8" w:color="auto"/>
            </w:tcBorders>
            <w:gridSpan w:val="8"/>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3"/>
        </w:trPr>
        <w:tc>
          <w:tcPr>
            <w:tcW w:w="800" w:type="dxa"/>
            <w:vAlign w:val="bottom"/>
          </w:tcPr>
          <w:p>
            <w:pPr>
              <w:spacing w:after="0"/>
              <w:rPr>
                <w:sz w:val="20"/>
                <w:szCs w:val="20"/>
                <w:color w:val="auto"/>
              </w:rPr>
            </w:pPr>
            <w:r>
              <w:rPr>
                <w:rFonts w:ascii="Arial" w:cs="Arial" w:eastAsia="Arial" w:hAnsi="Arial"/>
                <w:sz w:val="19"/>
                <w:szCs w:val="19"/>
                <w:color w:val="auto"/>
              </w:rPr>
              <w:t>†10.15</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20" w:type="dxa"/>
            <w:vAlign w:val="bottom"/>
            <w:gridSpan w:val="26"/>
          </w:tcPr>
          <w:p>
            <w:pPr>
              <w:spacing w:after="0"/>
              <w:rPr>
                <w:sz w:val="20"/>
                <w:szCs w:val="20"/>
                <w:color w:val="auto"/>
              </w:rPr>
            </w:pPr>
            <w:r>
              <w:rPr>
                <w:rFonts w:ascii="Arial" w:cs="Arial" w:eastAsia="Arial" w:hAnsi="Arial"/>
                <w:sz w:val="19"/>
                <w:szCs w:val="19"/>
                <w:color w:val="auto"/>
              </w:rPr>
              <w:t>First Amendment to United Airlines Holdings, Inc. Amended and Restated 2021 Incentive</w:t>
            </w:r>
          </w:p>
        </w:tc>
        <w:tc>
          <w:tcPr>
            <w:tcW w:w="20" w:type="dxa"/>
            <w:vAlign w:val="bottom"/>
          </w:tcPr>
          <w:p>
            <w:pPr>
              <w:spacing w:after="0"/>
              <w:rPr>
                <w:sz w:val="24"/>
                <w:szCs w:val="24"/>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80" w:type="dxa"/>
            <w:vAlign w:val="bottom"/>
            <w:tcBorders>
              <w:top w:val="single" w:sz="8" w:color="auto"/>
            </w:tcBorders>
            <w:gridSpan w:val="13"/>
          </w:tcPr>
          <w:p>
            <w:pPr>
              <w:spacing w:after="0" w:line="174" w:lineRule="exact"/>
              <w:rPr>
                <w:sz w:val="20"/>
                <w:szCs w:val="20"/>
                <w:color w:val="auto"/>
              </w:rPr>
            </w:pPr>
            <w:r>
              <w:rPr>
                <w:rFonts w:ascii="Arial" w:cs="Arial" w:eastAsia="Arial" w:hAnsi="Arial"/>
                <w:sz w:val="19"/>
                <w:szCs w:val="19"/>
                <w:color w:val="auto"/>
              </w:rPr>
              <w:t>Compensation Plan (filed as Exhibit 10.1 to UAL's Form 8-K filed May 30, 2023 and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1"/>
              </w:rPr>
              <w:t>incorporated herein by reference)</w:t>
            </w:r>
          </w:p>
        </w:tc>
        <w:tc>
          <w:tcPr>
            <w:tcW w:w="4100" w:type="dxa"/>
            <w:vAlign w:val="bottom"/>
            <w:tcBorders>
              <w:top w:val="single" w:sz="8" w:color="auto"/>
            </w:tcBorders>
            <w:gridSpan w:val="5"/>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552"/>
        </w:trPr>
        <w:tc>
          <w:tcPr>
            <w:tcW w:w="800" w:type="dxa"/>
            <w:vAlign w:val="bottom"/>
          </w:tcPr>
          <w:p>
            <w:pPr>
              <w:spacing w:after="0"/>
              <w:rPr>
                <w:sz w:val="20"/>
                <w:szCs w:val="20"/>
                <w:color w:val="auto"/>
              </w:rPr>
            </w:pPr>
            <w:r>
              <w:rPr>
                <w:rFonts w:ascii="Arial" w:cs="Arial" w:eastAsia="Arial" w:hAnsi="Arial"/>
                <w:sz w:val="19"/>
                <w:szCs w:val="19"/>
                <w:color w:val="auto"/>
              </w:rPr>
              <w:t>†10.16</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6800" w:type="dxa"/>
            <w:vAlign w:val="bottom"/>
            <w:tcBorders>
              <w:bottom w:val="single" w:sz="8" w:color="auto"/>
            </w:tcBorders>
            <w:gridSpan w:val="7"/>
          </w:tcPr>
          <w:p>
            <w:pPr>
              <w:spacing w:after="0"/>
              <w:rPr>
                <w:sz w:val="20"/>
                <w:szCs w:val="20"/>
                <w:color w:val="auto"/>
              </w:rPr>
            </w:pPr>
            <w:r>
              <w:rPr>
                <w:rFonts w:ascii="Arial" w:cs="Arial" w:eastAsia="Arial" w:hAnsi="Arial"/>
                <w:sz w:val="19"/>
                <w:szCs w:val="19"/>
                <w:color w:val="auto"/>
                <w:w w:val="93"/>
              </w:rPr>
              <w:t>Second Amendment to the United Airlines Holdings, Inc. Amended and Restated 2021</w:t>
            </w:r>
          </w:p>
        </w:tc>
        <w:tc>
          <w:tcPr>
            <w:tcW w:w="72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20" w:type="dxa"/>
            <w:vAlign w:val="bottom"/>
            <w:gridSpan w:val="26"/>
          </w:tcPr>
          <w:p>
            <w:pPr>
              <w:spacing w:after="0" w:line="174" w:lineRule="exact"/>
              <w:rPr>
                <w:sz w:val="20"/>
                <w:szCs w:val="20"/>
                <w:color w:val="auto"/>
              </w:rPr>
            </w:pPr>
            <w:r>
              <w:rPr>
                <w:rFonts w:ascii="Arial" w:cs="Arial" w:eastAsia="Arial" w:hAnsi="Arial"/>
                <w:sz w:val="19"/>
                <w:szCs w:val="19"/>
                <w:color w:val="auto"/>
                <w:w w:val="95"/>
              </w:rPr>
              <w:t>Incentive Compensation Plan (filed as Exhibit 10.1 to UAL's Form 8-K filed May 29, 2024 and</w:t>
            </w:r>
          </w:p>
        </w:tc>
        <w:tc>
          <w:tcPr>
            <w:tcW w:w="2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1"/>
              </w:rPr>
              <w:t>incorporated herein by reference)</w:t>
            </w:r>
          </w:p>
        </w:tc>
        <w:tc>
          <w:tcPr>
            <w:tcW w:w="4880" w:type="dxa"/>
            <w:vAlign w:val="bottom"/>
            <w:tcBorders>
              <w:top w:val="single" w:sz="8" w:color="auto"/>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552"/>
        </w:trPr>
        <w:tc>
          <w:tcPr>
            <w:tcW w:w="800" w:type="dxa"/>
            <w:vAlign w:val="bottom"/>
          </w:tcPr>
          <w:p>
            <w:pPr>
              <w:spacing w:after="0"/>
              <w:rPr>
                <w:sz w:val="20"/>
                <w:szCs w:val="20"/>
                <w:color w:val="auto"/>
              </w:rPr>
            </w:pPr>
            <w:r>
              <w:rPr>
                <w:rFonts w:ascii="Arial" w:cs="Arial" w:eastAsia="Arial" w:hAnsi="Arial"/>
                <w:sz w:val="19"/>
                <w:szCs w:val="19"/>
                <w:color w:val="auto"/>
              </w:rPr>
              <w:t>†10.17</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20" w:type="dxa"/>
            <w:vAlign w:val="bottom"/>
            <w:tcBorders>
              <w:bottom w:val="single" w:sz="8" w:color="auto"/>
            </w:tcBorders>
            <w:gridSpan w:val="26"/>
          </w:tcPr>
          <w:p>
            <w:pPr>
              <w:spacing w:after="0"/>
              <w:rPr>
                <w:sz w:val="20"/>
                <w:szCs w:val="20"/>
                <w:color w:val="auto"/>
              </w:rPr>
            </w:pPr>
            <w:r>
              <w:rPr>
                <w:rFonts w:ascii="Arial" w:cs="Arial" w:eastAsia="Arial" w:hAnsi="Arial"/>
                <w:sz w:val="19"/>
                <w:szCs w:val="19"/>
                <w:color w:val="auto"/>
                <w:w w:val="93"/>
              </w:rPr>
              <w:t>Form of Restricted Stock Unit Award Notice pursuant to the 2021 Incentive Compensation Plan</w:t>
            </w:r>
          </w:p>
        </w:tc>
        <w:tc>
          <w:tcPr>
            <w:tcW w:w="20" w:type="dxa"/>
            <w:vAlign w:val="bottom"/>
          </w:tcPr>
          <w:p>
            <w:pPr>
              <w:spacing w:after="0"/>
              <w:rPr>
                <w:sz w:val="24"/>
                <w:szCs w:val="24"/>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20" w:type="dxa"/>
            <w:vAlign w:val="bottom"/>
            <w:gridSpan w:val="26"/>
          </w:tcPr>
          <w:p>
            <w:pPr>
              <w:spacing w:after="0" w:line="174" w:lineRule="exact"/>
              <w:rPr>
                <w:sz w:val="20"/>
                <w:szCs w:val="20"/>
                <w:color w:val="auto"/>
              </w:rPr>
            </w:pPr>
            <w:r>
              <w:rPr>
                <w:rFonts w:ascii="Arial" w:cs="Arial" w:eastAsia="Arial" w:hAnsi="Arial"/>
                <w:sz w:val="19"/>
                <w:szCs w:val="19"/>
                <w:color w:val="auto"/>
              </w:rPr>
              <w:t>(filed as Exhibit 10.19 to UAL's Form 10-K for the year ended December 31, 2024 and</w:t>
            </w:r>
          </w:p>
        </w:tc>
        <w:tc>
          <w:tcPr>
            <w:tcW w:w="2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1"/>
              </w:rPr>
              <w:t>incorporated herein by reference)</w:t>
            </w:r>
          </w:p>
        </w:tc>
        <w:tc>
          <w:tcPr>
            <w:tcW w:w="4220" w:type="dxa"/>
            <w:vAlign w:val="bottom"/>
            <w:tcBorders>
              <w:top w:val="single" w:sz="8" w:color="auto"/>
            </w:tcBorders>
            <w:gridSpan w:val="7"/>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552"/>
        </w:trPr>
        <w:tc>
          <w:tcPr>
            <w:tcW w:w="800" w:type="dxa"/>
            <w:vAlign w:val="bottom"/>
          </w:tcPr>
          <w:p>
            <w:pPr>
              <w:spacing w:after="0"/>
              <w:rPr>
                <w:sz w:val="20"/>
                <w:szCs w:val="20"/>
                <w:color w:val="auto"/>
              </w:rPr>
            </w:pPr>
            <w:r>
              <w:rPr>
                <w:rFonts w:ascii="Arial" w:cs="Arial" w:eastAsia="Arial" w:hAnsi="Arial"/>
                <w:sz w:val="19"/>
                <w:szCs w:val="19"/>
                <w:color w:val="auto"/>
              </w:rPr>
              <w:t>†10.18</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20" w:type="dxa"/>
            <w:vAlign w:val="bottom"/>
            <w:gridSpan w:val="26"/>
          </w:tcPr>
          <w:p>
            <w:pPr>
              <w:spacing w:after="0"/>
              <w:rPr>
                <w:sz w:val="20"/>
                <w:szCs w:val="20"/>
                <w:color w:val="auto"/>
              </w:rPr>
            </w:pPr>
            <w:r>
              <w:rPr>
                <w:rFonts w:ascii="Arial" w:cs="Arial" w:eastAsia="Arial" w:hAnsi="Arial"/>
                <w:sz w:val="19"/>
                <w:szCs w:val="19"/>
                <w:color w:val="auto"/>
                <w:w w:val="94"/>
              </w:rPr>
              <w:t>Form of Performance-Based RSU Award Notice pursuant to the 2021 Incentive Compensation</w:t>
            </w:r>
          </w:p>
        </w:tc>
        <w:tc>
          <w:tcPr>
            <w:tcW w:w="20" w:type="dxa"/>
            <w:vAlign w:val="bottom"/>
          </w:tcPr>
          <w:p>
            <w:pPr>
              <w:spacing w:after="0"/>
              <w:rPr>
                <w:sz w:val="24"/>
                <w:szCs w:val="24"/>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0" w:type="dxa"/>
            <w:vAlign w:val="bottom"/>
            <w:tcBorders>
              <w:top w:val="single" w:sz="8" w:color="auto"/>
            </w:tcBorders>
            <w:gridSpan w:val="20"/>
          </w:tcPr>
          <w:p>
            <w:pPr>
              <w:spacing w:after="0" w:line="174" w:lineRule="exact"/>
              <w:rPr>
                <w:sz w:val="20"/>
                <w:szCs w:val="20"/>
                <w:color w:val="auto"/>
              </w:rPr>
            </w:pPr>
            <w:r>
              <w:rPr>
                <w:rFonts w:ascii="Arial" w:cs="Arial" w:eastAsia="Arial" w:hAnsi="Arial"/>
                <w:sz w:val="19"/>
                <w:szCs w:val="19"/>
                <w:color w:val="auto"/>
                <w:w w:val="96"/>
              </w:rPr>
              <w:t>Plan (filed as Exhibit 10.20 to UAL's Form 10-K for the year ended December 31, 2024 and</w:t>
            </w: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1"/>
              </w:rPr>
              <w:t>incorporated herein by reference)</w:t>
            </w:r>
          </w:p>
        </w:tc>
        <w:tc>
          <w:tcPr>
            <w:tcW w:w="4620" w:type="dxa"/>
            <w:vAlign w:val="bottom"/>
            <w:tcBorders>
              <w:top w:val="single" w:sz="8" w:color="auto"/>
            </w:tcBorders>
            <w:gridSpan w:val="15"/>
          </w:tcPr>
          <w:p>
            <w:pPr>
              <w:spacing w:after="0"/>
              <w:rPr>
                <w:sz w:val="15"/>
                <w:szCs w:val="15"/>
                <w:color w:val="auto"/>
              </w:rPr>
            </w:pPr>
          </w:p>
        </w:tc>
        <w:tc>
          <w:tcPr>
            <w:tcW w:w="80" w:type="dxa"/>
            <w:vAlign w:val="bottom"/>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563"/>
        </w:trPr>
        <w:tc>
          <w:tcPr>
            <w:tcW w:w="800" w:type="dxa"/>
            <w:vAlign w:val="bottom"/>
          </w:tcPr>
          <w:p>
            <w:pPr>
              <w:spacing w:after="0"/>
              <w:rPr>
                <w:sz w:val="20"/>
                <w:szCs w:val="20"/>
                <w:color w:val="auto"/>
              </w:rPr>
            </w:pPr>
            <w:r>
              <w:rPr>
                <w:rFonts w:ascii="Arial" w:cs="Arial" w:eastAsia="Arial" w:hAnsi="Arial"/>
                <w:sz w:val="19"/>
                <w:szCs w:val="19"/>
                <w:color w:val="auto"/>
              </w:rPr>
              <w:t>†10.19</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20" w:type="dxa"/>
            <w:vAlign w:val="bottom"/>
            <w:gridSpan w:val="26"/>
          </w:tcPr>
          <w:p>
            <w:pPr>
              <w:spacing w:after="0"/>
              <w:rPr>
                <w:sz w:val="20"/>
                <w:szCs w:val="20"/>
                <w:color w:val="auto"/>
              </w:rPr>
            </w:pPr>
            <w:r>
              <w:rPr>
                <w:rFonts w:ascii="Arial" w:cs="Arial" w:eastAsia="Arial" w:hAnsi="Arial"/>
                <w:sz w:val="19"/>
                <w:szCs w:val="19"/>
                <w:color w:val="auto"/>
                <w:w w:val="95"/>
              </w:rPr>
              <w:t>Form of Performance-Based RSU Award Notice pursuant to the United Airlines Holdings, Inc.</w:t>
            </w:r>
          </w:p>
        </w:tc>
        <w:tc>
          <w:tcPr>
            <w:tcW w:w="20" w:type="dxa"/>
            <w:vAlign w:val="bottom"/>
          </w:tcPr>
          <w:p>
            <w:pPr>
              <w:spacing w:after="0"/>
              <w:rPr>
                <w:sz w:val="24"/>
                <w:szCs w:val="24"/>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40" w:type="dxa"/>
            <w:vAlign w:val="bottom"/>
            <w:tcBorders>
              <w:top w:val="single" w:sz="8" w:color="auto"/>
            </w:tcBorders>
            <w:gridSpan w:val="21"/>
          </w:tcPr>
          <w:p>
            <w:pPr>
              <w:spacing w:after="0" w:line="174" w:lineRule="exact"/>
              <w:rPr>
                <w:sz w:val="20"/>
                <w:szCs w:val="20"/>
                <w:color w:val="auto"/>
              </w:rPr>
            </w:pPr>
            <w:r>
              <w:rPr>
                <w:rFonts w:ascii="Arial" w:cs="Arial" w:eastAsia="Arial" w:hAnsi="Arial"/>
                <w:sz w:val="19"/>
                <w:szCs w:val="19"/>
                <w:color w:val="auto"/>
                <w:w w:val="96"/>
              </w:rPr>
              <w:t>2021 Incentive Compensation Plan (filed as Exhibit 10.2 to UAL's Form 10-Q for the quarter</w:t>
            </w:r>
          </w:p>
        </w:tc>
        <w:tc>
          <w:tcPr>
            <w:tcW w:w="60" w:type="dxa"/>
            <w:vAlign w:val="bottom"/>
            <w:gridSpan w:val="3"/>
          </w:tcPr>
          <w:p>
            <w:pPr>
              <w:spacing w:after="0"/>
              <w:rPr>
                <w:sz w:val="15"/>
                <w:szCs w:val="15"/>
                <w:color w:val="auto"/>
              </w:rPr>
            </w:pP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300" w:type="dxa"/>
            <w:vAlign w:val="bottom"/>
            <w:tcBorders>
              <w:top w:val="single" w:sz="8" w:color="auto"/>
            </w:tcBorders>
            <w:gridSpan w:val="18"/>
          </w:tcPr>
          <w:p>
            <w:pPr>
              <w:spacing w:after="0" w:line="174" w:lineRule="exact"/>
              <w:rPr>
                <w:sz w:val="20"/>
                <w:szCs w:val="20"/>
                <w:color w:val="auto"/>
              </w:rPr>
            </w:pPr>
            <w:r>
              <w:rPr>
                <w:rFonts w:ascii="Arial" w:cs="Arial" w:eastAsia="Arial" w:hAnsi="Arial"/>
                <w:sz w:val="19"/>
                <w:szCs w:val="19"/>
                <w:color w:val="auto"/>
              </w:rPr>
              <w:t>ended March 31, 2022 and incorporated herein by reference)</w:t>
            </w:r>
          </w:p>
        </w:tc>
        <w:tc>
          <w:tcPr>
            <w:tcW w:w="200" w:type="dxa"/>
            <w:vAlign w:val="bottom"/>
            <w:gridSpan w:val="6"/>
          </w:tcPr>
          <w:p>
            <w:pPr>
              <w:spacing w:after="0"/>
              <w:rPr>
                <w:sz w:val="15"/>
                <w:szCs w:val="15"/>
                <w:color w:val="auto"/>
              </w:rPr>
            </w:pP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72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2"/>
        </w:trPr>
        <w:tc>
          <w:tcPr>
            <w:tcW w:w="800" w:type="dxa"/>
            <w:vAlign w:val="bottom"/>
          </w:tcPr>
          <w:p>
            <w:pPr>
              <w:spacing w:after="0"/>
              <w:rPr>
                <w:sz w:val="20"/>
                <w:szCs w:val="20"/>
                <w:color w:val="auto"/>
              </w:rPr>
            </w:pPr>
            <w:r>
              <w:rPr>
                <w:rFonts w:ascii="Arial" w:cs="Arial" w:eastAsia="Arial" w:hAnsi="Arial"/>
                <w:sz w:val="19"/>
                <w:szCs w:val="19"/>
                <w:color w:val="auto"/>
              </w:rPr>
              <w:t>^10.20</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20" w:type="dxa"/>
            <w:vAlign w:val="bottom"/>
            <w:gridSpan w:val="26"/>
          </w:tcPr>
          <w:p>
            <w:pPr>
              <w:spacing w:after="0"/>
              <w:rPr>
                <w:sz w:val="20"/>
                <w:szCs w:val="20"/>
                <w:color w:val="auto"/>
              </w:rPr>
            </w:pPr>
            <w:r>
              <w:rPr>
                <w:rFonts w:ascii="Arial" w:cs="Arial" w:eastAsia="Arial" w:hAnsi="Arial"/>
                <w:sz w:val="19"/>
                <w:szCs w:val="19"/>
                <w:color w:val="auto"/>
              </w:rPr>
              <w:t>Amended and Restated A350-900 Purchase Agreement, dated as of September 1, 2017,</w:t>
            </w:r>
          </w:p>
        </w:tc>
        <w:tc>
          <w:tcPr>
            <w:tcW w:w="20" w:type="dxa"/>
            <w:vAlign w:val="bottom"/>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6840" w:type="dxa"/>
            <w:vAlign w:val="bottom"/>
            <w:tcBorders>
              <w:top w:val="single" w:sz="8" w:color="auto"/>
            </w:tcBorders>
            <w:gridSpan w:val="9"/>
          </w:tcPr>
          <w:p>
            <w:pPr>
              <w:spacing w:after="0" w:line="184" w:lineRule="exact"/>
              <w:rPr>
                <w:sz w:val="20"/>
                <w:szCs w:val="20"/>
                <w:color w:val="auto"/>
              </w:rPr>
            </w:pPr>
            <w:r>
              <w:rPr>
                <w:rFonts w:ascii="Arial" w:cs="Arial" w:eastAsia="Arial" w:hAnsi="Arial"/>
                <w:sz w:val="19"/>
                <w:szCs w:val="19"/>
                <w:color w:val="auto"/>
                <w:w w:val="93"/>
              </w:rPr>
              <w:t>including letter agreements related thereto, between Airbus S.A.S. and United Airlines,</w:t>
            </w:r>
          </w:p>
        </w:tc>
        <w:tc>
          <w:tcPr>
            <w:tcW w:w="680" w:type="dxa"/>
            <w:vAlign w:val="bottom"/>
            <w:gridSpan w:val="17"/>
          </w:tcPr>
          <w:p>
            <w:pPr>
              <w:spacing w:after="0" w:line="184" w:lineRule="exact"/>
              <w:rPr>
                <w:sz w:val="20"/>
                <w:szCs w:val="20"/>
                <w:color w:val="auto"/>
              </w:rPr>
            </w:pPr>
            <w:r>
              <w:rPr>
                <w:rFonts w:ascii="Arial" w:cs="Arial" w:eastAsia="Arial" w:hAnsi="Arial"/>
                <w:sz w:val="19"/>
                <w:szCs w:val="19"/>
                <w:color w:val="auto"/>
              </w:rPr>
              <w:t>Inc.</w:t>
            </w: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60" w:type="dxa"/>
            <w:vAlign w:val="bottom"/>
            <w:tcBorders>
              <w:top w:val="single" w:sz="8" w:color="auto"/>
            </w:tcBorders>
            <w:gridSpan w:val="15"/>
          </w:tcPr>
          <w:p>
            <w:pPr>
              <w:spacing w:after="0" w:line="174" w:lineRule="exact"/>
              <w:rPr>
                <w:sz w:val="20"/>
                <w:szCs w:val="20"/>
                <w:color w:val="auto"/>
              </w:rPr>
            </w:pPr>
            <w:r>
              <w:rPr>
                <w:rFonts w:ascii="Arial" w:cs="Arial" w:eastAsia="Arial" w:hAnsi="Arial"/>
                <w:sz w:val="19"/>
                <w:szCs w:val="19"/>
                <w:color w:val="auto"/>
                <w:w w:val="96"/>
              </w:rPr>
              <w:t>(filed as Exhibit 10.1 to UAL's Form 10-Q for the quarter ended September 30, 2023 and</w:t>
            </w:r>
          </w:p>
        </w:tc>
        <w:tc>
          <w:tcPr>
            <w:tcW w:w="340" w:type="dxa"/>
            <w:vAlign w:val="bottom"/>
            <w:gridSpan w:val="9"/>
          </w:tcPr>
          <w:p>
            <w:pPr>
              <w:spacing w:after="0"/>
              <w:rPr>
                <w:sz w:val="15"/>
                <w:szCs w:val="15"/>
                <w:color w:val="auto"/>
              </w:rPr>
            </w:pP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1"/>
              </w:rPr>
              <w:t>incorporated herein by reference)</w:t>
            </w:r>
          </w:p>
        </w:tc>
        <w:tc>
          <w:tcPr>
            <w:tcW w:w="4380" w:type="dxa"/>
            <w:vAlign w:val="bottom"/>
            <w:tcBorders>
              <w:top w:val="single" w:sz="8" w:color="auto"/>
            </w:tcBorders>
            <w:gridSpan w:val="9"/>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380" w:type="dxa"/>
            <w:vAlign w:val="bottom"/>
            <w:gridSpan w:val="10"/>
          </w:tcPr>
          <w:p>
            <w:pPr>
              <w:spacing w:after="0"/>
              <w:rPr>
                <w:sz w:val="15"/>
                <w:szCs w:val="15"/>
                <w:color w:val="auto"/>
              </w:rPr>
            </w:pP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552"/>
        </w:trPr>
        <w:tc>
          <w:tcPr>
            <w:tcW w:w="800" w:type="dxa"/>
            <w:vAlign w:val="bottom"/>
          </w:tcPr>
          <w:p>
            <w:pPr>
              <w:spacing w:after="0"/>
              <w:rPr>
                <w:sz w:val="20"/>
                <w:szCs w:val="20"/>
                <w:color w:val="auto"/>
              </w:rPr>
            </w:pPr>
            <w:r>
              <w:rPr>
                <w:rFonts w:ascii="Arial" w:cs="Arial" w:eastAsia="Arial" w:hAnsi="Arial"/>
                <w:sz w:val="19"/>
                <w:szCs w:val="19"/>
                <w:color w:val="auto"/>
              </w:rPr>
              <w:t>^10.21</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20" w:type="dxa"/>
            <w:vAlign w:val="bottom"/>
            <w:tcBorders>
              <w:bottom w:val="single" w:sz="8" w:color="auto"/>
            </w:tcBorders>
            <w:gridSpan w:val="26"/>
          </w:tcPr>
          <w:p>
            <w:pPr>
              <w:spacing w:after="0"/>
              <w:rPr>
                <w:sz w:val="20"/>
                <w:szCs w:val="20"/>
                <w:color w:val="auto"/>
              </w:rPr>
            </w:pPr>
            <w:r>
              <w:rPr>
                <w:rFonts w:ascii="Arial" w:cs="Arial" w:eastAsia="Arial" w:hAnsi="Arial"/>
                <w:sz w:val="19"/>
                <w:szCs w:val="19"/>
                <w:color w:val="auto"/>
                <w:w w:val="92"/>
              </w:rPr>
              <w:t>Amendment No. 1, dated as of July 18, 2019, to the Amended and Restated A350-900 Purchase</w:t>
            </w:r>
          </w:p>
        </w:tc>
        <w:tc>
          <w:tcPr>
            <w:tcW w:w="20" w:type="dxa"/>
            <w:vAlign w:val="bottom"/>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20" w:type="dxa"/>
            <w:vAlign w:val="bottom"/>
            <w:gridSpan w:val="26"/>
          </w:tcPr>
          <w:p>
            <w:pPr>
              <w:spacing w:after="0" w:line="184" w:lineRule="exact"/>
              <w:rPr>
                <w:sz w:val="20"/>
                <w:szCs w:val="20"/>
                <w:color w:val="auto"/>
              </w:rPr>
            </w:pPr>
            <w:r>
              <w:rPr>
                <w:rFonts w:ascii="Arial" w:cs="Arial" w:eastAsia="Arial" w:hAnsi="Arial"/>
                <w:sz w:val="19"/>
                <w:szCs w:val="19"/>
                <w:color w:val="auto"/>
                <w:w w:val="92"/>
              </w:rPr>
              <w:t>Agreement, dated as of September 1, 2017, including letter agreements related thereto, between</w:t>
            </w: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00" w:type="dxa"/>
            <w:vAlign w:val="bottom"/>
            <w:tcBorders>
              <w:top w:val="single" w:sz="8" w:color="auto"/>
            </w:tcBorders>
            <w:gridSpan w:val="24"/>
          </w:tcPr>
          <w:p>
            <w:pPr>
              <w:spacing w:after="0" w:line="174" w:lineRule="exact"/>
              <w:rPr>
                <w:sz w:val="20"/>
                <w:szCs w:val="20"/>
                <w:color w:val="auto"/>
              </w:rPr>
            </w:pPr>
            <w:r>
              <w:rPr>
                <w:rFonts w:ascii="Arial" w:cs="Arial" w:eastAsia="Arial" w:hAnsi="Arial"/>
                <w:sz w:val="19"/>
                <w:szCs w:val="19"/>
                <w:color w:val="auto"/>
              </w:rPr>
              <w:t>Airbus S.A.S. and United Airlines, Inc. (filed as Exhibit 10.1 to UAL's Form 10-Q for the</w:t>
            </w: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20" w:type="dxa"/>
            <w:vAlign w:val="bottom"/>
            <w:tcBorders>
              <w:top w:val="single" w:sz="8" w:color="auto"/>
            </w:tcBorders>
            <w:gridSpan w:val="11"/>
          </w:tcPr>
          <w:p>
            <w:pPr>
              <w:spacing w:after="0" w:line="174" w:lineRule="exact"/>
              <w:rPr>
                <w:sz w:val="20"/>
                <w:szCs w:val="20"/>
                <w:color w:val="auto"/>
              </w:rPr>
            </w:pPr>
            <w:r>
              <w:rPr>
                <w:rFonts w:ascii="Arial" w:cs="Arial" w:eastAsia="Arial" w:hAnsi="Arial"/>
                <w:sz w:val="19"/>
                <w:szCs w:val="19"/>
                <w:color w:val="auto"/>
              </w:rPr>
              <w:t>quarter ended September 30, 2019 and incorporated herein by reference)</w:t>
            </w:r>
          </w:p>
        </w:tc>
        <w:tc>
          <w:tcPr>
            <w:tcW w:w="100" w:type="dxa"/>
            <w:vAlign w:val="bottom"/>
            <w:gridSpan w:val="3"/>
          </w:tcPr>
          <w:p>
            <w:pPr>
              <w:spacing w:after="0"/>
              <w:rPr>
                <w:sz w:val="15"/>
                <w:szCs w:val="15"/>
                <w:color w:val="auto"/>
              </w:rPr>
            </w:pPr>
          </w:p>
        </w:tc>
        <w:tc>
          <w:tcPr>
            <w:tcW w:w="400" w:type="dxa"/>
            <w:vAlign w:val="bottom"/>
            <w:gridSpan w:val="1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2"/>
        </w:trPr>
        <w:tc>
          <w:tcPr>
            <w:tcW w:w="800" w:type="dxa"/>
            <w:vAlign w:val="bottom"/>
          </w:tcPr>
          <w:p>
            <w:pPr>
              <w:spacing w:after="0"/>
              <w:rPr>
                <w:sz w:val="20"/>
                <w:szCs w:val="20"/>
                <w:color w:val="auto"/>
              </w:rPr>
            </w:pPr>
            <w:r>
              <w:rPr>
                <w:rFonts w:ascii="Arial" w:cs="Arial" w:eastAsia="Arial" w:hAnsi="Arial"/>
                <w:sz w:val="19"/>
                <w:szCs w:val="19"/>
                <w:color w:val="auto"/>
              </w:rPr>
              <w:t>^10.22</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120" w:type="dxa"/>
            <w:vAlign w:val="bottom"/>
            <w:tcBorders>
              <w:bottom w:val="single" w:sz="8" w:color="auto"/>
            </w:tcBorders>
            <w:gridSpan w:val="14"/>
          </w:tcPr>
          <w:p>
            <w:pPr>
              <w:spacing w:after="0"/>
              <w:rPr>
                <w:sz w:val="20"/>
                <w:szCs w:val="20"/>
                <w:color w:val="auto"/>
              </w:rPr>
            </w:pPr>
            <w:r>
              <w:rPr>
                <w:rFonts w:ascii="Arial" w:cs="Arial" w:eastAsia="Arial" w:hAnsi="Arial"/>
                <w:sz w:val="19"/>
                <w:szCs w:val="19"/>
                <w:color w:val="auto"/>
                <w:w w:val="92"/>
              </w:rPr>
              <w:t>Amendment No. 2, dated as of December 3, 2019, to the Amended and Restated A350-900</w:t>
            </w:r>
          </w:p>
        </w:tc>
        <w:tc>
          <w:tcPr>
            <w:tcW w:w="40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20" w:type="dxa"/>
            <w:vAlign w:val="bottom"/>
            <w:tcBorders>
              <w:bottom w:val="single" w:sz="8" w:color="auto"/>
            </w:tcBorders>
            <w:gridSpan w:val="26"/>
          </w:tcPr>
          <w:p>
            <w:pPr>
              <w:spacing w:after="0" w:line="184" w:lineRule="exact"/>
              <w:rPr>
                <w:sz w:val="20"/>
                <w:szCs w:val="20"/>
                <w:color w:val="auto"/>
              </w:rPr>
            </w:pPr>
            <w:r>
              <w:rPr>
                <w:rFonts w:ascii="Arial" w:cs="Arial" w:eastAsia="Arial" w:hAnsi="Arial"/>
                <w:sz w:val="19"/>
                <w:szCs w:val="19"/>
                <w:color w:val="auto"/>
                <w:w w:val="91"/>
              </w:rPr>
              <w:t>Purchase Agreement, dated as of September 1, 2017, including letter agreements related thereto,</w:t>
            </w: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20" w:type="dxa"/>
            <w:vAlign w:val="bottom"/>
            <w:tcBorders>
              <w:bottom w:val="single" w:sz="8" w:color="auto"/>
            </w:tcBorders>
            <w:gridSpan w:val="26"/>
          </w:tcPr>
          <w:p>
            <w:pPr>
              <w:spacing w:after="0" w:line="174" w:lineRule="exact"/>
              <w:rPr>
                <w:sz w:val="20"/>
                <w:szCs w:val="20"/>
                <w:color w:val="auto"/>
              </w:rPr>
            </w:pPr>
            <w:r>
              <w:rPr>
                <w:rFonts w:ascii="Arial" w:cs="Arial" w:eastAsia="Arial" w:hAnsi="Arial"/>
                <w:sz w:val="19"/>
                <w:szCs w:val="19"/>
                <w:color w:val="auto"/>
                <w:w w:val="95"/>
              </w:rPr>
              <w:t>between Airbus S.A.S. and United Airlines, Inc. (filed as Exhibit 10.42 to UAL's Form 10-K for</w:t>
            </w:r>
          </w:p>
        </w:tc>
        <w:tc>
          <w:tcPr>
            <w:tcW w:w="20" w:type="dxa"/>
            <w:vAlign w:val="bottom"/>
            <w:tcBorders>
              <w:bottom w:val="single" w:sz="8" w:color="auto"/>
            </w:tcBorders>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80" w:type="dxa"/>
            <w:vAlign w:val="bottom"/>
            <w:tcBorders>
              <w:bottom w:val="single" w:sz="8" w:color="auto"/>
            </w:tcBorders>
            <w:gridSpan w:val="4"/>
          </w:tcPr>
          <w:p>
            <w:pPr>
              <w:spacing w:after="0" w:line="174" w:lineRule="exact"/>
              <w:rPr>
                <w:sz w:val="20"/>
                <w:szCs w:val="20"/>
                <w:color w:val="auto"/>
              </w:rPr>
            </w:pPr>
            <w:r>
              <w:rPr>
                <w:rFonts w:ascii="Arial" w:cs="Arial" w:eastAsia="Arial" w:hAnsi="Arial"/>
                <w:sz w:val="19"/>
                <w:szCs w:val="19"/>
                <w:color w:val="auto"/>
                <w:w w:val="90"/>
              </w:rPr>
              <w:t>the year ended December 31, 2019 and incorporated herein by reference)</w:t>
            </w:r>
          </w:p>
        </w:tc>
        <w:tc>
          <w:tcPr>
            <w:tcW w:w="1840" w:type="dxa"/>
            <w:vAlign w:val="bottom"/>
            <w:gridSpan w:val="22"/>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ectPr>
          <w:pgSz w:w="11880" w:h="15480" w:orient="portrait"/>
          <w:cols w:equalWidth="0" w:num="1">
            <w:col w:w="9620"/>
          </w:cols>
          <w:pgMar w:left="1020" w:top="630" w:right="1240" w:bottom="45" w:gutter="0" w:footer="0" w:header="0"/>
        </w:sectPr>
      </w:pPr>
    </w:p>
    <w:p>
      <w:pPr>
        <w:spacing w:after="0" w:line="161" w:lineRule="exact"/>
        <w:rPr>
          <w:sz w:val="20"/>
          <w:szCs w:val="20"/>
          <w:color w:val="auto"/>
        </w:rPr>
      </w:pPr>
    </w:p>
    <w:p>
      <w:pPr>
        <w:ind w:left="1080" w:hanging="1079"/>
        <w:spacing w:after="0" w:line="309" w:lineRule="auto"/>
        <w:tabs>
          <w:tab w:leader="none" w:pos="1060" w:val="left"/>
        </w:tabs>
        <w:rPr>
          <w:sz w:val="20"/>
          <w:szCs w:val="20"/>
          <w:color w:val="auto"/>
        </w:rPr>
      </w:pPr>
      <w:r>
        <w:rPr>
          <w:rFonts w:ascii="Arial" w:cs="Arial" w:eastAsia="Arial" w:hAnsi="Arial"/>
          <w:sz w:val="17"/>
          <w:szCs w:val="17"/>
          <w:color w:val="auto"/>
        </w:rPr>
        <w:t>^10.23</w:t>
      </w:r>
      <w:r>
        <w:rPr>
          <w:sz w:val="20"/>
          <w:szCs w:val="20"/>
          <w:color w:val="auto"/>
        </w:rPr>
        <w:tab/>
      </w:r>
      <w:r>
        <w:rPr>
          <w:rFonts w:ascii="Arial" w:cs="Arial" w:eastAsia="Arial" w:hAnsi="Arial"/>
          <w:sz w:val="17"/>
          <w:szCs w:val="17"/>
          <w:color w:val="auto"/>
        </w:rPr>
        <w:t>UAL United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80" w:hanging="1079"/>
        <w:spacing w:after="0" w:line="309" w:lineRule="auto"/>
        <w:tabs>
          <w:tab w:leader="none" w:pos="1060" w:val="left"/>
        </w:tabs>
        <w:rPr>
          <w:sz w:val="20"/>
          <w:szCs w:val="20"/>
          <w:color w:val="auto"/>
        </w:rPr>
      </w:pPr>
      <w:r>
        <w:rPr>
          <w:rFonts w:ascii="Arial" w:cs="Arial" w:eastAsia="Arial" w:hAnsi="Arial"/>
          <w:sz w:val="17"/>
          <w:szCs w:val="17"/>
          <w:color w:val="auto"/>
        </w:rPr>
        <w:t>^10.24</w:t>
      </w:r>
      <w:r>
        <w:rPr>
          <w:sz w:val="20"/>
          <w:szCs w:val="20"/>
          <w:color w:val="auto"/>
        </w:rPr>
        <w:tab/>
      </w:r>
      <w:r>
        <w:rPr>
          <w:rFonts w:ascii="Arial" w:cs="Arial" w:eastAsia="Arial" w:hAnsi="Arial"/>
          <w:sz w:val="17"/>
          <w:szCs w:val="17"/>
          <w:color w:val="auto"/>
        </w:rPr>
        <w:t>UAL United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u w:val="single" w:color="auto"/>
          <w:color w:val="auto"/>
        </w:rPr>
        <w:t>Amendment No. 3, dated as of December 8, 2022, to the Amended and Restated A350-900 Purchase Agreement, dated as of September 1, 2017, including letter agreements related thereto, between Airbus S.A.S. and United Airlines, Inc. (filed as Exhibit 10.35 to UAL's Form 10-K for the year ended December 31, 2022 and incorporated herein by reference)</w:t>
      </w:r>
    </w:p>
    <w:p>
      <w:pPr>
        <w:spacing w:after="0" w:line="32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u w:val="single" w:color="auto"/>
          <w:color w:val="auto"/>
        </w:rPr>
        <w:t>Amendment No. 4, effective as of September 29, 2023, to the Amended and Restated A350-900 Purchase Agreement, dated as of September 1, 2017, including letter agreements related thereto, between Airbus S.A.S. and United Airlines, Inc., (filed as Exhibit 10.36 to UAL's Form 10-Q for the quarter ended September 30, 2023 and incorporated herein by reference)</w:t>
      </w:r>
    </w:p>
    <w:p>
      <w:pPr>
        <w:spacing w:after="0" w:line="200" w:lineRule="exact"/>
        <w:rPr>
          <w:sz w:val="20"/>
          <w:szCs w:val="20"/>
          <w:color w:val="auto"/>
        </w:rPr>
      </w:pPr>
    </w:p>
    <w:p>
      <w:pPr>
        <w:sectPr>
          <w:pgSz w:w="11880" w:h="15480" w:orient="portrait"/>
          <w:cols w:equalWidth="0" w:num="2">
            <w:col w:w="1600" w:space="480"/>
            <w:col w:w="7540"/>
          </w:cols>
          <w:pgMar w:left="1020" w:top="630" w:right="1240" w:bottom="4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9620"/>
          </w:cols>
          <w:pgMar w:left="1020" w:top="630" w:right="1240" w:bottom="45" w:gutter="0" w:footer="0" w:header="0"/>
          <w:type w:val="continuous"/>
        </w:sectPr>
      </w:pPr>
    </w:p>
    <w:bookmarkStart w:id="103" w:name="page104"/>
    <w:bookmarkEnd w:id="103"/>
    <w:p>
      <w:pPr>
        <w:ind w:left="1080" w:hanging="1079"/>
        <w:spacing w:after="0" w:line="309" w:lineRule="auto"/>
        <w:tabs>
          <w:tab w:leader="none" w:pos="1060" w:val="left"/>
        </w:tabs>
        <w:rPr>
          <w:sz w:val="20"/>
          <w:szCs w:val="20"/>
          <w:color w:val="auto"/>
        </w:rPr>
      </w:pPr>
      <w:r>
        <w:rPr>
          <w:rFonts w:ascii="Arial" w:cs="Arial" w:eastAsia="Arial" w:hAnsi="Arial"/>
          <w:sz w:val="17"/>
          <w:szCs w:val="17"/>
          <w:color w:val="auto"/>
        </w:rPr>
        <w:t>^10.25</w:t>
      </w:r>
      <w:r>
        <w:rPr>
          <w:sz w:val="20"/>
          <w:szCs w:val="20"/>
          <w:color w:val="auto"/>
        </w:rPr>
        <w:tab/>
      </w:r>
      <w:r>
        <w:rPr>
          <w:rFonts w:ascii="Arial" w:cs="Arial" w:eastAsia="Arial" w:hAnsi="Arial"/>
          <w:sz w:val="17"/>
          <w:szCs w:val="17"/>
          <w:color w:val="auto"/>
        </w:rPr>
        <w:t>UAL United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80" w:hanging="1079"/>
        <w:spacing w:after="0" w:line="309" w:lineRule="auto"/>
        <w:tabs>
          <w:tab w:leader="none" w:pos="1060" w:val="left"/>
        </w:tabs>
        <w:rPr>
          <w:sz w:val="20"/>
          <w:szCs w:val="20"/>
          <w:color w:val="auto"/>
        </w:rPr>
      </w:pPr>
      <w:r>
        <w:rPr>
          <w:rFonts w:ascii="Arial" w:cs="Arial" w:eastAsia="Arial" w:hAnsi="Arial"/>
          <w:sz w:val="17"/>
          <w:szCs w:val="17"/>
          <w:color w:val="auto"/>
        </w:rPr>
        <w:t>^10.26</w:t>
      </w:r>
      <w:r>
        <w:rPr>
          <w:sz w:val="20"/>
          <w:szCs w:val="20"/>
          <w:color w:val="auto"/>
        </w:rPr>
        <w:tab/>
      </w:r>
      <w:r>
        <w:rPr>
          <w:rFonts w:ascii="Arial" w:cs="Arial" w:eastAsia="Arial" w:hAnsi="Arial"/>
          <w:sz w:val="17"/>
          <w:szCs w:val="17"/>
          <w:color w:val="auto"/>
        </w:rPr>
        <w:t>UAL United</w:t>
      </w:r>
    </w:p>
    <w:p>
      <w:pPr>
        <w:spacing w:after="0" w:line="20" w:lineRule="exact"/>
        <w:rPr>
          <w:sz w:val="20"/>
          <w:szCs w:val="20"/>
          <w:color w:val="auto"/>
        </w:rPr>
      </w:pPr>
      <w:r>
        <w:rPr>
          <w:sz w:val="20"/>
          <w:szCs w:val="20"/>
          <w:color w:val="auto"/>
        </w:rPr>
        <w:br w:type="column"/>
      </w:r>
    </w:p>
    <w:p>
      <w:pPr>
        <w:ind w:right="60"/>
        <w:spacing w:after="0" w:line="242" w:lineRule="auto"/>
        <w:rPr>
          <w:sz w:val="20"/>
          <w:szCs w:val="20"/>
          <w:color w:val="auto"/>
        </w:rPr>
      </w:pPr>
      <w:r>
        <w:rPr>
          <w:rFonts w:ascii="Arial" w:cs="Arial" w:eastAsia="Arial" w:hAnsi="Arial"/>
          <w:sz w:val="18"/>
          <w:szCs w:val="18"/>
          <w:u w:val="single" w:color="auto"/>
          <w:color w:val="auto"/>
        </w:rPr>
        <w:t>Amendment No. 5, dated as of December 26, 2024, to the Amended and Restated A350-900 Purchase Agreement, dated as of September 1, 2017, including letter agreements related thereto, between Airbus S.A.S. and United Airlines, Inc. (filed as Exhibit 10.30 to UAL's Form 10-K for the year ended December 31, 2024 and incorporated herein by reference)</w:t>
      </w:r>
    </w:p>
    <w:p>
      <w:pPr>
        <w:spacing w:after="0" w:line="32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u w:val="single" w:color="auto"/>
          <w:color w:val="auto"/>
        </w:rPr>
        <w:t>Amendment No. 6, dated as of March 31, 2025, to the Amended and Restated A350-900 Purchase Agreement, dated as of September 1, 2017, including letter agreements related thereto, between Airbus S.A.S and United Airlines, Inc. (filed as Exhibit 10.2 to UAL's Form 10-Q for the quarter ended March 31, 2025 and incorporated herein by reference)</w:t>
      </w:r>
    </w:p>
    <w:p>
      <w:pPr>
        <w:spacing w:after="0" w:line="200" w:lineRule="exact"/>
        <w:rPr>
          <w:sz w:val="20"/>
          <w:szCs w:val="20"/>
          <w:color w:val="auto"/>
        </w:rPr>
      </w:pPr>
    </w:p>
    <w:p>
      <w:pPr>
        <w:sectPr>
          <w:pgSz w:w="11880" w:h="15480" w:orient="portrait"/>
          <w:cols w:equalWidth="0" w:num="2">
            <w:col w:w="1600" w:space="480"/>
            <w:col w:w="7540"/>
          </w:cols>
          <w:pgMar w:left="1020" w:top="637" w:right="1240" w:bottom="45" w:gutter="0" w:footer="0" w:header="0"/>
        </w:sectPr>
      </w:pPr>
    </w:p>
    <w:p>
      <w:pPr>
        <w:spacing w:after="0" w:line="109" w:lineRule="exact"/>
        <w:rPr>
          <w:sz w:val="20"/>
          <w:szCs w:val="20"/>
          <w:color w:val="auto"/>
        </w:rPr>
      </w:pPr>
    </w:p>
    <w:p>
      <w:pPr>
        <w:ind w:left="1080" w:hanging="1079"/>
        <w:spacing w:after="0" w:line="309" w:lineRule="auto"/>
        <w:tabs>
          <w:tab w:leader="none" w:pos="1060" w:val="left"/>
        </w:tabs>
        <w:rPr>
          <w:sz w:val="20"/>
          <w:szCs w:val="20"/>
          <w:color w:val="auto"/>
        </w:rPr>
      </w:pPr>
      <w:r>
        <w:rPr>
          <w:rFonts w:ascii="Arial" w:cs="Arial" w:eastAsia="Arial" w:hAnsi="Arial"/>
          <w:sz w:val="17"/>
          <w:szCs w:val="17"/>
          <w:color w:val="auto"/>
        </w:rPr>
        <w:t>^10.27</w:t>
      </w:r>
      <w:r>
        <w:rPr>
          <w:sz w:val="20"/>
          <w:szCs w:val="20"/>
          <w:color w:val="auto"/>
        </w:rPr>
        <w:tab/>
      </w:r>
      <w:r>
        <w:rPr>
          <w:rFonts w:ascii="Arial" w:cs="Arial" w:eastAsia="Arial" w:hAnsi="Arial"/>
          <w:sz w:val="17"/>
          <w:szCs w:val="17"/>
          <w:color w:val="auto"/>
        </w:rPr>
        <w:t>UAL United</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u w:val="single" w:color="auto"/>
          <w:color w:val="auto"/>
        </w:rPr>
        <w:t>Amendment No. 7, dated as of June 30, 2025, to the Amended and Restated A350-900 Purchase Agreement, dated as of September 1, 2017, including letter agreements related thereto, between Airbus S.A.S. and United Airlines, Inc. (filed as Exhibit 10.2 to UAL's Form 10-Q for the quarter ended June 30, 2025 and incorporated herein by reference)</w:t>
      </w:r>
    </w:p>
    <w:p>
      <w:pPr>
        <w:spacing w:after="0" w:line="200" w:lineRule="exact"/>
        <w:rPr>
          <w:sz w:val="20"/>
          <w:szCs w:val="20"/>
          <w:color w:val="auto"/>
        </w:rPr>
      </w:pPr>
    </w:p>
    <w:p>
      <w:pPr>
        <w:sectPr>
          <w:pgSz w:w="11880" w:h="15480" w:orient="portrait"/>
          <w:cols w:equalWidth="0" w:num="2">
            <w:col w:w="1600" w:space="480"/>
            <w:col w:w="7540"/>
          </w:cols>
          <w:pgMar w:left="1020" w:top="637" w:right="1240" w:bottom="45" w:gutter="0" w:footer="0" w:header="0"/>
          <w:type w:val="continuous"/>
        </w:sectPr>
      </w:pPr>
    </w:p>
    <w:p>
      <w:pPr>
        <w:spacing w:after="0" w:line="109" w:lineRule="exact"/>
        <w:rPr>
          <w:sz w:val="20"/>
          <w:szCs w:val="20"/>
          <w:color w:val="auto"/>
        </w:rPr>
      </w:pPr>
    </w:p>
    <w:p>
      <w:pPr>
        <w:ind w:left="1080" w:hanging="1079"/>
        <w:spacing w:after="0" w:line="309" w:lineRule="auto"/>
        <w:tabs>
          <w:tab w:leader="none" w:pos="1060" w:val="left"/>
        </w:tabs>
        <w:rPr>
          <w:sz w:val="20"/>
          <w:szCs w:val="20"/>
          <w:color w:val="auto"/>
        </w:rPr>
      </w:pPr>
      <w:r>
        <w:rPr>
          <w:rFonts w:ascii="Arial" w:cs="Arial" w:eastAsia="Arial" w:hAnsi="Arial"/>
          <w:sz w:val="17"/>
          <w:szCs w:val="17"/>
          <w:color w:val="auto"/>
        </w:rPr>
        <w:t>^10.28</w:t>
      </w:r>
      <w:r>
        <w:rPr>
          <w:sz w:val="20"/>
          <w:szCs w:val="20"/>
          <w:color w:val="auto"/>
        </w:rPr>
        <w:tab/>
      </w:r>
      <w:r>
        <w:rPr>
          <w:rFonts w:ascii="Arial" w:cs="Arial" w:eastAsia="Arial" w:hAnsi="Arial"/>
          <w:sz w:val="17"/>
          <w:szCs w:val="17"/>
          <w:color w:val="auto"/>
        </w:rPr>
        <w:t>UAL United</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u w:val="single" w:color="auto"/>
          <w:color w:val="auto"/>
        </w:rPr>
        <w:t>Amendment No. 8, dated as of September 24, 2025, to the Amended and Restated A350-900 Purchase Agreement, dated as of September 1, 2017, including a letter agreement related thereto, between Airbus S.A.S. and United Airlines, Inc. (filed as Exhibit 10.1 to UAL's Form 10-Q for the quarter ended September 30, 2025 and incorporated herein by reference)</w:t>
      </w:r>
    </w:p>
    <w:p>
      <w:pPr>
        <w:spacing w:after="0" w:line="200" w:lineRule="exact"/>
        <w:rPr>
          <w:sz w:val="20"/>
          <w:szCs w:val="20"/>
          <w:color w:val="auto"/>
        </w:rPr>
      </w:pPr>
    </w:p>
    <w:p>
      <w:pPr>
        <w:sectPr>
          <w:pgSz w:w="11880" w:h="15480" w:orient="portrait"/>
          <w:cols w:equalWidth="0" w:num="2">
            <w:col w:w="1600" w:space="480"/>
            <w:col w:w="7540"/>
          </w:cols>
          <w:pgMar w:left="1020" w:top="637" w:right="1240" w:bottom="45" w:gutter="0" w:footer="0" w:header="0"/>
          <w:type w:val="continuous"/>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^10.29</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21"/>
          </w:tcPr>
          <w:p>
            <w:pPr>
              <w:spacing w:after="0"/>
              <w:rPr>
                <w:sz w:val="20"/>
                <w:szCs w:val="20"/>
                <w:color w:val="auto"/>
              </w:rPr>
            </w:pPr>
            <w:r>
              <w:rPr>
                <w:rFonts w:ascii="Arial" w:cs="Arial" w:eastAsia="Arial" w:hAnsi="Arial"/>
                <w:sz w:val="19"/>
                <w:szCs w:val="19"/>
                <w:color w:val="auto"/>
                <w:w w:val="96"/>
              </w:rPr>
              <w:t>Amendment No. 9, dated as of December 23, 2025, to the Amended and Restated A350-900</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220" w:type="dxa"/>
            <w:vAlign w:val="bottom"/>
            <w:tcBorders>
              <w:top w:val="single" w:sz="8" w:color="auto"/>
            </w:tcBorders>
            <w:gridSpan w:val="12"/>
          </w:tcPr>
          <w:p>
            <w:pPr>
              <w:spacing w:after="0" w:line="184" w:lineRule="exact"/>
              <w:rPr>
                <w:sz w:val="20"/>
                <w:szCs w:val="20"/>
                <w:color w:val="auto"/>
              </w:rPr>
            </w:pPr>
            <w:r>
              <w:rPr>
                <w:rFonts w:ascii="Arial" w:cs="Arial" w:eastAsia="Arial" w:hAnsi="Arial"/>
                <w:sz w:val="19"/>
                <w:szCs w:val="19"/>
                <w:color w:val="auto"/>
                <w:w w:val="94"/>
              </w:rPr>
              <w:t>Purchase Agreement, dated as of September 1, 2017, including a letter agreement related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960" w:type="dxa"/>
            <w:vAlign w:val="bottom"/>
            <w:tcBorders>
              <w:top w:val="single" w:sz="8" w:color="auto"/>
            </w:tcBorders>
            <w:gridSpan w:val="7"/>
          </w:tcPr>
          <w:p>
            <w:pPr>
              <w:spacing w:after="0" w:line="174" w:lineRule="exact"/>
              <w:rPr>
                <w:sz w:val="20"/>
                <w:szCs w:val="20"/>
                <w:color w:val="auto"/>
              </w:rPr>
            </w:pPr>
            <w:r>
              <w:rPr>
                <w:rFonts w:ascii="Arial" w:cs="Arial" w:eastAsia="Arial" w:hAnsi="Arial"/>
                <w:sz w:val="19"/>
                <w:szCs w:val="19"/>
                <w:color w:val="auto"/>
              </w:rPr>
              <w:t>thereto, between Airbus S.A.S. and United Airlines, Inc.</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right"/>
              <w:ind w:right="183"/>
              <w:spacing w:after="0"/>
              <w:rPr>
                <w:sz w:val="20"/>
                <w:szCs w:val="20"/>
                <w:color w:val="auto"/>
              </w:rPr>
            </w:pPr>
            <w:r>
              <w:rPr>
                <w:rFonts w:ascii="Arial" w:cs="Arial" w:eastAsia="Arial" w:hAnsi="Arial"/>
                <w:sz w:val="19"/>
                <w:szCs w:val="19"/>
                <w:color w:val="auto"/>
                <w:w w:val="88"/>
              </w:rPr>
              <w:t>^10.30</w:t>
            </w:r>
          </w:p>
        </w:tc>
        <w:tc>
          <w:tcPr>
            <w:tcW w:w="1280" w:type="dxa"/>
            <w:vAlign w:val="bottom"/>
            <w:vMerge w:val="restart"/>
          </w:tcPr>
          <w:p>
            <w:pPr>
              <w:ind w:left="280"/>
              <w:spacing w:after="0"/>
              <w:rPr>
                <w:sz w:val="20"/>
                <w:szCs w:val="20"/>
                <w:color w:val="auto"/>
              </w:rPr>
            </w:pPr>
            <w:r>
              <w:rPr>
                <w:rFonts w:ascii="Arial" w:cs="Arial" w:eastAsia="Arial" w:hAnsi="Arial"/>
                <w:sz w:val="19"/>
                <w:szCs w:val="19"/>
                <w:color w:val="auto"/>
              </w:rPr>
              <w:t>UAL</w:t>
            </w:r>
          </w:p>
        </w:tc>
        <w:tc>
          <w:tcPr>
            <w:tcW w:w="80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0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7540" w:type="dxa"/>
            <w:vAlign w:val="bottom"/>
            <w:gridSpan w:val="21"/>
          </w:tcPr>
          <w:p>
            <w:pPr>
              <w:spacing w:after="0"/>
              <w:rPr>
                <w:sz w:val="20"/>
                <w:szCs w:val="20"/>
                <w:color w:val="auto"/>
              </w:rPr>
            </w:pPr>
            <w:r>
              <w:rPr>
                <w:rFonts w:ascii="Arial" w:cs="Arial" w:eastAsia="Arial" w:hAnsi="Arial"/>
                <w:sz w:val="19"/>
                <w:szCs w:val="19"/>
                <w:color w:val="auto"/>
                <w:w w:val="96"/>
              </w:rPr>
              <w:t>Aircraft General Terms Agreement, dated as of October 10, 1997, by and among Continental</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280" w:type="dxa"/>
            <w:vAlign w:val="bottom"/>
            <w:tcBorders>
              <w:top w:val="single" w:sz="8" w:color="auto"/>
            </w:tcBorders>
            <w:gridSpan w:val="14"/>
          </w:tcPr>
          <w:p>
            <w:pPr>
              <w:spacing w:after="0" w:line="184" w:lineRule="exact"/>
              <w:rPr>
                <w:sz w:val="20"/>
                <w:szCs w:val="20"/>
                <w:color w:val="auto"/>
              </w:rPr>
            </w:pPr>
            <w:r>
              <w:rPr>
                <w:rFonts w:ascii="Arial" w:cs="Arial" w:eastAsia="Arial" w:hAnsi="Arial"/>
                <w:sz w:val="19"/>
                <w:szCs w:val="19"/>
                <w:color w:val="auto"/>
                <w:w w:val="98"/>
              </w:rPr>
              <w:t>Airlines, Inc. and The Boeing Company (filed as Exhibit 10.2 to UAL's Form 10-Q for the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80" w:type="dxa"/>
            <w:vAlign w:val="bottom"/>
            <w:tcBorders>
              <w:top w:val="single" w:sz="8" w:color="auto"/>
            </w:tcBorders>
            <w:gridSpan w:val="8"/>
          </w:tcPr>
          <w:p>
            <w:pPr>
              <w:spacing w:after="0" w:line="174" w:lineRule="exact"/>
              <w:rPr>
                <w:sz w:val="20"/>
                <w:szCs w:val="20"/>
                <w:color w:val="auto"/>
              </w:rPr>
            </w:pPr>
            <w:r>
              <w:rPr>
                <w:rFonts w:ascii="Arial" w:cs="Arial" w:eastAsia="Arial" w:hAnsi="Arial"/>
                <w:sz w:val="19"/>
                <w:szCs w:val="19"/>
                <w:color w:val="auto"/>
              </w:rPr>
              <w:t>quarter ended September 30, 2023 and incorporated herein by reference)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4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^10.31</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21"/>
          </w:tcPr>
          <w:p>
            <w:pPr>
              <w:spacing w:after="0"/>
              <w:rPr>
                <w:sz w:val="20"/>
                <w:szCs w:val="20"/>
                <w:color w:val="auto"/>
              </w:rPr>
            </w:pPr>
            <w:r>
              <w:rPr>
                <w:rFonts w:ascii="Arial" w:cs="Arial" w:eastAsia="Arial" w:hAnsi="Arial"/>
                <w:sz w:val="19"/>
                <w:szCs w:val="19"/>
                <w:color w:val="auto"/>
                <w:w w:val="94"/>
              </w:rPr>
              <w:t>Purchase Agreement No. PA-03776, dated as of July 12, 2012, between The Boeing Company</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420" w:type="dxa"/>
            <w:vAlign w:val="bottom"/>
            <w:tcBorders>
              <w:top w:val="single" w:sz="8" w:color="auto"/>
              <w:bottom w:val="single" w:sz="8" w:color="auto"/>
            </w:tcBorders>
            <w:gridSpan w:val="19"/>
          </w:tcPr>
          <w:p>
            <w:pPr>
              <w:spacing w:after="0" w:line="184" w:lineRule="exact"/>
              <w:rPr>
                <w:sz w:val="20"/>
                <w:szCs w:val="20"/>
                <w:color w:val="auto"/>
              </w:rPr>
            </w:pPr>
            <w:r>
              <w:rPr>
                <w:rFonts w:ascii="Arial" w:cs="Arial" w:eastAsia="Arial" w:hAnsi="Arial"/>
                <w:sz w:val="19"/>
                <w:szCs w:val="19"/>
                <w:color w:val="auto"/>
                <w:w w:val="93"/>
              </w:rPr>
              <w:t>and United Continental Holdings, Inc. (filed as Exhibit 10.3 to UAL's Form 10-Q for the quarter</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40" w:type="dxa"/>
            <w:vAlign w:val="bottom"/>
            <w:gridSpan w:val="21"/>
          </w:tcPr>
          <w:p>
            <w:pPr>
              <w:spacing w:after="0" w:line="174" w:lineRule="exact"/>
              <w:rPr>
                <w:sz w:val="20"/>
                <w:szCs w:val="20"/>
                <w:color w:val="auto"/>
              </w:rPr>
            </w:pPr>
            <w:r>
              <w:rPr>
                <w:rFonts w:ascii="Arial" w:cs="Arial" w:eastAsia="Arial" w:hAnsi="Arial"/>
                <w:sz w:val="19"/>
                <w:szCs w:val="19"/>
                <w:color w:val="auto"/>
              </w:rPr>
              <w:t>ended September 30, 2023 and incorporated herein by reference)</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40" w:type="dxa"/>
            <w:vAlign w:val="bottom"/>
            <w:gridSpan w:val="2"/>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^10.32</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21"/>
          </w:tcPr>
          <w:p>
            <w:pPr>
              <w:spacing w:after="0"/>
              <w:rPr>
                <w:sz w:val="20"/>
                <w:szCs w:val="20"/>
                <w:color w:val="auto"/>
              </w:rPr>
            </w:pPr>
            <w:r>
              <w:rPr>
                <w:rFonts w:ascii="Arial" w:cs="Arial" w:eastAsia="Arial" w:hAnsi="Arial"/>
                <w:sz w:val="19"/>
                <w:szCs w:val="19"/>
                <w:color w:val="auto"/>
                <w:w w:val="94"/>
              </w:rPr>
              <w:t>Supplemental Agreement No. 1 to Purchase Agreement No. 03776, dated as of June 17, 2013,</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360" w:type="dxa"/>
            <w:vAlign w:val="bottom"/>
            <w:tcBorders>
              <w:top w:val="single" w:sz="8" w:color="auto"/>
              <w:bottom w:val="single" w:sz="8" w:color="auto"/>
            </w:tcBorders>
            <w:gridSpan w:val="16"/>
          </w:tcPr>
          <w:p>
            <w:pPr>
              <w:spacing w:after="0" w:line="184" w:lineRule="exact"/>
              <w:rPr>
                <w:sz w:val="20"/>
                <w:szCs w:val="20"/>
                <w:color w:val="auto"/>
              </w:rPr>
            </w:pPr>
            <w:r>
              <w:rPr>
                <w:rFonts w:ascii="Arial" w:cs="Arial" w:eastAsia="Arial" w:hAnsi="Arial"/>
                <w:sz w:val="19"/>
                <w:szCs w:val="19"/>
                <w:color w:val="auto"/>
                <w:w w:val="94"/>
              </w:rPr>
              <w:t>between The Boeing Company and United Continental Holdings, Inc. (filed as Exhibit 10.4 to</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380" w:type="dxa"/>
            <w:vAlign w:val="bottom"/>
            <w:gridSpan w:val="17"/>
          </w:tcPr>
          <w:p>
            <w:pPr>
              <w:spacing w:after="0" w:line="174" w:lineRule="exact"/>
              <w:rPr>
                <w:sz w:val="20"/>
                <w:szCs w:val="20"/>
                <w:color w:val="auto"/>
              </w:rPr>
            </w:pPr>
            <w:r>
              <w:rPr>
                <w:rFonts w:ascii="Arial" w:cs="Arial" w:eastAsia="Arial" w:hAnsi="Arial"/>
                <w:sz w:val="19"/>
                <w:szCs w:val="19"/>
                <w:color w:val="auto"/>
                <w:w w:val="99"/>
              </w:rPr>
              <w:t>UAL's Form 10-Q for the quarter ended September 30, 2023 and incorporated herein by</w:t>
            </w: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0"/>
              </w:rPr>
              <w:t>reference)</w:t>
            </w:r>
          </w:p>
        </w:tc>
        <w:tc>
          <w:tcPr>
            <w:tcW w:w="6080" w:type="dxa"/>
            <w:vAlign w:val="bottom"/>
            <w:tcBorders>
              <w:top w:val="single" w:sz="8" w:color="auto"/>
            </w:tcBorders>
            <w:gridSpan w:val="5"/>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^10.33</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260" w:type="dxa"/>
            <w:vAlign w:val="bottom"/>
            <w:tcBorders>
              <w:bottom w:val="single" w:sz="8" w:color="auto"/>
            </w:tcBorders>
            <w:gridSpan w:val="13"/>
          </w:tcPr>
          <w:p>
            <w:pPr>
              <w:spacing w:after="0"/>
              <w:rPr>
                <w:sz w:val="20"/>
                <w:szCs w:val="20"/>
                <w:color w:val="auto"/>
              </w:rPr>
            </w:pPr>
            <w:r>
              <w:rPr>
                <w:rFonts w:ascii="Arial" w:cs="Arial" w:eastAsia="Arial" w:hAnsi="Arial"/>
                <w:sz w:val="19"/>
                <w:szCs w:val="19"/>
                <w:color w:val="auto"/>
                <w:w w:val="91"/>
              </w:rPr>
              <w:t>Purchase Agreement Assignment to Purchase Agreement No. 03776, dated as of October 23,</w:t>
            </w:r>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40" w:type="dxa"/>
            <w:vAlign w:val="bottom"/>
            <w:gridSpan w:val="21"/>
          </w:tcPr>
          <w:p>
            <w:pPr>
              <w:spacing w:after="0" w:line="184" w:lineRule="exact"/>
              <w:rPr>
                <w:sz w:val="20"/>
                <w:szCs w:val="20"/>
                <w:color w:val="auto"/>
              </w:rPr>
            </w:pPr>
            <w:r>
              <w:rPr>
                <w:rFonts w:ascii="Arial" w:cs="Arial" w:eastAsia="Arial" w:hAnsi="Arial"/>
                <w:sz w:val="19"/>
                <w:szCs w:val="19"/>
                <w:color w:val="auto"/>
                <w:w w:val="95"/>
              </w:rPr>
              <w:t>2013, between United Continental Holdings, Inc. and United Airlines, Inc. (filed as Exhibit 10.5</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20" w:type="dxa"/>
            <w:vAlign w:val="bottom"/>
            <w:tcBorders>
              <w:top w:val="single" w:sz="8" w:color="auto"/>
            </w:tcBorders>
            <w:gridSpan w:val="20"/>
          </w:tcPr>
          <w:p>
            <w:pPr>
              <w:spacing w:after="0" w:line="174" w:lineRule="exact"/>
              <w:rPr>
                <w:sz w:val="20"/>
                <w:szCs w:val="20"/>
                <w:color w:val="auto"/>
              </w:rPr>
            </w:pPr>
            <w:r>
              <w:rPr>
                <w:rFonts w:ascii="Arial" w:cs="Arial" w:eastAsia="Arial" w:hAnsi="Arial"/>
                <w:sz w:val="19"/>
                <w:szCs w:val="19"/>
                <w:color w:val="auto"/>
                <w:w w:val="98"/>
              </w:rPr>
              <w:t>to UAL's Form 10-Q for the quarter ended September 30, 2023 and incorporated herein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0"/>
              </w:rPr>
              <w:t>reference)</w:t>
            </w:r>
          </w:p>
        </w:tc>
        <w:tc>
          <w:tcPr>
            <w:tcW w:w="6300" w:type="dxa"/>
            <w:vAlign w:val="bottom"/>
            <w:tcBorders>
              <w:top w:val="single" w:sz="8" w:color="auto"/>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55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^10.34</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140" w:type="dxa"/>
            <w:vAlign w:val="bottom"/>
            <w:tcBorders>
              <w:bottom w:val="single" w:sz="8" w:color="auto"/>
            </w:tcBorders>
            <w:gridSpan w:val="11"/>
          </w:tcPr>
          <w:p>
            <w:pPr>
              <w:spacing w:after="0"/>
              <w:rPr>
                <w:sz w:val="20"/>
                <w:szCs w:val="20"/>
                <w:color w:val="auto"/>
              </w:rPr>
            </w:pPr>
            <w:r>
              <w:rPr>
                <w:rFonts w:ascii="Arial" w:cs="Arial" w:eastAsia="Arial" w:hAnsi="Arial"/>
                <w:sz w:val="19"/>
                <w:szCs w:val="19"/>
                <w:color w:val="auto"/>
                <w:w w:val="92"/>
              </w:rPr>
              <w:t>Supplemental Agreement No. 2 to Purchase Agreement No. 03776, dated as of January 14,</w:t>
            </w:r>
          </w:p>
        </w:tc>
        <w:tc>
          <w:tcPr>
            <w:tcW w:w="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40" w:type="dxa"/>
            <w:vAlign w:val="bottom"/>
            <w:gridSpan w:val="21"/>
          </w:tcPr>
          <w:p>
            <w:pPr>
              <w:spacing w:after="0" w:line="184" w:lineRule="exact"/>
              <w:rPr>
                <w:sz w:val="20"/>
                <w:szCs w:val="20"/>
                <w:color w:val="auto"/>
              </w:rPr>
            </w:pPr>
            <w:r>
              <w:rPr>
                <w:rFonts w:ascii="Arial" w:cs="Arial" w:eastAsia="Arial" w:hAnsi="Arial"/>
                <w:sz w:val="19"/>
                <w:szCs w:val="19"/>
                <w:color w:val="auto"/>
                <w:w w:val="97"/>
              </w:rPr>
              <w:t>2015, between The Boeing Company and United Airlines, Inc. (filed as Exhibit 10.6 to UAL's</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20" w:type="dxa"/>
            <w:vAlign w:val="bottom"/>
            <w:tcBorders>
              <w:top w:val="single" w:sz="8" w:color="auto"/>
              <w:bottom w:val="single" w:sz="8" w:color="auto"/>
            </w:tcBorders>
            <w:gridSpan w:val="10"/>
          </w:tcPr>
          <w:p>
            <w:pPr>
              <w:spacing w:after="0" w:line="174" w:lineRule="exact"/>
              <w:rPr>
                <w:sz w:val="20"/>
                <w:szCs w:val="20"/>
                <w:color w:val="auto"/>
              </w:rPr>
            </w:pPr>
            <w:r>
              <w:rPr>
                <w:rFonts w:ascii="Arial" w:cs="Arial" w:eastAsia="Arial" w:hAnsi="Arial"/>
                <w:sz w:val="19"/>
                <w:szCs w:val="19"/>
                <w:color w:val="auto"/>
                <w:w w:val="91"/>
              </w:rPr>
              <w:t>Form 10-Q for the quarter ended September 30, 2023 and incorporated herein by reference)</w:t>
            </w:r>
          </w:p>
        </w:tc>
        <w:tc>
          <w:tcPr>
            <w:tcW w:w="280" w:type="dxa"/>
            <w:vAlign w:val="bottom"/>
            <w:tcBorders>
              <w:top w:val="single" w:sz="8" w:color="auto"/>
            </w:tcBorders>
            <w:gridSpan w:val="8"/>
          </w:tcPr>
          <w:p>
            <w:pPr>
              <w:spacing w:after="0"/>
              <w:rPr>
                <w:sz w:val="15"/>
                <w:szCs w:val="15"/>
                <w:color w:val="auto"/>
              </w:rPr>
            </w:pPr>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^10.35</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21"/>
          </w:tcPr>
          <w:p>
            <w:pPr>
              <w:spacing w:after="0"/>
              <w:rPr>
                <w:sz w:val="20"/>
                <w:szCs w:val="20"/>
                <w:color w:val="auto"/>
              </w:rPr>
            </w:pPr>
            <w:r>
              <w:rPr>
                <w:rFonts w:ascii="Arial" w:cs="Arial" w:eastAsia="Arial" w:hAnsi="Arial"/>
                <w:sz w:val="19"/>
                <w:szCs w:val="19"/>
                <w:color w:val="auto"/>
                <w:w w:val="94"/>
              </w:rPr>
              <w:t>Supplemental Agreement No. 3 to Purchase Agreement No. 03776, dated as of May 26, 2015,</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360" w:type="dxa"/>
            <w:vAlign w:val="bottom"/>
            <w:tcBorders>
              <w:top w:val="single" w:sz="8" w:color="auto"/>
            </w:tcBorders>
            <w:gridSpan w:val="16"/>
          </w:tcPr>
          <w:p>
            <w:pPr>
              <w:spacing w:after="0" w:line="184" w:lineRule="exact"/>
              <w:rPr>
                <w:sz w:val="20"/>
                <w:szCs w:val="20"/>
                <w:color w:val="auto"/>
              </w:rPr>
            </w:pPr>
            <w:r>
              <w:rPr>
                <w:rFonts w:ascii="Arial" w:cs="Arial" w:eastAsia="Arial" w:hAnsi="Arial"/>
                <w:sz w:val="19"/>
                <w:szCs w:val="19"/>
                <w:color w:val="auto"/>
                <w:w w:val="95"/>
              </w:rPr>
              <w:t>between The Boeing Company and United Airlines, Inc. (filed as Exhibit 10.7 to UAL's Form</w:t>
            </w:r>
          </w:p>
        </w:tc>
        <w:tc>
          <w:tcPr>
            <w:tcW w:w="1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340" w:type="dxa"/>
            <w:vAlign w:val="bottom"/>
            <w:tcBorders>
              <w:top w:val="single" w:sz="8" w:color="auto"/>
            </w:tcBorders>
            <w:gridSpan w:val="15"/>
          </w:tcPr>
          <w:p>
            <w:pPr>
              <w:spacing w:after="0" w:line="174" w:lineRule="exact"/>
              <w:rPr>
                <w:sz w:val="20"/>
                <w:szCs w:val="20"/>
                <w:color w:val="auto"/>
              </w:rPr>
            </w:pPr>
            <w:r>
              <w:rPr>
                <w:rFonts w:ascii="Arial" w:cs="Arial" w:eastAsia="Arial" w:hAnsi="Arial"/>
                <w:sz w:val="19"/>
                <w:szCs w:val="19"/>
                <w:color w:val="auto"/>
              </w:rPr>
              <w:t>10-Q for the quarter ended September 30, 2023 and incorporated herein by reference)</w:t>
            </w:r>
          </w:p>
        </w:tc>
        <w:tc>
          <w:tcPr>
            <w:tcW w:w="2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40" w:type="dxa"/>
            <w:vAlign w:val="bottom"/>
            <w:gridSpan w:val="5"/>
            <w:shd w:val="clear" w:color="auto" w:fill="000000"/>
          </w:tcPr>
          <w:p>
            <w:pPr>
              <w:spacing w:after="0" w:line="20" w:lineRule="exact"/>
              <w:rPr>
                <w:sz w:val="1"/>
                <w:szCs w:val="1"/>
                <w:color w:val="auto"/>
              </w:rPr>
            </w:pPr>
          </w:p>
        </w:tc>
        <w:tc>
          <w:tcPr>
            <w:tcW w:w="9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^10.36</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21"/>
          </w:tcPr>
          <w:p>
            <w:pPr>
              <w:spacing w:after="0"/>
              <w:rPr>
                <w:sz w:val="20"/>
                <w:szCs w:val="20"/>
                <w:color w:val="auto"/>
              </w:rPr>
            </w:pPr>
            <w:r>
              <w:rPr>
                <w:rFonts w:ascii="Arial" w:cs="Arial" w:eastAsia="Arial" w:hAnsi="Arial"/>
                <w:sz w:val="19"/>
                <w:szCs w:val="19"/>
                <w:color w:val="auto"/>
                <w:w w:val="94"/>
              </w:rPr>
              <w:t>Supplemental Agreement No. 4 to Purchase Agreement No. 03776, dated as of June 12, 2015,</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360" w:type="dxa"/>
            <w:vAlign w:val="bottom"/>
            <w:tcBorders>
              <w:top w:val="single" w:sz="8" w:color="auto"/>
            </w:tcBorders>
            <w:gridSpan w:val="16"/>
          </w:tcPr>
          <w:p>
            <w:pPr>
              <w:spacing w:after="0" w:line="184" w:lineRule="exact"/>
              <w:rPr>
                <w:sz w:val="20"/>
                <w:szCs w:val="20"/>
                <w:color w:val="auto"/>
              </w:rPr>
            </w:pPr>
            <w:r>
              <w:rPr>
                <w:rFonts w:ascii="Arial" w:cs="Arial" w:eastAsia="Arial" w:hAnsi="Arial"/>
                <w:sz w:val="19"/>
                <w:szCs w:val="19"/>
                <w:color w:val="auto"/>
                <w:w w:val="95"/>
              </w:rPr>
              <w:t>between The Boeing Company and United Airlines, Inc. (filed as Exhibit 10.8 to UAL's Form</w:t>
            </w:r>
          </w:p>
        </w:tc>
        <w:tc>
          <w:tcPr>
            <w:tcW w:w="1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340" w:type="dxa"/>
            <w:vAlign w:val="bottom"/>
            <w:tcBorders>
              <w:top w:val="single" w:sz="8" w:color="auto"/>
            </w:tcBorders>
            <w:gridSpan w:val="15"/>
          </w:tcPr>
          <w:p>
            <w:pPr>
              <w:spacing w:after="0" w:line="174" w:lineRule="exact"/>
              <w:rPr>
                <w:sz w:val="20"/>
                <w:szCs w:val="20"/>
                <w:color w:val="auto"/>
              </w:rPr>
            </w:pPr>
            <w:r>
              <w:rPr>
                <w:rFonts w:ascii="Arial" w:cs="Arial" w:eastAsia="Arial" w:hAnsi="Arial"/>
                <w:sz w:val="19"/>
                <w:szCs w:val="19"/>
                <w:color w:val="auto"/>
              </w:rPr>
              <w:t>10-Q for the quarter ended September 30, 2023 and incorporated herein by reference)</w:t>
            </w:r>
          </w:p>
        </w:tc>
        <w:tc>
          <w:tcPr>
            <w:tcW w:w="2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40" w:type="dxa"/>
            <w:vAlign w:val="bottom"/>
            <w:gridSpan w:val="5"/>
            <w:shd w:val="clear" w:color="auto" w:fill="000000"/>
          </w:tcPr>
          <w:p>
            <w:pPr>
              <w:spacing w:after="0" w:line="20" w:lineRule="exact"/>
              <w:rPr>
                <w:sz w:val="1"/>
                <w:szCs w:val="1"/>
                <w:color w:val="auto"/>
              </w:rPr>
            </w:pPr>
          </w:p>
        </w:tc>
        <w:tc>
          <w:tcPr>
            <w:tcW w:w="9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^10.37</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140" w:type="dxa"/>
            <w:vAlign w:val="bottom"/>
            <w:tcBorders>
              <w:bottom w:val="single" w:sz="8" w:color="auto"/>
            </w:tcBorders>
            <w:gridSpan w:val="11"/>
          </w:tcPr>
          <w:p>
            <w:pPr>
              <w:spacing w:after="0"/>
              <w:rPr>
                <w:sz w:val="20"/>
                <w:szCs w:val="20"/>
                <w:color w:val="auto"/>
              </w:rPr>
            </w:pPr>
            <w:r>
              <w:rPr>
                <w:rFonts w:ascii="Arial" w:cs="Arial" w:eastAsia="Arial" w:hAnsi="Arial"/>
                <w:sz w:val="19"/>
                <w:szCs w:val="19"/>
                <w:color w:val="auto"/>
                <w:w w:val="92"/>
              </w:rPr>
              <w:t>Supplemental Agreement No. 5 to Purchase Agreement No. 03776, dated as of January 20,</w:t>
            </w:r>
          </w:p>
        </w:tc>
        <w:tc>
          <w:tcPr>
            <w:tcW w:w="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40" w:type="dxa"/>
            <w:vAlign w:val="bottom"/>
            <w:gridSpan w:val="21"/>
          </w:tcPr>
          <w:p>
            <w:pPr>
              <w:spacing w:after="0" w:line="184" w:lineRule="exact"/>
              <w:rPr>
                <w:sz w:val="20"/>
                <w:szCs w:val="20"/>
                <w:color w:val="auto"/>
              </w:rPr>
            </w:pPr>
            <w:r>
              <w:rPr>
                <w:rFonts w:ascii="Arial" w:cs="Arial" w:eastAsia="Arial" w:hAnsi="Arial"/>
                <w:sz w:val="19"/>
                <w:szCs w:val="19"/>
                <w:color w:val="auto"/>
                <w:w w:val="97"/>
              </w:rPr>
              <w:t>2016, between The Boeing Company and United Airlines, Inc. (filed as Exhibit 10.9 to UAL's</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20" w:type="dxa"/>
            <w:vAlign w:val="bottom"/>
            <w:tcBorders>
              <w:top w:val="single" w:sz="8" w:color="auto"/>
              <w:bottom w:val="single" w:sz="8" w:color="auto"/>
            </w:tcBorders>
            <w:gridSpan w:val="10"/>
          </w:tcPr>
          <w:p>
            <w:pPr>
              <w:spacing w:after="0" w:line="174" w:lineRule="exact"/>
              <w:rPr>
                <w:sz w:val="20"/>
                <w:szCs w:val="20"/>
                <w:color w:val="auto"/>
              </w:rPr>
            </w:pPr>
            <w:r>
              <w:rPr>
                <w:rFonts w:ascii="Arial" w:cs="Arial" w:eastAsia="Arial" w:hAnsi="Arial"/>
                <w:sz w:val="19"/>
                <w:szCs w:val="19"/>
                <w:color w:val="auto"/>
                <w:w w:val="91"/>
              </w:rPr>
              <w:t>Form 10-Q for the quarter ended September 30, 2023 and incorporated herein by reference)</w:t>
            </w:r>
          </w:p>
        </w:tc>
        <w:tc>
          <w:tcPr>
            <w:tcW w:w="280" w:type="dxa"/>
            <w:vAlign w:val="bottom"/>
            <w:tcBorders>
              <w:top w:val="single" w:sz="8" w:color="auto"/>
            </w:tcBorders>
            <w:gridSpan w:val="8"/>
          </w:tcPr>
          <w:p>
            <w:pPr>
              <w:spacing w:after="0"/>
              <w:rPr>
                <w:sz w:val="15"/>
                <w:szCs w:val="15"/>
                <w:color w:val="auto"/>
              </w:rPr>
            </w:pPr>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620"/>
          </w:cols>
          <w:pgMar w:left="1020" w:top="637" w:right="1240" w:bottom="45"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102</w:t>
      </w:r>
    </w:p>
    <w:p>
      <w:pPr>
        <w:sectPr>
          <w:pgSz w:w="11880" w:h="15480" w:orient="portrait"/>
          <w:cols w:equalWidth="0" w:num="1">
            <w:col w:w="9620"/>
          </w:cols>
          <w:pgMar w:left="1020" w:top="637" w:right="1240" w:bottom="45"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24"/>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^10.38</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140" w:type="dxa"/>
            <w:vAlign w:val="bottom"/>
            <w:tcBorders>
              <w:bottom w:val="single" w:sz="8" w:color="auto"/>
            </w:tcBorders>
            <w:gridSpan w:val="5"/>
          </w:tcPr>
          <w:p>
            <w:pPr>
              <w:spacing w:after="0"/>
              <w:rPr>
                <w:sz w:val="20"/>
                <w:szCs w:val="20"/>
                <w:color w:val="auto"/>
              </w:rPr>
            </w:pPr>
            <w:r>
              <w:rPr>
                <w:rFonts w:ascii="Arial" w:cs="Arial" w:eastAsia="Arial" w:hAnsi="Arial"/>
                <w:sz w:val="19"/>
                <w:szCs w:val="19"/>
                <w:color w:val="auto"/>
                <w:w w:val="92"/>
              </w:rPr>
              <w:t>Supplemental Agreement No. 6 to Purchase Agreement No. 03776, dated as of February 8,</w:t>
            </w:r>
          </w:p>
        </w:tc>
        <w:tc>
          <w:tcPr>
            <w:tcW w:w="400" w:type="dxa"/>
            <w:vAlign w:val="bottom"/>
            <w:gridSpan w:val="14"/>
          </w:tcPr>
          <w:p>
            <w:pPr>
              <w:spacing w:after="0"/>
              <w:rPr>
                <w:sz w:val="19"/>
                <w:szCs w:val="19"/>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40" w:type="dxa"/>
            <w:vAlign w:val="bottom"/>
            <w:tcBorders>
              <w:bottom w:val="single" w:sz="8" w:color="auto"/>
            </w:tcBorders>
            <w:gridSpan w:val="19"/>
          </w:tcPr>
          <w:p>
            <w:pPr>
              <w:spacing w:after="0" w:line="184" w:lineRule="exact"/>
              <w:rPr>
                <w:sz w:val="20"/>
                <w:szCs w:val="20"/>
                <w:color w:val="auto"/>
              </w:rPr>
            </w:pPr>
            <w:r>
              <w:rPr>
                <w:rFonts w:ascii="Arial" w:cs="Arial" w:eastAsia="Arial" w:hAnsi="Arial"/>
                <w:sz w:val="19"/>
                <w:szCs w:val="19"/>
                <w:color w:val="auto"/>
                <w:w w:val="96"/>
              </w:rPr>
              <w:t>2016, between The Boeing Company and United Airlines, Inc. (filed as Exhibit 10.10 to UAL's</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20" w:type="dxa"/>
            <w:vAlign w:val="bottom"/>
            <w:tcBorders>
              <w:bottom w:val="single" w:sz="8" w:color="auto"/>
            </w:tcBorders>
            <w:gridSpan w:val="4"/>
          </w:tcPr>
          <w:p>
            <w:pPr>
              <w:spacing w:after="0" w:line="174" w:lineRule="exact"/>
              <w:rPr>
                <w:sz w:val="20"/>
                <w:szCs w:val="20"/>
                <w:color w:val="auto"/>
              </w:rPr>
            </w:pPr>
            <w:r>
              <w:rPr>
                <w:rFonts w:ascii="Arial" w:cs="Arial" w:eastAsia="Arial" w:hAnsi="Arial"/>
                <w:sz w:val="19"/>
                <w:szCs w:val="19"/>
                <w:color w:val="auto"/>
                <w:w w:val="91"/>
              </w:rPr>
              <w:t>Form 10-Q for the quarter ended September 30, 2023 and incorporated herein by reference)</w:t>
            </w:r>
          </w:p>
        </w:tc>
        <w:tc>
          <w:tcPr>
            <w:tcW w:w="420" w:type="dxa"/>
            <w:vAlign w:val="bottom"/>
            <w:gridSpan w:val="15"/>
          </w:tcPr>
          <w:p>
            <w:pPr>
              <w:spacing w:after="0"/>
              <w:rPr>
                <w:sz w:val="15"/>
                <w:szCs w:val="15"/>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^10.39</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19"/>
          </w:tcPr>
          <w:p>
            <w:pPr>
              <w:spacing w:after="0"/>
              <w:rPr>
                <w:sz w:val="20"/>
                <w:szCs w:val="20"/>
                <w:color w:val="auto"/>
              </w:rPr>
            </w:pPr>
            <w:r>
              <w:rPr>
                <w:rFonts w:ascii="Arial" w:cs="Arial" w:eastAsia="Arial" w:hAnsi="Arial"/>
                <w:sz w:val="19"/>
                <w:szCs w:val="19"/>
                <w:color w:val="auto"/>
                <w:w w:val="94"/>
              </w:rPr>
              <w:t>Supplemental Agreement No. 7 to Purchase Agreement No. 03776, dated as of December 27,</w:t>
            </w: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320" w:type="dxa"/>
            <w:vAlign w:val="bottom"/>
            <w:tcBorders>
              <w:top w:val="single" w:sz="8" w:color="auto"/>
              <w:bottom w:val="single" w:sz="8" w:color="auto"/>
            </w:tcBorders>
            <w:gridSpan w:val="8"/>
          </w:tcPr>
          <w:p>
            <w:pPr>
              <w:spacing w:after="0" w:line="184" w:lineRule="exact"/>
              <w:rPr>
                <w:sz w:val="20"/>
                <w:szCs w:val="20"/>
                <w:color w:val="auto"/>
              </w:rPr>
            </w:pPr>
            <w:r>
              <w:rPr>
                <w:rFonts w:ascii="Arial" w:cs="Arial" w:eastAsia="Arial" w:hAnsi="Arial"/>
                <w:sz w:val="19"/>
                <w:szCs w:val="19"/>
                <w:color w:val="auto"/>
                <w:w w:val="93"/>
              </w:rPr>
              <w:t>2016, between The Boeing Company and United Airlines, Inc. (filed as Exhibit 10.11 to UAL's</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20" w:type="dxa"/>
            <w:vAlign w:val="bottom"/>
            <w:tcBorders>
              <w:bottom w:val="single" w:sz="8" w:color="auto"/>
            </w:tcBorders>
            <w:gridSpan w:val="4"/>
          </w:tcPr>
          <w:p>
            <w:pPr>
              <w:spacing w:after="0" w:line="174" w:lineRule="exact"/>
              <w:rPr>
                <w:sz w:val="20"/>
                <w:szCs w:val="20"/>
                <w:color w:val="auto"/>
              </w:rPr>
            </w:pPr>
            <w:r>
              <w:rPr>
                <w:rFonts w:ascii="Arial" w:cs="Arial" w:eastAsia="Arial" w:hAnsi="Arial"/>
                <w:sz w:val="19"/>
                <w:szCs w:val="19"/>
                <w:color w:val="auto"/>
                <w:w w:val="91"/>
              </w:rPr>
              <w:t>Form 10-Q for the quarter ended September 30, 2023 and incorporated herein by reference)</w:t>
            </w:r>
          </w:p>
        </w:tc>
        <w:tc>
          <w:tcPr>
            <w:tcW w:w="420" w:type="dxa"/>
            <w:vAlign w:val="bottom"/>
            <w:gridSpan w:val="15"/>
          </w:tcPr>
          <w:p>
            <w:pPr>
              <w:spacing w:after="0"/>
              <w:rPr>
                <w:sz w:val="15"/>
                <w:szCs w:val="15"/>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^10.40</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260" w:type="dxa"/>
            <w:vAlign w:val="bottom"/>
            <w:tcBorders>
              <w:bottom w:val="single" w:sz="8" w:color="auto"/>
            </w:tcBorders>
            <w:gridSpan w:val="7"/>
          </w:tcPr>
          <w:p>
            <w:pPr>
              <w:spacing w:after="0"/>
              <w:rPr>
                <w:sz w:val="20"/>
                <w:szCs w:val="20"/>
                <w:color w:val="auto"/>
              </w:rPr>
            </w:pPr>
            <w:r>
              <w:rPr>
                <w:rFonts w:ascii="Arial" w:cs="Arial" w:eastAsia="Arial" w:hAnsi="Arial"/>
                <w:sz w:val="19"/>
                <w:szCs w:val="19"/>
                <w:color w:val="auto"/>
                <w:w w:val="91"/>
              </w:rPr>
              <w:t>Supplemental Agreement No. 8 to Purchase Agreement No. 03776, dated as of June 7, 2017,</w:t>
            </w:r>
          </w:p>
        </w:tc>
        <w:tc>
          <w:tcPr>
            <w:tcW w:w="280" w:type="dxa"/>
            <w:vAlign w:val="bottom"/>
            <w:gridSpan w:val="12"/>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40" w:type="dxa"/>
            <w:vAlign w:val="bottom"/>
            <w:gridSpan w:val="19"/>
          </w:tcPr>
          <w:p>
            <w:pPr>
              <w:spacing w:after="0" w:line="184" w:lineRule="exact"/>
              <w:rPr>
                <w:sz w:val="20"/>
                <w:szCs w:val="20"/>
                <w:color w:val="auto"/>
              </w:rPr>
            </w:pPr>
            <w:r>
              <w:rPr>
                <w:rFonts w:ascii="Arial" w:cs="Arial" w:eastAsia="Arial" w:hAnsi="Arial"/>
                <w:sz w:val="19"/>
                <w:szCs w:val="19"/>
                <w:color w:val="auto"/>
                <w:w w:val="96"/>
              </w:rPr>
              <w:t>between The Boeing Company and United Airlines, Inc. (filed as Exhibit 10.12 to UAL's Form</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00" w:type="dxa"/>
            <w:vAlign w:val="bottom"/>
            <w:tcBorders>
              <w:top w:val="single" w:sz="8" w:color="auto"/>
            </w:tcBorders>
            <w:gridSpan w:val="17"/>
          </w:tcPr>
          <w:p>
            <w:pPr>
              <w:spacing w:after="0" w:line="174" w:lineRule="exact"/>
              <w:rPr>
                <w:sz w:val="20"/>
                <w:szCs w:val="20"/>
                <w:color w:val="auto"/>
              </w:rPr>
            </w:pPr>
            <w:r>
              <w:rPr>
                <w:rFonts w:ascii="Arial" w:cs="Arial" w:eastAsia="Arial" w:hAnsi="Arial"/>
                <w:sz w:val="19"/>
                <w:szCs w:val="19"/>
                <w:color w:val="auto"/>
              </w:rPr>
              <w:t>10-Q for the quarter ended September 30, 2023 and incorporated herein by reference)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^10.41</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19"/>
          </w:tcPr>
          <w:p>
            <w:pPr>
              <w:spacing w:after="0"/>
              <w:rPr>
                <w:sz w:val="20"/>
                <w:szCs w:val="20"/>
                <w:color w:val="auto"/>
              </w:rPr>
            </w:pPr>
            <w:r>
              <w:rPr>
                <w:rFonts w:ascii="Arial" w:cs="Arial" w:eastAsia="Arial" w:hAnsi="Arial"/>
                <w:sz w:val="19"/>
                <w:szCs w:val="19"/>
                <w:color w:val="auto"/>
                <w:w w:val="94"/>
              </w:rPr>
              <w:t>Supplemental Agreement No. 9 to Purchase Agreement No. 03776, dated as of June 15, 2017,</w:t>
            </w: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400" w:type="dxa"/>
            <w:vAlign w:val="bottom"/>
            <w:tcBorders>
              <w:top w:val="single" w:sz="8" w:color="auto"/>
            </w:tcBorders>
            <w:gridSpan w:val="12"/>
          </w:tcPr>
          <w:p>
            <w:pPr>
              <w:spacing w:after="0" w:line="184" w:lineRule="exact"/>
              <w:rPr>
                <w:sz w:val="20"/>
                <w:szCs w:val="20"/>
                <w:color w:val="auto"/>
              </w:rPr>
            </w:pPr>
            <w:r>
              <w:rPr>
                <w:rFonts w:ascii="Arial" w:cs="Arial" w:eastAsia="Arial" w:hAnsi="Arial"/>
                <w:sz w:val="19"/>
                <w:szCs w:val="19"/>
                <w:color w:val="auto"/>
                <w:w w:val="94"/>
              </w:rPr>
              <w:t>between The Boeing Company and United Airlines, Inc. (filed as Exhibit 10.13 to UAL's Form</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00" w:type="dxa"/>
            <w:vAlign w:val="bottom"/>
            <w:tcBorders>
              <w:top w:val="single" w:sz="8" w:color="auto"/>
            </w:tcBorders>
            <w:gridSpan w:val="17"/>
          </w:tcPr>
          <w:p>
            <w:pPr>
              <w:spacing w:after="0" w:line="174" w:lineRule="exact"/>
              <w:rPr>
                <w:sz w:val="20"/>
                <w:szCs w:val="20"/>
                <w:color w:val="auto"/>
              </w:rPr>
            </w:pPr>
            <w:r>
              <w:rPr>
                <w:rFonts w:ascii="Arial" w:cs="Arial" w:eastAsia="Arial" w:hAnsi="Arial"/>
                <w:sz w:val="19"/>
                <w:szCs w:val="19"/>
                <w:color w:val="auto"/>
              </w:rPr>
              <w:t>10-Q for the quarter ended September 30, 2023 and incorporated herein by reference)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^10.42</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19"/>
          </w:tcPr>
          <w:p>
            <w:pPr>
              <w:spacing w:after="0"/>
              <w:rPr>
                <w:sz w:val="20"/>
                <w:szCs w:val="20"/>
                <w:color w:val="auto"/>
              </w:rPr>
            </w:pPr>
            <w:r>
              <w:rPr>
                <w:rFonts w:ascii="Arial" w:cs="Arial" w:eastAsia="Arial" w:hAnsi="Arial"/>
                <w:sz w:val="19"/>
                <w:szCs w:val="19"/>
                <w:color w:val="auto"/>
                <w:w w:val="93"/>
              </w:rPr>
              <w:t>Supplemental Agreement No. 10 to Purchase Agreement No. 03776, dated as of May 15, 2018,</w:t>
            </w: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20" w:type="dxa"/>
            <w:vAlign w:val="bottom"/>
            <w:tcBorders>
              <w:top w:val="single" w:sz="8" w:color="auto"/>
            </w:tcBorders>
            <w:gridSpan w:val="18"/>
          </w:tcPr>
          <w:p>
            <w:pPr>
              <w:spacing w:after="0" w:line="184" w:lineRule="exact"/>
              <w:rPr>
                <w:sz w:val="20"/>
                <w:szCs w:val="20"/>
                <w:color w:val="auto"/>
              </w:rPr>
            </w:pPr>
            <w:r>
              <w:rPr>
                <w:rFonts w:ascii="Arial" w:cs="Arial" w:eastAsia="Arial" w:hAnsi="Arial"/>
                <w:sz w:val="19"/>
                <w:szCs w:val="19"/>
                <w:color w:val="auto"/>
                <w:w w:val="96"/>
              </w:rPr>
              <w:t>between The Boeing Company and United Airlines, Inc. (filed as Exhibit 10.14 to UAL's Form</w:t>
            </w: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00" w:type="dxa"/>
            <w:vAlign w:val="bottom"/>
            <w:tcBorders>
              <w:top w:val="single" w:sz="8" w:color="auto"/>
            </w:tcBorders>
            <w:gridSpan w:val="17"/>
          </w:tcPr>
          <w:p>
            <w:pPr>
              <w:spacing w:after="0" w:line="174" w:lineRule="exact"/>
              <w:rPr>
                <w:sz w:val="20"/>
                <w:szCs w:val="20"/>
                <w:color w:val="auto"/>
              </w:rPr>
            </w:pPr>
            <w:r>
              <w:rPr>
                <w:rFonts w:ascii="Arial" w:cs="Arial" w:eastAsia="Arial" w:hAnsi="Arial"/>
                <w:sz w:val="19"/>
                <w:szCs w:val="19"/>
                <w:color w:val="auto"/>
              </w:rPr>
              <w:t>10-Q for the quarter ended September 30, 2023 and incorporated herein by reference)</w:t>
            </w:r>
          </w:p>
        </w:tc>
        <w:tc>
          <w:tcPr>
            <w:tcW w:w="40" w:type="dxa"/>
            <w:vAlign w:val="bottom"/>
            <w:gridSpan w:val="2"/>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^10.43</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19"/>
          </w:tcPr>
          <w:p>
            <w:pPr>
              <w:spacing w:after="0"/>
              <w:rPr>
                <w:sz w:val="20"/>
                <w:szCs w:val="20"/>
                <w:color w:val="auto"/>
              </w:rPr>
            </w:pPr>
            <w:r>
              <w:rPr>
                <w:rFonts w:ascii="Arial" w:cs="Arial" w:eastAsia="Arial" w:hAnsi="Arial"/>
                <w:sz w:val="19"/>
                <w:szCs w:val="19"/>
                <w:color w:val="auto"/>
                <w:w w:val="93"/>
              </w:rPr>
              <w:t>Supplemental Agreement No. 11 to Purchase Agreement No. 03776, dated as of September 25,</w:t>
            </w: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480" w:type="dxa"/>
            <w:vAlign w:val="bottom"/>
            <w:tcBorders>
              <w:top w:val="single" w:sz="8" w:color="auto"/>
              <w:bottom w:val="single" w:sz="8" w:color="auto"/>
            </w:tcBorders>
            <w:gridSpan w:val="16"/>
          </w:tcPr>
          <w:p>
            <w:pPr>
              <w:spacing w:after="0" w:line="184" w:lineRule="exact"/>
              <w:rPr>
                <w:sz w:val="20"/>
                <w:szCs w:val="20"/>
                <w:color w:val="auto"/>
              </w:rPr>
            </w:pPr>
            <w:r>
              <w:rPr>
                <w:rFonts w:ascii="Arial" w:cs="Arial" w:eastAsia="Arial" w:hAnsi="Arial"/>
                <w:sz w:val="19"/>
                <w:szCs w:val="19"/>
                <w:color w:val="auto"/>
                <w:w w:val="95"/>
              </w:rPr>
              <w:t>2018, between The Boeing Company and United Airlines, Inc. (filed as Exhibit 10.15 to UAL's</w:t>
            </w:r>
          </w:p>
        </w:tc>
        <w:tc>
          <w:tcPr>
            <w:tcW w:w="60" w:type="dxa"/>
            <w:vAlign w:val="bottom"/>
            <w:tcBorders>
              <w:bottom w:val="single" w:sz="8" w:color="auto"/>
            </w:tcBorders>
            <w:gridSpan w:val="3"/>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20" w:type="dxa"/>
            <w:vAlign w:val="bottom"/>
            <w:tcBorders>
              <w:bottom w:val="single" w:sz="8" w:color="auto"/>
            </w:tcBorders>
            <w:gridSpan w:val="4"/>
          </w:tcPr>
          <w:p>
            <w:pPr>
              <w:spacing w:after="0" w:line="174" w:lineRule="exact"/>
              <w:rPr>
                <w:sz w:val="20"/>
                <w:szCs w:val="20"/>
                <w:color w:val="auto"/>
              </w:rPr>
            </w:pPr>
            <w:r>
              <w:rPr>
                <w:rFonts w:ascii="Arial" w:cs="Arial" w:eastAsia="Arial" w:hAnsi="Arial"/>
                <w:sz w:val="19"/>
                <w:szCs w:val="19"/>
                <w:color w:val="auto"/>
                <w:w w:val="91"/>
              </w:rPr>
              <w:t>Form 10-Q for the quarter ended September 30, 2023 and incorporated herein by reference)</w:t>
            </w:r>
          </w:p>
        </w:tc>
        <w:tc>
          <w:tcPr>
            <w:tcW w:w="420" w:type="dxa"/>
            <w:vAlign w:val="bottom"/>
            <w:gridSpan w:val="15"/>
          </w:tcPr>
          <w:p>
            <w:pPr>
              <w:spacing w:after="0"/>
              <w:rPr>
                <w:sz w:val="15"/>
                <w:szCs w:val="15"/>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^10.44</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19"/>
          </w:tcPr>
          <w:p>
            <w:pPr>
              <w:spacing w:after="0"/>
              <w:rPr>
                <w:sz w:val="20"/>
                <w:szCs w:val="20"/>
                <w:color w:val="auto"/>
              </w:rPr>
            </w:pPr>
            <w:r>
              <w:rPr>
                <w:rFonts w:ascii="Arial" w:cs="Arial" w:eastAsia="Arial" w:hAnsi="Arial"/>
                <w:sz w:val="19"/>
                <w:szCs w:val="19"/>
                <w:color w:val="auto"/>
                <w:w w:val="93"/>
              </w:rPr>
              <w:t>Supplemental Agreement No. 12 to Purchase Agreement No. 03776, dated as of December 12,</w:t>
            </w: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440" w:type="dxa"/>
            <w:vAlign w:val="bottom"/>
            <w:tcBorders>
              <w:top w:val="single" w:sz="8" w:color="auto"/>
              <w:bottom w:val="single" w:sz="8" w:color="auto"/>
            </w:tcBorders>
            <w:gridSpan w:val="14"/>
          </w:tcPr>
          <w:p>
            <w:pPr>
              <w:spacing w:after="0" w:line="184" w:lineRule="exact"/>
              <w:rPr>
                <w:sz w:val="20"/>
                <w:szCs w:val="20"/>
                <w:color w:val="auto"/>
              </w:rPr>
            </w:pPr>
            <w:r>
              <w:rPr>
                <w:rFonts w:ascii="Arial" w:cs="Arial" w:eastAsia="Arial" w:hAnsi="Arial"/>
                <w:sz w:val="19"/>
                <w:szCs w:val="19"/>
                <w:color w:val="auto"/>
                <w:w w:val="94"/>
              </w:rPr>
              <w:t>2018, between The Boeing Company and United Airlines, Inc. (filed as Exhibit 10.16 to UAL's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gridSpan w:val="4"/>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40" w:type="dxa"/>
            <w:vAlign w:val="bottom"/>
            <w:gridSpan w:val="19"/>
          </w:tcPr>
          <w:p>
            <w:pPr>
              <w:spacing w:after="0" w:line="174" w:lineRule="exact"/>
              <w:rPr>
                <w:sz w:val="20"/>
                <w:szCs w:val="20"/>
                <w:color w:val="auto"/>
              </w:rPr>
            </w:pPr>
            <w:r>
              <w:rPr>
                <w:rFonts w:ascii="Arial" w:cs="Arial" w:eastAsia="Arial" w:hAnsi="Arial"/>
                <w:sz w:val="19"/>
                <w:szCs w:val="19"/>
                <w:color w:val="auto"/>
              </w:rPr>
              <w:t>Form 10-Q for the year ended September 30, 2023 and incorporated herein by reference)</w:t>
            </w: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^10.45</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140" w:type="dxa"/>
            <w:vAlign w:val="bottom"/>
            <w:tcBorders>
              <w:bottom w:val="single" w:sz="8" w:color="auto"/>
            </w:tcBorders>
            <w:gridSpan w:val="5"/>
          </w:tcPr>
          <w:p>
            <w:pPr>
              <w:spacing w:after="0"/>
              <w:rPr>
                <w:sz w:val="20"/>
                <w:szCs w:val="20"/>
                <w:color w:val="auto"/>
              </w:rPr>
            </w:pPr>
            <w:r>
              <w:rPr>
                <w:rFonts w:ascii="Arial" w:cs="Arial" w:eastAsia="Arial" w:hAnsi="Arial"/>
                <w:sz w:val="19"/>
                <w:szCs w:val="19"/>
                <w:color w:val="auto"/>
                <w:w w:val="92"/>
              </w:rPr>
              <w:t>Supplemental Agreement No. 13 to Purchase Agreement No. 03776, dated as of March 20,</w:t>
            </w:r>
          </w:p>
        </w:tc>
        <w:tc>
          <w:tcPr>
            <w:tcW w:w="400" w:type="dxa"/>
            <w:vAlign w:val="bottom"/>
            <w:gridSpan w:val="14"/>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40" w:type="dxa"/>
            <w:vAlign w:val="bottom"/>
            <w:gridSpan w:val="19"/>
          </w:tcPr>
          <w:p>
            <w:pPr>
              <w:spacing w:after="0" w:line="184" w:lineRule="exact"/>
              <w:rPr>
                <w:sz w:val="20"/>
                <w:szCs w:val="20"/>
                <w:color w:val="auto"/>
              </w:rPr>
            </w:pPr>
            <w:r>
              <w:rPr>
                <w:rFonts w:ascii="Arial" w:cs="Arial" w:eastAsia="Arial" w:hAnsi="Arial"/>
                <w:sz w:val="19"/>
                <w:szCs w:val="19"/>
                <w:color w:val="auto"/>
                <w:w w:val="97"/>
              </w:rPr>
              <w:t>2020, between The Boeing Company and United Airlines, Inc. (filed as Exhibit 10.7 to UAL's</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60" w:type="dxa"/>
            <w:vAlign w:val="bottom"/>
            <w:tcBorders>
              <w:top w:val="single" w:sz="8" w:color="auto"/>
              <w:bottom w:val="single" w:sz="8" w:color="auto"/>
            </w:tcBorders>
            <w:gridSpan w:val="3"/>
          </w:tcPr>
          <w:p>
            <w:pPr>
              <w:spacing w:after="0" w:line="174" w:lineRule="exact"/>
              <w:rPr>
                <w:sz w:val="20"/>
                <w:szCs w:val="20"/>
                <w:color w:val="auto"/>
              </w:rPr>
            </w:pPr>
            <w:r>
              <w:rPr>
                <w:rFonts w:ascii="Arial" w:cs="Arial" w:eastAsia="Arial" w:hAnsi="Arial"/>
                <w:sz w:val="19"/>
                <w:szCs w:val="19"/>
                <w:color w:val="auto"/>
                <w:w w:val="92"/>
              </w:rPr>
              <w:t>Form 10-Q for the quarter ended March 31, 2020 and incorporated herein by reference)</w:t>
            </w:r>
          </w:p>
        </w:tc>
        <w:tc>
          <w:tcPr>
            <w:tcW w:w="560" w:type="dxa"/>
            <w:vAlign w:val="bottom"/>
            <w:tcBorders>
              <w:top w:val="single" w:sz="8" w:color="auto"/>
            </w:tcBorders>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^10.46</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19"/>
          </w:tcPr>
          <w:p>
            <w:pPr>
              <w:spacing w:after="0"/>
              <w:rPr>
                <w:sz w:val="20"/>
                <w:szCs w:val="20"/>
                <w:color w:val="auto"/>
              </w:rPr>
            </w:pPr>
            <w:r>
              <w:rPr>
                <w:rFonts w:ascii="Arial" w:cs="Arial" w:eastAsia="Arial" w:hAnsi="Arial"/>
                <w:sz w:val="19"/>
                <w:szCs w:val="19"/>
                <w:color w:val="auto"/>
                <w:w w:val="92"/>
              </w:rPr>
              <w:t>Supplemental Agreement No. 14 to Purchase Agreement No. 03776, dated as of June 30, 2020,</w:t>
            </w: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20" w:type="dxa"/>
            <w:vAlign w:val="bottom"/>
            <w:tcBorders>
              <w:top w:val="single" w:sz="8" w:color="auto"/>
            </w:tcBorders>
            <w:gridSpan w:val="18"/>
          </w:tcPr>
          <w:p>
            <w:pPr>
              <w:spacing w:after="0" w:line="184" w:lineRule="exact"/>
              <w:rPr>
                <w:sz w:val="20"/>
                <w:szCs w:val="20"/>
                <w:color w:val="auto"/>
              </w:rPr>
            </w:pPr>
            <w:r>
              <w:rPr>
                <w:rFonts w:ascii="Arial" w:cs="Arial" w:eastAsia="Arial" w:hAnsi="Arial"/>
                <w:sz w:val="19"/>
                <w:szCs w:val="19"/>
                <w:color w:val="auto"/>
                <w:w w:val="97"/>
              </w:rPr>
              <w:t>between The Boeing Company and United Airlines, Inc. (filed as Exhibit 10.5 to UAL's Form</w:t>
            </w: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18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1"/>
              </w:rPr>
              <w:t>10-Q for the quarter ended June 30, 2020 and incorporated herein by reference)</w:t>
            </w:r>
          </w:p>
        </w:tc>
        <w:tc>
          <w:tcPr>
            <w:tcW w:w="1200" w:type="dxa"/>
            <w:vAlign w:val="bottom"/>
            <w:tcBorders>
              <w:top w:val="single" w:sz="8" w:color="auto"/>
            </w:tcBorders>
            <w:gridSpan w:val="10"/>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^10.47</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19"/>
          </w:tcPr>
          <w:p>
            <w:pPr>
              <w:spacing w:after="0"/>
              <w:rPr>
                <w:sz w:val="20"/>
                <w:szCs w:val="20"/>
                <w:color w:val="auto"/>
              </w:rPr>
            </w:pPr>
            <w:r>
              <w:rPr>
                <w:rFonts w:ascii="Arial" w:cs="Arial" w:eastAsia="Arial" w:hAnsi="Arial"/>
                <w:sz w:val="19"/>
                <w:szCs w:val="19"/>
                <w:color w:val="auto"/>
                <w:w w:val="95"/>
              </w:rPr>
              <w:t>Supplemental Agreement No. 15 to Purchase Agreement No. 03776, dated as of February 26,</w:t>
            </w: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340" w:type="dxa"/>
            <w:vAlign w:val="bottom"/>
            <w:tcBorders>
              <w:top w:val="single" w:sz="8" w:color="auto"/>
              <w:bottom w:val="single" w:sz="8" w:color="auto"/>
            </w:tcBorders>
            <w:gridSpan w:val="9"/>
          </w:tcPr>
          <w:p>
            <w:pPr>
              <w:spacing w:after="0" w:line="184" w:lineRule="exact"/>
              <w:rPr>
                <w:sz w:val="20"/>
                <w:szCs w:val="20"/>
                <w:color w:val="auto"/>
              </w:rPr>
            </w:pPr>
            <w:r>
              <w:rPr>
                <w:rFonts w:ascii="Arial" w:cs="Arial" w:eastAsia="Arial" w:hAnsi="Arial"/>
                <w:sz w:val="19"/>
                <w:szCs w:val="19"/>
                <w:color w:val="auto"/>
                <w:w w:val="93"/>
              </w:rPr>
              <w:t>2021, between The Boeing Company and United Airlines, Inc. (filed as Exhibit 10.17 to UAL's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gridSpan w:val="5"/>
          </w:tcPr>
          <w:p>
            <w:pPr>
              <w:spacing w:after="0"/>
              <w:rPr>
                <w:sz w:val="16"/>
                <w:szCs w:val="16"/>
                <w:color w:val="auto"/>
              </w:rPr>
            </w:pPr>
          </w:p>
        </w:tc>
        <w:tc>
          <w:tcPr>
            <w:tcW w:w="80" w:type="dxa"/>
            <w:vAlign w:val="bottom"/>
            <w:tcBorders>
              <w:bottom w:val="single" w:sz="8" w:color="auto"/>
            </w:tcBorders>
            <w:gridSpan w:val="4"/>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20" w:type="dxa"/>
            <w:vAlign w:val="bottom"/>
            <w:tcBorders>
              <w:bottom w:val="single" w:sz="8" w:color="auto"/>
            </w:tcBorders>
            <w:gridSpan w:val="4"/>
          </w:tcPr>
          <w:p>
            <w:pPr>
              <w:spacing w:after="0" w:line="174" w:lineRule="exact"/>
              <w:rPr>
                <w:sz w:val="20"/>
                <w:szCs w:val="20"/>
                <w:color w:val="auto"/>
              </w:rPr>
            </w:pPr>
            <w:r>
              <w:rPr>
                <w:rFonts w:ascii="Arial" w:cs="Arial" w:eastAsia="Arial" w:hAnsi="Arial"/>
                <w:sz w:val="19"/>
                <w:szCs w:val="19"/>
                <w:color w:val="auto"/>
                <w:w w:val="91"/>
              </w:rPr>
              <w:t>Form 10-Q for the quarter ended September 30, 2023 and incorporated herein by reference)</w:t>
            </w:r>
          </w:p>
        </w:tc>
        <w:tc>
          <w:tcPr>
            <w:tcW w:w="420" w:type="dxa"/>
            <w:vAlign w:val="bottom"/>
            <w:gridSpan w:val="15"/>
          </w:tcPr>
          <w:p>
            <w:pPr>
              <w:spacing w:after="0"/>
              <w:rPr>
                <w:sz w:val="15"/>
                <w:szCs w:val="15"/>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^10.48</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19"/>
          </w:tcPr>
          <w:p>
            <w:pPr>
              <w:spacing w:after="0"/>
              <w:rPr>
                <w:sz w:val="20"/>
                <w:szCs w:val="20"/>
                <w:color w:val="auto"/>
              </w:rPr>
            </w:pPr>
            <w:r>
              <w:rPr>
                <w:rFonts w:ascii="Arial" w:cs="Arial" w:eastAsia="Arial" w:hAnsi="Arial"/>
                <w:sz w:val="19"/>
                <w:szCs w:val="19"/>
                <w:color w:val="auto"/>
                <w:w w:val="92"/>
              </w:rPr>
              <w:t>Supplemental Agreement No. 16 to Purchase Agreement No. 03776, dated as of June 27, 2021,</w:t>
            </w: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20" w:type="dxa"/>
            <w:vAlign w:val="bottom"/>
            <w:tcBorders>
              <w:top w:val="single" w:sz="8" w:color="auto"/>
            </w:tcBorders>
            <w:gridSpan w:val="18"/>
          </w:tcPr>
          <w:p>
            <w:pPr>
              <w:spacing w:after="0" w:line="184" w:lineRule="exact"/>
              <w:rPr>
                <w:sz w:val="20"/>
                <w:szCs w:val="20"/>
                <w:color w:val="auto"/>
              </w:rPr>
            </w:pPr>
            <w:r>
              <w:rPr>
                <w:rFonts w:ascii="Arial" w:cs="Arial" w:eastAsia="Arial" w:hAnsi="Arial"/>
                <w:sz w:val="19"/>
                <w:szCs w:val="19"/>
                <w:color w:val="auto"/>
                <w:w w:val="97"/>
              </w:rPr>
              <w:t>between The Boeing Company and United Airlines, Inc. (filed as Exhibit 10.1 to UAL's Form</w:t>
            </w: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18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1"/>
              </w:rPr>
              <w:t>10-Q for the quarter ended June 30, 2021 and incorporated herein by reference)</w:t>
            </w:r>
          </w:p>
        </w:tc>
        <w:tc>
          <w:tcPr>
            <w:tcW w:w="1200" w:type="dxa"/>
            <w:vAlign w:val="bottom"/>
            <w:tcBorders>
              <w:top w:val="single" w:sz="8" w:color="auto"/>
            </w:tcBorders>
            <w:gridSpan w:val="10"/>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^10.49</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180" w:type="dxa"/>
            <w:vAlign w:val="bottom"/>
            <w:tcBorders>
              <w:bottom w:val="single" w:sz="8" w:color="auto"/>
            </w:tcBorders>
            <w:gridSpan w:val="6"/>
          </w:tcPr>
          <w:p>
            <w:pPr>
              <w:spacing w:after="0"/>
              <w:rPr>
                <w:sz w:val="20"/>
                <w:szCs w:val="20"/>
                <w:color w:val="auto"/>
              </w:rPr>
            </w:pPr>
            <w:r>
              <w:rPr>
                <w:rFonts w:ascii="Arial" w:cs="Arial" w:eastAsia="Arial" w:hAnsi="Arial"/>
                <w:sz w:val="19"/>
                <w:szCs w:val="19"/>
                <w:color w:val="auto"/>
                <w:w w:val="92"/>
              </w:rPr>
              <w:t>Supplemental Agreement No. 17 to Purchase Agreement No. 03776, dated as of August 12,</w:t>
            </w:r>
          </w:p>
        </w:tc>
        <w:tc>
          <w:tcPr>
            <w:tcW w:w="360" w:type="dxa"/>
            <w:vAlign w:val="bottom"/>
            <w:gridSpan w:val="13"/>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40" w:type="dxa"/>
            <w:vAlign w:val="bottom"/>
            <w:gridSpan w:val="19"/>
          </w:tcPr>
          <w:p>
            <w:pPr>
              <w:spacing w:after="0" w:line="184" w:lineRule="exact"/>
              <w:rPr>
                <w:sz w:val="20"/>
                <w:szCs w:val="20"/>
                <w:color w:val="auto"/>
              </w:rPr>
            </w:pPr>
            <w:r>
              <w:rPr>
                <w:rFonts w:ascii="Arial" w:cs="Arial" w:eastAsia="Arial" w:hAnsi="Arial"/>
                <w:sz w:val="19"/>
                <w:szCs w:val="19"/>
                <w:color w:val="auto"/>
                <w:w w:val="97"/>
              </w:rPr>
              <w:t>2021, between The Boeing Company and United Airlines, Inc. (filed as Exhibit 10.1 to UAL's</w:t>
            </w: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20" w:type="dxa"/>
            <w:vAlign w:val="bottom"/>
            <w:tcBorders>
              <w:top w:val="single" w:sz="8" w:color="auto"/>
              <w:bottom w:val="single" w:sz="8" w:color="auto"/>
            </w:tcBorders>
            <w:gridSpan w:val="4"/>
          </w:tcPr>
          <w:p>
            <w:pPr>
              <w:spacing w:after="0" w:line="174" w:lineRule="exact"/>
              <w:rPr>
                <w:sz w:val="20"/>
                <w:szCs w:val="20"/>
                <w:color w:val="auto"/>
              </w:rPr>
            </w:pPr>
            <w:r>
              <w:rPr>
                <w:rFonts w:ascii="Arial" w:cs="Arial" w:eastAsia="Arial" w:hAnsi="Arial"/>
                <w:sz w:val="19"/>
                <w:szCs w:val="19"/>
                <w:color w:val="auto"/>
                <w:w w:val="91"/>
              </w:rPr>
              <w:t>Form 10-Q for the quarter ended September 30, 2021 and incorporated herein by reference)</w:t>
            </w:r>
          </w:p>
        </w:tc>
        <w:tc>
          <w:tcPr>
            <w:tcW w:w="300" w:type="dxa"/>
            <w:vAlign w:val="bottom"/>
            <w:tcBorders>
              <w:top w:val="single" w:sz="8" w:color="auto"/>
            </w:tcBorders>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^10.50</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19"/>
          </w:tcPr>
          <w:p>
            <w:pPr>
              <w:spacing w:after="0"/>
              <w:rPr>
                <w:sz w:val="20"/>
                <w:szCs w:val="20"/>
                <w:color w:val="auto"/>
              </w:rPr>
            </w:pPr>
            <w:r>
              <w:rPr>
                <w:rFonts w:ascii="Arial" w:cs="Arial" w:eastAsia="Arial" w:hAnsi="Arial"/>
                <w:sz w:val="19"/>
                <w:szCs w:val="19"/>
                <w:color w:val="auto"/>
                <w:w w:val="94"/>
              </w:rPr>
              <w:t>Supplemental Agreement No. 18 to Purchase Agreement No. 03776, dated as of September 8,</w:t>
            </w: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360" w:type="dxa"/>
            <w:vAlign w:val="bottom"/>
            <w:tcBorders>
              <w:top w:val="single" w:sz="8" w:color="auto"/>
            </w:tcBorders>
            <w:gridSpan w:val="10"/>
          </w:tcPr>
          <w:p>
            <w:pPr>
              <w:spacing w:after="0" w:line="184" w:lineRule="exact"/>
              <w:rPr>
                <w:sz w:val="20"/>
                <w:szCs w:val="20"/>
                <w:color w:val="auto"/>
              </w:rPr>
            </w:pPr>
            <w:r>
              <w:rPr>
                <w:rFonts w:ascii="Arial" w:cs="Arial" w:eastAsia="Arial" w:hAnsi="Arial"/>
                <w:sz w:val="19"/>
                <w:szCs w:val="19"/>
                <w:color w:val="auto"/>
                <w:w w:val="95"/>
              </w:rPr>
              <w:t>2021, between The Boeing Company and United Airlines, Inc. (filed as Exhibit 10.2 to UAL's</w:t>
            </w:r>
          </w:p>
        </w:tc>
        <w:tc>
          <w:tcPr>
            <w:tcW w:w="100" w:type="dxa"/>
            <w:vAlign w:val="bottom"/>
            <w:gridSpan w:val="5"/>
          </w:tcPr>
          <w:p>
            <w:pPr>
              <w:spacing w:after="0"/>
              <w:rPr>
                <w:sz w:val="16"/>
                <w:szCs w:val="16"/>
                <w:color w:val="auto"/>
              </w:rPr>
            </w:pPr>
          </w:p>
        </w:tc>
        <w:tc>
          <w:tcPr>
            <w:tcW w:w="80" w:type="dxa"/>
            <w:vAlign w:val="bottom"/>
            <w:gridSpan w:val="4"/>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20" w:type="dxa"/>
            <w:vAlign w:val="bottom"/>
            <w:tcBorders>
              <w:top w:val="single" w:sz="8" w:color="auto"/>
              <w:bottom w:val="single" w:sz="8" w:color="auto"/>
            </w:tcBorders>
            <w:gridSpan w:val="4"/>
          </w:tcPr>
          <w:p>
            <w:pPr>
              <w:spacing w:after="0" w:line="174" w:lineRule="exact"/>
              <w:rPr>
                <w:sz w:val="20"/>
                <w:szCs w:val="20"/>
                <w:color w:val="auto"/>
              </w:rPr>
            </w:pPr>
            <w:r>
              <w:rPr>
                <w:rFonts w:ascii="Arial" w:cs="Arial" w:eastAsia="Arial" w:hAnsi="Arial"/>
                <w:sz w:val="19"/>
                <w:szCs w:val="19"/>
                <w:color w:val="auto"/>
                <w:w w:val="91"/>
              </w:rPr>
              <w:t>Form 10-Q for the quarter ended September 30, 2021 and incorporated herein by reference)</w:t>
            </w:r>
          </w:p>
        </w:tc>
        <w:tc>
          <w:tcPr>
            <w:tcW w:w="300" w:type="dxa"/>
            <w:vAlign w:val="bottom"/>
            <w:tcBorders>
              <w:top w:val="single" w:sz="8" w:color="auto"/>
            </w:tcBorders>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^10.51</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19"/>
          </w:tcPr>
          <w:p>
            <w:pPr>
              <w:spacing w:after="0"/>
              <w:rPr>
                <w:sz w:val="20"/>
                <w:szCs w:val="20"/>
                <w:color w:val="auto"/>
              </w:rPr>
            </w:pPr>
            <w:r>
              <w:rPr>
                <w:rFonts w:ascii="Arial" w:cs="Arial" w:eastAsia="Arial" w:hAnsi="Arial"/>
                <w:sz w:val="19"/>
                <w:szCs w:val="19"/>
                <w:color w:val="auto"/>
                <w:w w:val="93"/>
              </w:rPr>
              <w:t>Supplemental Agreement No. 19 to Purchase Agreement No. 03776, dated as of November 30,</w:t>
            </w: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460" w:type="dxa"/>
            <w:vAlign w:val="bottom"/>
            <w:tcBorders>
              <w:top w:val="single" w:sz="8" w:color="auto"/>
              <w:bottom w:val="single" w:sz="8" w:color="auto"/>
            </w:tcBorders>
            <w:gridSpan w:val="15"/>
          </w:tcPr>
          <w:p>
            <w:pPr>
              <w:spacing w:after="0" w:line="184" w:lineRule="exact"/>
              <w:rPr>
                <w:sz w:val="20"/>
                <w:szCs w:val="20"/>
                <w:color w:val="auto"/>
              </w:rPr>
            </w:pPr>
            <w:r>
              <w:rPr>
                <w:rFonts w:ascii="Arial" w:cs="Arial" w:eastAsia="Arial" w:hAnsi="Arial"/>
                <w:sz w:val="19"/>
                <w:szCs w:val="19"/>
                <w:color w:val="auto"/>
                <w:w w:val="95"/>
              </w:rPr>
              <w:t>2021, between The Boeing Company and United Airlines, Inc. (filed as Exhibit 10.53 to UAL's</w:t>
            </w:r>
          </w:p>
        </w:tc>
        <w:tc>
          <w:tcPr>
            <w:tcW w:w="80" w:type="dxa"/>
            <w:vAlign w:val="bottom"/>
            <w:tcBorders>
              <w:bottom w:val="single" w:sz="8" w:color="auto"/>
            </w:tcBorders>
            <w:gridSpan w:val="4"/>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40" w:type="dxa"/>
            <w:vAlign w:val="bottom"/>
            <w:gridSpan w:val="19"/>
          </w:tcPr>
          <w:p>
            <w:pPr>
              <w:spacing w:after="0" w:line="174" w:lineRule="exact"/>
              <w:rPr>
                <w:sz w:val="20"/>
                <w:szCs w:val="20"/>
                <w:color w:val="auto"/>
              </w:rPr>
            </w:pPr>
            <w:r>
              <w:rPr>
                <w:rFonts w:ascii="Arial" w:cs="Arial" w:eastAsia="Arial" w:hAnsi="Arial"/>
                <w:sz w:val="19"/>
                <w:szCs w:val="19"/>
                <w:color w:val="auto"/>
              </w:rPr>
              <w:t>Form 10-K for the year ended December 31, 2021 and incorporated herein by reference)</w:t>
            </w: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540"/>
          </w:cols>
          <w:pgMar w:left="1020" w:top="614" w:right="1320" w:bottom="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103</w:t>
      </w:r>
    </w:p>
    <w:p>
      <w:pPr>
        <w:sectPr>
          <w:pgSz w:w="11880" w:h="15480" w:orient="portrait"/>
          <w:cols w:equalWidth="0" w:num="1">
            <w:col w:w="9540"/>
          </w:cols>
          <w:pgMar w:left="1020" w:top="614" w:right="1320" w:bottom="45"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24"/>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^10.52</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00" w:type="dxa"/>
            <w:vAlign w:val="bottom"/>
            <w:gridSpan w:val="27"/>
          </w:tcPr>
          <w:p>
            <w:pPr>
              <w:spacing w:after="0"/>
              <w:rPr>
                <w:sz w:val="20"/>
                <w:szCs w:val="20"/>
                <w:color w:val="auto"/>
              </w:rPr>
            </w:pPr>
            <w:r>
              <w:rPr>
                <w:rFonts w:ascii="Arial" w:cs="Arial" w:eastAsia="Arial" w:hAnsi="Arial"/>
                <w:sz w:val="19"/>
                <w:szCs w:val="19"/>
                <w:color w:val="auto"/>
                <w:w w:val="92"/>
              </w:rPr>
              <w:t>Supplemental Agreement No. 20 to Purchase Agreement No. 03776, dated as of June 30, 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480" w:type="dxa"/>
            <w:vAlign w:val="bottom"/>
            <w:tcBorders>
              <w:top w:val="single" w:sz="8" w:color="auto"/>
            </w:tcBorders>
            <w:gridSpan w:val="22"/>
          </w:tcPr>
          <w:p>
            <w:pPr>
              <w:spacing w:after="0" w:line="184" w:lineRule="exact"/>
              <w:rPr>
                <w:sz w:val="20"/>
                <w:szCs w:val="20"/>
                <w:color w:val="auto"/>
              </w:rPr>
            </w:pPr>
            <w:r>
              <w:rPr>
                <w:rFonts w:ascii="Arial" w:cs="Arial" w:eastAsia="Arial" w:hAnsi="Arial"/>
                <w:sz w:val="19"/>
                <w:szCs w:val="19"/>
                <w:color w:val="auto"/>
                <w:w w:val="96"/>
              </w:rPr>
              <w:t>between The Boeing Company and United Airlines, Inc. (filed as Exhibit 10.1 to UAL's Form</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37"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180" w:type="dxa"/>
            <w:vAlign w:val="bottom"/>
            <w:tcBorders>
              <w:top w:val="single" w:sz="8" w:color="auto"/>
              <w:bottom w:val="single" w:sz="8" w:color="auto"/>
            </w:tcBorders>
            <w:gridSpan w:val="6"/>
          </w:tcPr>
          <w:p>
            <w:pPr>
              <w:spacing w:after="0" w:line="174" w:lineRule="exact"/>
              <w:rPr>
                <w:sz w:val="20"/>
                <w:szCs w:val="20"/>
                <w:color w:val="auto"/>
              </w:rPr>
            </w:pPr>
            <w:r>
              <w:rPr>
                <w:rFonts w:ascii="Arial" w:cs="Arial" w:eastAsia="Arial" w:hAnsi="Arial"/>
                <w:sz w:val="19"/>
                <w:szCs w:val="19"/>
                <w:color w:val="auto"/>
                <w:w w:val="91"/>
              </w:rPr>
              <w:t>10-Q for the quarter ended June 30, 2022 and incorporated herein by reference)</w:t>
            </w:r>
          </w:p>
        </w:tc>
        <w:tc>
          <w:tcPr>
            <w:tcW w:w="1180" w:type="dxa"/>
            <w:vAlign w:val="bottom"/>
            <w:tcBorders>
              <w:top w:val="single" w:sz="8" w:color="auto"/>
            </w:tcBorders>
            <w:gridSpan w:val="11"/>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37"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^10.53</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00" w:type="dxa"/>
            <w:vAlign w:val="bottom"/>
            <w:gridSpan w:val="27"/>
          </w:tcPr>
          <w:p>
            <w:pPr>
              <w:spacing w:after="0"/>
              <w:rPr>
                <w:sz w:val="20"/>
                <w:szCs w:val="20"/>
                <w:color w:val="auto"/>
              </w:rPr>
            </w:pPr>
            <w:r>
              <w:rPr>
                <w:rFonts w:ascii="Arial" w:cs="Arial" w:eastAsia="Arial" w:hAnsi="Arial"/>
                <w:sz w:val="19"/>
                <w:szCs w:val="19"/>
                <w:color w:val="auto"/>
                <w:w w:val="93"/>
              </w:rPr>
              <w:t>Supplemental Agreement No. 21 to Purchase Agreement No. 03776, dated as of December 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420" w:type="dxa"/>
            <w:vAlign w:val="bottom"/>
            <w:tcBorders>
              <w:top w:val="single" w:sz="8" w:color="auto"/>
              <w:bottom w:val="single" w:sz="8" w:color="auto"/>
            </w:tcBorders>
            <w:gridSpan w:val="19"/>
          </w:tcPr>
          <w:p>
            <w:pPr>
              <w:spacing w:after="0" w:line="184" w:lineRule="exact"/>
              <w:rPr>
                <w:sz w:val="20"/>
                <w:szCs w:val="20"/>
                <w:color w:val="auto"/>
              </w:rPr>
            </w:pPr>
            <w:r>
              <w:rPr>
                <w:rFonts w:ascii="Arial" w:cs="Arial" w:eastAsia="Arial" w:hAnsi="Arial"/>
                <w:sz w:val="19"/>
                <w:szCs w:val="19"/>
                <w:color w:val="auto"/>
                <w:w w:val="94"/>
              </w:rPr>
              <w:t>2023, between The Boeing Company and United Airlines, Inc. (filed as Exhibit 10.55 to UAL's</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294967237"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40" w:type="dxa"/>
            <w:vAlign w:val="bottom"/>
            <w:gridSpan w:val="25"/>
          </w:tcPr>
          <w:p>
            <w:pPr>
              <w:spacing w:after="0" w:line="174" w:lineRule="exact"/>
              <w:rPr>
                <w:sz w:val="20"/>
                <w:szCs w:val="20"/>
                <w:color w:val="auto"/>
              </w:rPr>
            </w:pPr>
            <w:r>
              <w:rPr>
                <w:rFonts w:ascii="Arial" w:cs="Arial" w:eastAsia="Arial" w:hAnsi="Arial"/>
                <w:sz w:val="19"/>
                <w:szCs w:val="19"/>
                <w:color w:val="auto"/>
              </w:rPr>
              <w:t>Form 10-K for the year ended December 31, 2023 and incorporated herein by reference)</w:t>
            </w:r>
          </w:p>
        </w:tc>
        <w:tc>
          <w:tcPr>
            <w:tcW w:w="20" w:type="dxa"/>
            <w:vAlign w:val="bottom"/>
          </w:tcPr>
          <w:p>
            <w:pPr>
              <w:spacing w:after="0"/>
              <w:rPr>
                <w:sz w:val="15"/>
                <w:szCs w:val="15"/>
                <w:color w:val="auto"/>
              </w:rPr>
            </w:pPr>
          </w:p>
        </w:tc>
        <w:tc>
          <w:tcPr>
            <w:tcW w:w="4294967237"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right"/>
              <w:ind w:right="183"/>
              <w:spacing w:after="0"/>
              <w:rPr>
                <w:sz w:val="20"/>
                <w:szCs w:val="20"/>
                <w:color w:val="auto"/>
              </w:rPr>
            </w:pPr>
            <w:r>
              <w:rPr>
                <w:rFonts w:ascii="Arial" w:cs="Arial" w:eastAsia="Arial" w:hAnsi="Arial"/>
                <w:sz w:val="19"/>
                <w:szCs w:val="19"/>
                <w:color w:val="auto"/>
                <w:w w:val="88"/>
              </w:rPr>
              <w:t>^10.54</w:t>
            </w:r>
          </w:p>
        </w:tc>
        <w:tc>
          <w:tcPr>
            <w:tcW w:w="1280" w:type="dxa"/>
            <w:vAlign w:val="bottom"/>
            <w:vMerge w:val="restart"/>
          </w:tcPr>
          <w:p>
            <w:pPr>
              <w:ind w:left="280"/>
              <w:spacing w:after="0"/>
              <w:rPr>
                <w:sz w:val="20"/>
                <w:szCs w:val="20"/>
                <w:color w:val="auto"/>
              </w:rPr>
            </w:pPr>
            <w:r>
              <w:rPr>
                <w:rFonts w:ascii="Arial" w:cs="Arial" w:eastAsia="Arial" w:hAnsi="Arial"/>
                <w:sz w:val="19"/>
                <w:szCs w:val="19"/>
                <w:color w:val="auto"/>
              </w:rPr>
              <w:t>UAL</w:t>
            </w:r>
          </w:p>
        </w:tc>
        <w:tc>
          <w:tcPr>
            <w:tcW w:w="1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0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7500" w:type="dxa"/>
            <w:vAlign w:val="bottom"/>
            <w:tcBorders>
              <w:bottom w:val="single" w:sz="8" w:color="auto"/>
            </w:tcBorders>
            <w:gridSpan w:val="27"/>
          </w:tcPr>
          <w:p>
            <w:pPr>
              <w:spacing w:after="0"/>
              <w:rPr>
                <w:sz w:val="20"/>
                <w:szCs w:val="20"/>
                <w:color w:val="auto"/>
              </w:rPr>
            </w:pPr>
            <w:r>
              <w:rPr>
                <w:rFonts w:ascii="Arial" w:cs="Arial" w:eastAsia="Arial" w:hAnsi="Arial"/>
                <w:sz w:val="19"/>
                <w:szCs w:val="19"/>
                <w:color w:val="auto"/>
                <w:w w:val="93"/>
              </w:rPr>
              <w:t>Letter Agreement No. 6-1162-KKT-080R2, dated as of December 12, 2022, among The Boeing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240" w:type="dxa"/>
            <w:vAlign w:val="bottom"/>
            <w:tcBorders>
              <w:bottom w:val="single" w:sz="8" w:color="auto"/>
            </w:tcBorders>
            <w:gridSpan w:val="12"/>
          </w:tcPr>
          <w:p>
            <w:pPr>
              <w:spacing w:after="0" w:line="184" w:lineRule="exact"/>
              <w:rPr>
                <w:sz w:val="20"/>
                <w:szCs w:val="20"/>
                <w:color w:val="auto"/>
              </w:rPr>
            </w:pPr>
            <w:r>
              <w:rPr>
                <w:rFonts w:ascii="Arial" w:cs="Arial" w:eastAsia="Arial" w:hAnsi="Arial"/>
                <w:sz w:val="19"/>
                <w:szCs w:val="19"/>
                <w:color w:val="auto"/>
                <w:w w:val="96"/>
              </w:rPr>
              <w:t>Company, United Airlines Holdings, Inc. and United Airlines, Inc. (filed as Exhibit 10.59 to</w:t>
            </w:r>
          </w:p>
        </w:tc>
        <w:tc>
          <w:tcPr>
            <w:tcW w:w="260" w:type="dxa"/>
            <w:vAlign w:val="bottom"/>
            <w:gridSpan w:val="15"/>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60" w:type="dxa"/>
            <w:vAlign w:val="bottom"/>
            <w:tcBorders>
              <w:bottom w:val="single" w:sz="8" w:color="auto"/>
            </w:tcBorders>
            <w:gridSpan w:val="21"/>
          </w:tcPr>
          <w:p>
            <w:pPr>
              <w:spacing w:after="0" w:line="174" w:lineRule="exact"/>
              <w:rPr>
                <w:sz w:val="20"/>
                <w:szCs w:val="20"/>
                <w:color w:val="auto"/>
              </w:rPr>
            </w:pPr>
            <w:r>
              <w:rPr>
                <w:rFonts w:ascii="Arial" w:cs="Arial" w:eastAsia="Arial" w:hAnsi="Arial"/>
                <w:sz w:val="19"/>
                <w:szCs w:val="19"/>
                <w:color w:val="auto"/>
                <w:w w:val="93"/>
              </w:rPr>
              <w:t>UAL's Form 10-K for the year ended December 31, 2022 and incorporated herein by reference)</w:t>
            </w:r>
          </w:p>
        </w:tc>
        <w:tc>
          <w:tcPr>
            <w:tcW w:w="4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^10.55</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00" w:type="dxa"/>
            <w:vAlign w:val="bottom"/>
            <w:tcBorders>
              <w:bottom w:val="single" w:sz="8" w:color="auto"/>
            </w:tcBorders>
            <w:gridSpan w:val="27"/>
          </w:tcPr>
          <w:p>
            <w:pPr>
              <w:spacing w:after="0"/>
              <w:rPr>
                <w:sz w:val="20"/>
                <w:szCs w:val="20"/>
                <w:color w:val="auto"/>
              </w:rPr>
            </w:pPr>
            <w:r>
              <w:rPr>
                <w:rFonts w:ascii="Arial" w:cs="Arial" w:eastAsia="Arial" w:hAnsi="Arial"/>
                <w:sz w:val="19"/>
                <w:szCs w:val="19"/>
                <w:color w:val="auto"/>
                <w:w w:val="91"/>
              </w:rPr>
              <w:t>Purchase Agreement No. 3860, dated as of September 27, 2012, between The Boeing Company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00" w:type="dxa"/>
            <w:vAlign w:val="bottom"/>
            <w:gridSpan w:val="27"/>
          </w:tcPr>
          <w:p>
            <w:pPr>
              <w:spacing w:after="0" w:line="184" w:lineRule="exact"/>
              <w:rPr>
                <w:sz w:val="20"/>
                <w:szCs w:val="20"/>
                <w:color w:val="auto"/>
              </w:rPr>
            </w:pPr>
            <w:r>
              <w:rPr>
                <w:rFonts w:ascii="Arial" w:cs="Arial" w:eastAsia="Arial" w:hAnsi="Arial"/>
                <w:sz w:val="19"/>
                <w:szCs w:val="19"/>
                <w:color w:val="auto"/>
                <w:w w:val="98"/>
              </w:rPr>
              <w:t>and United Air Lines, Inc. (filed as Exhibit 10.18 to UAL's Form 10-Q for the quarter ended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540" w:type="dxa"/>
            <w:vAlign w:val="bottom"/>
            <w:tcBorders>
              <w:top w:val="single" w:sz="8" w:color="auto"/>
              <w:bottom w:val="single" w:sz="8" w:color="auto"/>
            </w:tcBorders>
            <w:gridSpan w:val="3"/>
          </w:tcPr>
          <w:p>
            <w:pPr>
              <w:spacing w:after="0" w:line="174" w:lineRule="exact"/>
              <w:rPr>
                <w:sz w:val="20"/>
                <w:szCs w:val="20"/>
                <w:color w:val="auto"/>
              </w:rPr>
            </w:pPr>
            <w:r>
              <w:rPr>
                <w:rFonts w:ascii="Arial" w:cs="Arial" w:eastAsia="Arial" w:hAnsi="Arial"/>
                <w:sz w:val="19"/>
                <w:szCs w:val="19"/>
                <w:color w:val="auto"/>
                <w:w w:val="91"/>
              </w:rPr>
              <w:t>September 30, 2023 and incorporated herein by reference)</w:t>
            </w:r>
          </w:p>
        </w:tc>
        <w:tc>
          <w:tcPr>
            <w:tcW w:w="2700" w:type="dxa"/>
            <w:vAlign w:val="bottom"/>
            <w:tcBorders>
              <w:top w:val="single" w:sz="8" w:color="auto"/>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294967237"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^10.56</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00" w:type="dxa"/>
            <w:vAlign w:val="bottom"/>
            <w:tcBorders>
              <w:bottom w:val="single" w:sz="8" w:color="auto"/>
            </w:tcBorders>
            <w:gridSpan w:val="27"/>
          </w:tcPr>
          <w:p>
            <w:pPr>
              <w:spacing w:after="0"/>
              <w:rPr>
                <w:sz w:val="20"/>
                <w:szCs w:val="20"/>
                <w:color w:val="auto"/>
              </w:rPr>
            </w:pPr>
            <w:r>
              <w:rPr>
                <w:rFonts w:ascii="Arial" w:cs="Arial" w:eastAsia="Arial" w:hAnsi="Arial"/>
                <w:sz w:val="19"/>
                <w:szCs w:val="19"/>
                <w:color w:val="auto"/>
                <w:w w:val="91"/>
              </w:rPr>
              <w:t>Supplemental Agreement No. 1 to Purchase Agreement No. 3860, dated June 17, 2013, between</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00" w:type="dxa"/>
            <w:vAlign w:val="bottom"/>
            <w:gridSpan w:val="27"/>
          </w:tcPr>
          <w:p>
            <w:pPr>
              <w:spacing w:after="0" w:line="184" w:lineRule="exact"/>
              <w:rPr>
                <w:sz w:val="20"/>
                <w:szCs w:val="20"/>
                <w:color w:val="auto"/>
              </w:rPr>
            </w:pPr>
            <w:r>
              <w:rPr>
                <w:rFonts w:ascii="Arial" w:cs="Arial" w:eastAsia="Arial" w:hAnsi="Arial"/>
                <w:sz w:val="19"/>
                <w:szCs w:val="19"/>
                <w:color w:val="auto"/>
                <w:w w:val="96"/>
              </w:rPr>
              <w:t>The Boeing Company and United Airlines, Inc. (filed as Exhibit 10.19 to UAL's Form 10-Q for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60" w:type="dxa"/>
            <w:vAlign w:val="bottom"/>
            <w:tcBorders>
              <w:top w:val="single" w:sz="8" w:color="auto"/>
            </w:tcBorders>
            <w:gridSpan w:val="26"/>
          </w:tcPr>
          <w:p>
            <w:pPr>
              <w:spacing w:after="0" w:line="174" w:lineRule="exact"/>
              <w:rPr>
                <w:sz w:val="20"/>
                <w:szCs w:val="20"/>
                <w:color w:val="auto"/>
              </w:rPr>
            </w:pPr>
            <w:r>
              <w:rPr>
                <w:rFonts w:ascii="Arial" w:cs="Arial" w:eastAsia="Arial" w:hAnsi="Arial"/>
                <w:sz w:val="19"/>
                <w:szCs w:val="19"/>
                <w:color w:val="auto"/>
              </w:rPr>
              <w:t>the quarter ended September 30, 2023 and incorporated herein by reference)</w:t>
            </w:r>
          </w:p>
        </w:tc>
        <w:tc>
          <w:tcPr>
            <w:tcW w:w="4294967237"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^10.57</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280" w:type="dxa"/>
            <w:vAlign w:val="bottom"/>
            <w:tcBorders>
              <w:bottom w:val="single" w:sz="8" w:color="auto"/>
            </w:tcBorders>
            <w:gridSpan w:val="14"/>
          </w:tcPr>
          <w:p>
            <w:pPr>
              <w:spacing w:after="0"/>
              <w:rPr>
                <w:sz w:val="20"/>
                <w:szCs w:val="20"/>
                <w:color w:val="auto"/>
              </w:rPr>
            </w:pPr>
            <w:r>
              <w:rPr>
                <w:rFonts w:ascii="Arial" w:cs="Arial" w:eastAsia="Arial" w:hAnsi="Arial"/>
                <w:sz w:val="19"/>
                <w:szCs w:val="19"/>
                <w:color w:val="auto"/>
                <w:w w:val="92"/>
              </w:rPr>
              <w:t>Supplemental Agreement No. 2 to Purchase Agreement No. 3860, dated December 16, 2013,</w:t>
            </w:r>
          </w:p>
        </w:tc>
        <w:tc>
          <w:tcPr>
            <w:tcW w:w="22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00" w:type="dxa"/>
            <w:vAlign w:val="bottom"/>
            <w:gridSpan w:val="27"/>
          </w:tcPr>
          <w:p>
            <w:pPr>
              <w:spacing w:after="0" w:line="184" w:lineRule="exact"/>
              <w:rPr>
                <w:sz w:val="20"/>
                <w:szCs w:val="20"/>
                <w:color w:val="auto"/>
              </w:rPr>
            </w:pPr>
            <w:r>
              <w:rPr>
                <w:rFonts w:ascii="Arial" w:cs="Arial" w:eastAsia="Arial" w:hAnsi="Arial"/>
                <w:sz w:val="19"/>
                <w:szCs w:val="19"/>
                <w:color w:val="auto"/>
                <w:w w:val="95"/>
              </w:rPr>
              <w:t>between The Boeing Company and United Airlines, Inc. (filed as Exhibit 10.20 to UAL's Form</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60" w:type="dxa"/>
            <w:vAlign w:val="bottom"/>
            <w:tcBorders>
              <w:top w:val="single" w:sz="8" w:color="auto"/>
            </w:tcBorders>
            <w:gridSpan w:val="21"/>
          </w:tcPr>
          <w:p>
            <w:pPr>
              <w:spacing w:after="0" w:line="174" w:lineRule="exact"/>
              <w:rPr>
                <w:sz w:val="20"/>
                <w:szCs w:val="20"/>
                <w:color w:val="auto"/>
              </w:rPr>
            </w:pPr>
            <w:r>
              <w:rPr>
                <w:rFonts w:ascii="Arial" w:cs="Arial" w:eastAsia="Arial" w:hAnsi="Arial"/>
                <w:sz w:val="19"/>
                <w:szCs w:val="19"/>
                <w:color w:val="auto"/>
              </w:rPr>
              <w:t>10-Q for the quarter ended September 30, 2023 and incorporated herein by reference)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c>
          <w:tcPr>
            <w:tcW w:w="100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^10.58</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260" w:type="dxa"/>
            <w:vAlign w:val="bottom"/>
            <w:tcBorders>
              <w:bottom w:val="single" w:sz="8" w:color="auto"/>
            </w:tcBorders>
            <w:gridSpan w:val="13"/>
          </w:tcPr>
          <w:p>
            <w:pPr>
              <w:spacing w:after="0"/>
              <w:rPr>
                <w:sz w:val="20"/>
                <w:szCs w:val="20"/>
                <w:color w:val="auto"/>
              </w:rPr>
            </w:pPr>
            <w:r>
              <w:rPr>
                <w:rFonts w:ascii="Arial" w:cs="Arial" w:eastAsia="Arial" w:hAnsi="Arial"/>
                <w:sz w:val="19"/>
                <w:szCs w:val="19"/>
                <w:color w:val="auto"/>
                <w:w w:val="92"/>
              </w:rPr>
              <w:t>Supplemental Agreement No. 3 to Purchase Agreement No. 3860, dated as of July 22, 2014,</w:t>
            </w:r>
          </w:p>
        </w:tc>
        <w:tc>
          <w:tcPr>
            <w:tcW w:w="240" w:type="dxa"/>
            <w:vAlign w:val="bottom"/>
            <w:gridSpan w:val="14"/>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00" w:type="dxa"/>
            <w:vAlign w:val="bottom"/>
            <w:gridSpan w:val="27"/>
          </w:tcPr>
          <w:p>
            <w:pPr>
              <w:spacing w:after="0" w:line="184" w:lineRule="exact"/>
              <w:rPr>
                <w:sz w:val="20"/>
                <w:szCs w:val="20"/>
                <w:color w:val="auto"/>
              </w:rPr>
            </w:pPr>
            <w:r>
              <w:rPr>
                <w:rFonts w:ascii="Arial" w:cs="Arial" w:eastAsia="Arial" w:hAnsi="Arial"/>
                <w:sz w:val="19"/>
                <w:szCs w:val="19"/>
                <w:color w:val="auto"/>
                <w:w w:val="95"/>
              </w:rPr>
              <w:t>between The Boeing Company and United Airlines, Inc. (filed as Exhibit 10.21 to UAL's Form</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60" w:type="dxa"/>
            <w:vAlign w:val="bottom"/>
            <w:tcBorders>
              <w:top w:val="single" w:sz="8" w:color="auto"/>
            </w:tcBorders>
            <w:gridSpan w:val="21"/>
          </w:tcPr>
          <w:p>
            <w:pPr>
              <w:spacing w:after="0" w:line="174" w:lineRule="exact"/>
              <w:rPr>
                <w:sz w:val="20"/>
                <w:szCs w:val="20"/>
                <w:color w:val="auto"/>
              </w:rPr>
            </w:pPr>
            <w:r>
              <w:rPr>
                <w:rFonts w:ascii="Arial" w:cs="Arial" w:eastAsia="Arial" w:hAnsi="Arial"/>
                <w:sz w:val="19"/>
                <w:szCs w:val="19"/>
                <w:color w:val="auto"/>
              </w:rPr>
              <w:t>10-Q for the quarter ended September 30, 2023 and incorporated herein by reference)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c>
          <w:tcPr>
            <w:tcW w:w="100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^10.59</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00" w:type="dxa"/>
            <w:vAlign w:val="bottom"/>
            <w:tcBorders>
              <w:bottom w:val="single" w:sz="8" w:color="auto"/>
            </w:tcBorders>
            <w:gridSpan w:val="27"/>
          </w:tcPr>
          <w:p>
            <w:pPr>
              <w:spacing w:after="0"/>
              <w:rPr>
                <w:sz w:val="20"/>
                <w:szCs w:val="20"/>
                <w:color w:val="auto"/>
              </w:rPr>
            </w:pPr>
            <w:r>
              <w:rPr>
                <w:rFonts w:ascii="Arial" w:cs="Arial" w:eastAsia="Arial" w:hAnsi="Arial"/>
                <w:sz w:val="19"/>
                <w:szCs w:val="19"/>
                <w:color w:val="auto"/>
                <w:w w:val="91"/>
              </w:rPr>
              <w:t>Supplemental Agreement No. 4 to Purchase Agreement No. 3860, dated as of January 14,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00" w:type="dxa"/>
            <w:vAlign w:val="bottom"/>
            <w:gridSpan w:val="27"/>
          </w:tcPr>
          <w:p>
            <w:pPr>
              <w:spacing w:after="0" w:line="184" w:lineRule="exact"/>
              <w:rPr>
                <w:sz w:val="20"/>
                <w:szCs w:val="20"/>
                <w:color w:val="auto"/>
              </w:rPr>
            </w:pPr>
            <w:r>
              <w:rPr>
                <w:rFonts w:ascii="Arial" w:cs="Arial" w:eastAsia="Arial" w:hAnsi="Arial"/>
                <w:sz w:val="19"/>
                <w:szCs w:val="19"/>
                <w:color w:val="auto"/>
                <w:w w:val="95"/>
              </w:rPr>
              <w:t>between The Boeing Company and United Airlines, Inc. (filed as Exhibit 10.22 to UAL's Form</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60" w:type="dxa"/>
            <w:vAlign w:val="bottom"/>
            <w:tcBorders>
              <w:top w:val="single" w:sz="8" w:color="auto"/>
            </w:tcBorders>
            <w:gridSpan w:val="21"/>
          </w:tcPr>
          <w:p>
            <w:pPr>
              <w:spacing w:after="0" w:line="174" w:lineRule="exact"/>
              <w:rPr>
                <w:sz w:val="20"/>
                <w:szCs w:val="20"/>
                <w:color w:val="auto"/>
              </w:rPr>
            </w:pPr>
            <w:r>
              <w:rPr>
                <w:rFonts w:ascii="Arial" w:cs="Arial" w:eastAsia="Arial" w:hAnsi="Arial"/>
                <w:sz w:val="19"/>
                <w:szCs w:val="19"/>
                <w:color w:val="auto"/>
              </w:rPr>
              <w:t>10-Q for the quarter ended September 30, 2023 and incorporated herein by reference)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c>
          <w:tcPr>
            <w:tcW w:w="100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^10.60</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00" w:type="dxa"/>
            <w:vAlign w:val="bottom"/>
            <w:gridSpan w:val="27"/>
          </w:tcPr>
          <w:p>
            <w:pPr>
              <w:spacing w:after="0"/>
              <w:rPr>
                <w:sz w:val="20"/>
                <w:szCs w:val="20"/>
                <w:color w:val="auto"/>
              </w:rPr>
            </w:pPr>
            <w:r>
              <w:rPr>
                <w:rFonts w:ascii="Arial" w:cs="Arial" w:eastAsia="Arial" w:hAnsi="Arial"/>
                <w:sz w:val="19"/>
                <w:szCs w:val="19"/>
                <w:color w:val="auto"/>
                <w:w w:val="95"/>
              </w:rPr>
              <w:t>Supplemental Agreement No. 5 to Purchase Agreement No. 3860, dated as of April 30,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340" w:type="dxa"/>
            <w:vAlign w:val="bottom"/>
            <w:tcBorders>
              <w:top w:val="single" w:sz="8" w:color="auto"/>
            </w:tcBorders>
            <w:gridSpan w:val="16"/>
          </w:tcPr>
          <w:p>
            <w:pPr>
              <w:spacing w:after="0" w:line="184" w:lineRule="exact"/>
              <w:rPr>
                <w:sz w:val="20"/>
                <w:szCs w:val="20"/>
                <w:color w:val="auto"/>
              </w:rPr>
            </w:pPr>
            <w:r>
              <w:rPr>
                <w:rFonts w:ascii="Arial" w:cs="Arial" w:eastAsia="Arial" w:hAnsi="Arial"/>
                <w:sz w:val="19"/>
                <w:szCs w:val="19"/>
                <w:color w:val="auto"/>
                <w:w w:val="93"/>
              </w:rPr>
              <w:t>between The Boeing Company and United Airlines, Inc. (filed as Exhibit 10.23 to UAL's Form</w:t>
            </w:r>
          </w:p>
        </w:tc>
        <w:tc>
          <w:tcPr>
            <w:tcW w:w="6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4294967277"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60" w:type="dxa"/>
            <w:vAlign w:val="bottom"/>
            <w:tcBorders>
              <w:top w:val="single" w:sz="8" w:color="auto"/>
            </w:tcBorders>
            <w:gridSpan w:val="21"/>
          </w:tcPr>
          <w:p>
            <w:pPr>
              <w:spacing w:after="0" w:line="174" w:lineRule="exact"/>
              <w:rPr>
                <w:sz w:val="20"/>
                <w:szCs w:val="20"/>
                <w:color w:val="auto"/>
              </w:rPr>
            </w:pPr>
            <w:r>
              <w:rPr>
                <w:rFonts w:ascii="Arial" w:cs="Arial" w:eastAsia="Arial" w:hAnsi="Arial"/>
                <w:sz w:val="19"/>
                <w:szCs w:val="19"/>
                <w:color w:val="auto"/>
              </w:rPr>
              <w:t>10-Q for the quarter ended September 30, 2023 and incorporated herein by reference)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c>
          <w:tcPr>
            <w:tcW w:w="100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^10.61</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220" w:type="dxa"/>
            <w:vAlign w:val="bottom"/>
            <w:tcBorders>
              <w:bottom w:val="single" w:sz="8" w:color="auto"/>
            </w:tcBorders>
            <w:gridSpan w:val="11"/>
          </w:tcPr>
          <w:p>
            <w:pPr>
              <w:spacing w:after="0"/>
              <w:rPr>
                <w:sz w:val="20"/>
                <w:szCs w:val="20"/>
                <w:color w:val="auto"/>
              </w:rPr>
            </w:pPr>
            <w:r>
              <w:rPr>
                <w:rFonts w:ascii="Arial" w:cs="Arial" w:eastAsia="Arial" w:hAnsi="Arial"/>
                <w:sz w:val="19"/>
                <w:szCs w:val="19"/>
                <w:color w:val="auto"/>
                <w:w w:val="92"/>
              </w:rPr>
              <w:t>Supplemental Agreement No. 6 to Purchase Agreement No. 3860, dated as of December 31,</w:t>
            </w:r>
          </w:p>
        </w:tc>
        <w:tc>
          <w:tcPr>
            <w:tcW w:w="280" w:type="dxa"/>
            <w:vAlign w:val="bottom"/>
            <w:gridSpan w:val="16"/>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00" w:type="dxa"/>
            <w:vAlign w:val="bottom"/>
            <w:gridSpan w:val="27"/>
          </w:tcPr>
          <w:p>
            <w:pPr>
              <w:spacing w:after="0" w:line="184" w:lineRule="exact"/>
              <w:rPr>
                <w:sz w:val="20"/>
                <w:szCs w:val="20"/>
                <w:color w:val="auto"/>
              </w:rPr>
            </w:pPr>
            <w:r>
              <w:rPr>
                <w:rFonts w:ascii="Arial" w:cs="Arial" w:eastAsia="Arial" w:hAnsi="Arial"/>
                <w:sz w:val="19"/>
                <w:szCs w:val="19"/>
                <w:color w:val="auto"/>
                <w:w w:val="95"/>
              </w:rPr>
              <w:t>2015, between The Boeing Company and United Airlines, Inc. (filed as Exhibit 10.24 to UAL's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20" w:type="dxa"/>
            <w:vAlign w:val="bottom"/>
            <w:tcBorders>
              <w:top w:val="single" w:sz="8" w:color="auto"/>
              <w:bottom w:val="single" w:sz="8" w:color="auto"/>
            </w:tcBorders>
            <w:gridSpan w:val="9"/>
          </w:tcPr>
          <w:p>
            <w:pPr>
              <w:spacing w:after="0" w:line="174" w:lineRule="exact"/>
              <w:rPr>
                <w:sz w:val="20"/>
                <w:szCs w:val="20"/>
                <w:color w:val="auto"/>
              </w:rPr>
            </w:pPr>
            <w:r>
              <w:rPr>
                <w:rFonts w:ascii="Arial" w:cs="Arial" w:eastAsia="Arial" w:hAnsi="Arial"/>
                <w:sz w:val="19"/>
                <w:szCs w:val="19"/>
                <w:color w:val="auto"/>
                <w:w w:val="91"/>
              </w:rPr>
              <w:t>Form 10-Q for the quarter ended September 30, 2023 and incorporated herein by reference)</w:t>
            </w:r>
          </w:p>
        </w:tc>
        <w:tc>
          <w:tcPr>
            <w:tcW w:w="420" w:type="dxa"/>
            <w:vAlign w:val="bottom"/>
            <w:tcBorders>
              <w:top w:val="single" w:sz="8" w:color="auto"/>
            </w:tcBorders>
            <w:gridSpan w:val="16"/>
          </w:tcPr>
          <w:p>
            <w:pPr>
              <w:spacing w:after="0"/>
              <w:rPr>
                <w:sz w:val="15"/>
                <w:szCs w:val="15"/>
                <w:color w:val="auto"/>
              </w:rPr>
            </w:pPr>
          </w:p>
        </w:tc>
        <w:tc>
          <w:tcPr>
            <w:tcW w:w="4294967257"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^10.62</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00" w:type="dxa"/>
            <w:vAlign w:val="bottom"/>
            <w:gridSpan w:val="27"/>
          </w:tcPr>
          <w:p>
            <w:pPr>
              <w:spacing w:after="0"/>
              <w:rPr>
                <w:sz w:val="20"/>
                <w:szCs w:val="20"/>
                <w:color w:val="auto"/>
              </w:rPr>
            </w:pPr>
            <w:r>
              <w:rPr>
                <w:rFonts w:ascii="Arial" w:cs="Arial" w:eastAsia="Arial" w:hAnsi="Arial"/>
                <w:sz w:val="19"/>
                <w:szCs w:val="19"/>
                <w:color w:val="auto"/>
                <w:w w:val="94"/>
              </w:rPr>
              <w:t>Supplemental Agreement No. 7 to Purchase Agreement No. 3860, dated as of March 7,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320" w:type="dxa"/>
            <w:vAlign w:val="bottom"/>
            <w:tcBorders>
              <w:top w:val="single" w:sz="8" w:color="auto"/>
            </w:tcBorders>
            <w:gridSpan w:val="15"/>
          </w:tcPr>
          <w:p>
            <w:pPr>
              <w:spacing w:after="0" w:line="184" w:lineRule="exact"/>
              <w:rPr>
                <w:sz w:val="20"/>
                <w:szCs w:val="20"/>
                <w:color w:val="auto"/>
              </w:rPr>
            </w:pPr>
            <w:r>
              <w:rPr>
                <w:rFonts w:ascii="Arial" w:cs="Arial" w:eastAsia="Arial" w:hAnsi="Arial"/>
                <w:sz w:val="19"/>
                <w:szCs w:val="19"/>
                <w:color w:val="auto"/>
                <w:w w:val="93"/>
              </w:rPr>
              <w:t>between The Boeing Company and United Airlines, Inc. (filed as Exhibit 10.25 to UAL's Form</w:t>
            </w:r>
          </w:p>
        </w:tc>
        <w:tc>
          <w:tcPr>
            <w:tcW w:w="8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4294967277"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60" w:type="dxa"/>
            <w:vAlign w:val="bottom"/>
            <w:tcBorders>
              <w:top w:val="single" w:sz="8" w:color="auto"/>
            </w:tcBorders>
            <w:gridSpan w:val="21"/>
          </w:tcPr>
          <w:p>
            <w:pPr>
              <w:spacing w:after="0" w:line="174" w:lineRule="exact"/>
              <w:rPr>
                <w:sz w:val="20"/>
                <w:szCs w:val="20"/>
                <w:color w:val="auto"/>
              </w:rPr>
            </w:pPr>
            <w:r>
              <w:rPr>
                <w:rFonts w:ascii="Arial" w:cs="Arial" w:eastAsia="Arial" w:hAnsi="Arial"/>
                <w:sz w:val="19"/>
                <w:szCs w:val="19"/>
                <w:color w:val="auto"/>
              </w:rPr>
              <w:t>10-Q for the quarter ended September 30, 2023 and incorporated herein by reference)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c>
          <w:tcPr>
            <w:tcW w:w="100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^10.63</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00" w:type="dxa"/>
            <w:vAlign w:val="bottom"/>
            <w:gridSpan w:val="27"/>
          </w:tcPr>
          <w:p>
            <w:pPr>
              <w:spacing w:after="0"/>
              <w:rPr>
                <w:sz w:val="20"/>
                <w:szCs w:val="20"/>
                <w:color w:val="auto"/>
              </w:rPr>
            </w:pPr>
            <w:r>
              <w:rPr>
                <w:rFonts w:ascii="Arial" w:cs="Arial" w:eastAsia="Arial" w:hAnsi="Arial"/>
                <w:sz w:val="19"/>
                <w:szCs w:val="19"/>
                <w:color w:val="auto"/>
                <w:w w:val="97"/>
              </w:rPr>
              <w:t>Letter Agreement to Purchase Agreement No. 3860, dated as of May 5, 2016, between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120" w:type="dxa"/>
            <w:vAlign w:val="bottom"/>
            <w:tcBorders>
              <w:top w:val="single" w:sz="8" w:color="auto"/>
            </w:tcBorders>
            <w:gridSpan w:val="9"/>
          </w:tcPr>
          <w:p>
            <w:pPr>
              <w:spacing w:after="0" w:line="184" w:lineRule="exact"/>
              <w:rPr>
                <w:sz w:val="20"/>
                <w:szCs w:val="20"/>
                <w:color w:val="auto"/>
              </w:rPr>
            </w:pPr>
            <w:r>
              <w:rPr>
                <w:rFonts w:ascii="Arial" w:cs="Arial" w:eastAsia="Arial" w:hAnsi="Arial"/>
                <w:sz w:val="19"/>
                <w:szCs w:val="19"/>
                <w:color w:val="auto"/>
                <w:w w:val="95"/>
              </w:rPr>
              <w:t>Boeing Company and United Airlines, Inc. (filed as Exhibit 10.26 to UAL's Form 10-Q for</w:t>
            </w:r>
          </w:p>
        </w:tc>
        <w:tc>
          <w:tcPr>
            <w:tcW w:w="380" w:type="dxa"/>
            <w:vAlign w:val="bottom"/>
            <w:gridSpan w:val="18"/>
          </w:tcPr>
          <w:p>
            <w:pPr>
              <w:spacing w:after="0" w:line="184" w:lineRule="exact"/>
              <w:rPr>
                <w:sz w:val="20"/>
                <w:szCs w:val="20"/>
                <w:color w:val="auto"/>
              </w:rPr>
            </w:pPr>
            <w:r>
              <w:rPr>
                <w:rFonts w:ascii="Arial" w:cs="Arial" w:eastAsia="Arial" w:hAnsi="Arial"/>
                <w:sz w:val="19"/>
                <w:szCs w:val="19"/>
                <w:color w:val="auto"/>
              </w:rPr>
              <w:t>the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0" w:type="dxa"/>
            <w:vAlign w:val="bottom"/>
            <w:tcBorders>
              <w:top w:val="single" w:sz="8" w:color="auto"/>
            </w:tcBorders>
            <w:gridSpan w:val="18"/>
          </w:tcPr>
          <w:p>
            <w:pPr>
              <w:spacing w:after="0" w:line="174" w:lineRule="exact"/>
              <w:rPr>
                <w:sz w:val="20"/>
                <w:szCs w:val="20"/>
                <w:color w:val="auto"/>
              </w:rPr>
            </w:pPr>
            <w:r>
              <w:rPr>
                <w:rFonts w:ascii="Arial" w:cs="Arial" w:eastAsia="Arial" w:hAnsi="Arial"/>
                <w:sz w:val="19"/>
                <w:szCs w:val="19"/>
                <w:color w:val="auto"/>
              </w:rPr>
              <w:t>quarter ended September 30, 2023 and incorporated herein by reference)</w:t>
            </w: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^10.64</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00" w:type="dxa"/>
            <w:vAlign w:val="bottom"/>
            <w:gridSpan w:val="27"/>
          </w:tcPr>
          <w:p>
            <w:pPr>
              <w:spacing w:after="0"/>
              <w:rPr>
                <w:sz w:val="20"/>
                <w:szCs w:val="20"/>
                <w:color w:val="auto"/>
              </w:rPr>
            </w:pPr>
            <w:r>
              <w:rPr>
                <w:rFonts w:ascii="Arial" w:cs="Arial" w:eastAsia="Arial" w:hAnsi="Arial"/>
                <w:sz w:val="19"/>
                <w:szCs w:val="19"/>
                <w:color w:val="auto"/>
                <w:w w:val="93"/>
              </w:rPr>
              <w:t>Supplemental Agreement No. 8, including exhibits and side letters, to Purchase Agreement No.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00" w:type="dxa"/>
            <w:vAlign w:val="bottom"/>
            <w:tcBorders>
              <w:top w:val="single" w:sz="8" w:color="auto"/>
              <w:bottom w:val="single" w:sz="8" w:color="auto"/>
            </w:tcBorders>
            <w:gridSpan w:val="23"/>
          </w:tcPr>
          <w:p>
            <w:pPr>
              <w:spacing w:after="0" w:line="184" w:lineRule="exact"/>
              <w:rPr>
                <w:sz w:val="20"/>
                <w:szCs w:val="20"/>
                <w:color w:val="auto"/>
              </w:rPr>
            </w:pPr>
            <w:r>
              <w:rPr>
                <w:rFonts w:ascii="Arial" w:cs="Arial" w:eastAsia="Arial" w:hAnsi="Arial"/>
                <w:sz w:val="19"/>
                <w:szCs w:val="19"/>
                <w:color w:val="auto"/>
                <w:w w:val="93"/>
              </w:rPr>
              <w:t>3860, dated as of June 15, 2017, between The Boeing Company and United Airlines, Inc. (filed</w:t>
            </w:r>
          </w:p>
        </w:tc>
        <w:tc>
          <w:tcPr>
            <w:tcW w:w="20" w:type="dxa"/>
            <w:vAlign w:val="bottom"/>
            <w:tcBorders>
              <w:bottom w:val="single" w:sz="8" w:color="auto"/>
            </w:tcBorders>
          </w:tcPr>
          <w:p>
            <w:pPr>
              <w:spacing w:after="0"/>
              <w:rPr>
                <w:sz w:val="16"/>
                <w:szCs w:val="16"/>
                <w:color w:val="auto"/>
              </w:rPr>
            </w:pPr>
          </w:p>
        </w:tc>
        <w:tc>
          <w:tcPr>
            <w:tcW w:w="4294967277"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20" w:type="dxa"/>
            <w:vAlign w:val="bottom"/>
            <w:gridSpan w:val="24"/>
          </w:tcPr>
          <w:p>
            <w:pPr>
              <w:spacing w:after="0" w:line="174" w:lineRule="exact"/>
              <w:rPr>
                <w:sz w:val="20"/>
                <w:szCs w:val="20"/>
                <w:color w:val="auto"/>
              </w:rPr>
            </w:pPr>
            <w:r>
              <w:rPr>
                <w:rFonts w:ascii="Arial" w:cs="Arial" w:eastAsia="Arial" w:hAnsi="Arial"/>
                <w:sz w:val="19"/>
                <w:szCs w:val="19"/>
                <w:color w:val="auto"/>
              </w:rPr>
              <w:t>as Exhibit 10.27 to UAL's Form 10-Q for the quarter ended September 30, 2023 and</w:t>
            </w:r>
          </w:p>
        </w:tc>
        <w:tc>
          <w:tcPr>
            <w:tcW w:w="4294967277"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0" w:type="dxa"/>
            <w:vAlign w:val="bottom"/>
            <w:tcBorders>
              <w:top w:val="single" w:sz="8" w:color="auto"/>
              <w:bottom w:val="single" w:sz="8" w:color="auto"/>
            </w:tcBorders>
            <w:gridSpan w:val="2"/>
          </w:tcPr>
          <w:p>
            <w:pPr>
              <w:spacing w:after="0" w:line="174" w:lineRule="exact"/>
              <w:rPr>
                <w:sz w:val="20"/>
                <w:szCs w:val="20"/>
                <w:color w:val="auto"/>
              </w:rPr>
            </w:pPr>
            <w:r>
              <w:rPr>
                <w:rFonts w:ascii="Arial" w:cs="Arial" w:eastAsia="Arial" w:hAnsi="Arial"/>
                <w:sz w:val="19"/>
                <w:szCs w:val="19"/>
                <w:color w:val="auto"/>
                <w:w w:val="91"/>
              </w:rPr>
              <w:t>incorporated herein by reference)</w:t>
            </w:r>
          </w:p>
        </w:tc>
        <w:tc>
          <w:tcPr>
            <w:tcW w:w="4040" w:type="dxa"/>
            <w:vAlign w:val="bottom"/>
            <w:tcBorders>
              <w:top w:val="single" w:sz="8" w:color="auto"/>
            </w:tcBorders>
            <w:gridSpan w:val="5"/>
          </w:tcPr>
          <w:p>
            <w:pPr>
              <w:spacing w:after="0"/>
              <w:rPr>
                <w:sz w:val="15"/>
                <w:szCs w:val="15"/>
                <w:color w:val="auto"/>
              </w:rPr>
            </w:pPr>
          </w:p>
        </w:tc>
        <w:tc>
          <w:tcPr>
            <w:tcW w:w="5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160" w:type="dxa"/>
            <w:vAlign w:val="bottom"/>
            <w:gridSpan w:val="6"/>
          </w:tcPr>
          <w:p>
            <w:pPr>
              <w:spacing w:after="0"/>
              <w:rPr>
                <w:sz w:val="15"/>
                <w:szCs w:val="15"/>
                <w:color w:val="auto"/>
              </w:rPr>
            </w:pPr>
          </w:p>
        </w:tc>
        <w:tc>
          <w:tcPr>
            <w:tcW w:w="6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^10.65</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00" w:type="dxa"/>
            <w:vAlign w:val="bottom"/>
            <w:gridSpan w:val="27"/>
          </w:tcPr>
          <w:p>
            <w:pPr>
              <w:spacing w:after="0"/>
              <w:rPr>
                <w:sz w:val="20"/>
                <w:szCs w:val="20"/>
                <w:color w:val="auto"/>
              </w:rPr>
            </w:pPr>
            <w:r>
              <w:rPr>
                <w:rFonts w:ascii="Arial" w:cs="Arial" w:eastAsia="Arial" w:hAnsi="Arial"/>
                <w:sz w:val="19"/>
                <w:szCs w:val="19"/>
                <w:color w:val="auto"/>
                <w:w w:val="96"/>
              </w:rPr>
              <w:t>Letter Agreement No. UAL-LA-1604287 to Purchase Agreement Nos. 3776, 3784 and 3860,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280" w:type="dxa"/>
            <w:vAlign w:val="bottom"/>
            <w:tcBorders>
              <w:top w:val="single" w:sz="8" w:color="auto"/>
            </w:tcBorders>
            <w:gridSpan w:val="14"/>
          </w:tcPr>
          <w:p>
            <w:pPr>
              <w:spacing w:after="0" w:line="184" w:lineRule="exact"/>
              <w:rPr>
                <w:sz w:val="20"/>
                <w:szCs w:val="20"/>
                <w:color w:val="auto"/>
              </w:rPr>
            </w:pPr>
            <w:r>
              <w:rPr>
                <w:rFonts w:ascii="Arial" w:cs="Arial" w:eastAsia="Arial" w:hAnsi="Arial"/>
                <w:sz w:val="19"/>
                <w:szCs w:val="19"/>
                <w:color w:val="auto"/>
                <w:w w:val="94"/>
              </w:rPr>
              <w:t>dated December 27, 2016, between The Boeing Company and United Airlines, Inc. (filed as</w:t>
            </w:r>
          </w:p>
        </w:tc>
        <w:tc>
          <w:tcPr>
            <w:tcW w:w="160" w:type="dxa"/>
            <w:vAlign w:val="bottom"/>
            <w:gridSpan w:val="6"/>
          </w:tcPr>
          <w:p>
            <w:pPr>
              <w:spacing w:after="0"/>
              <w:rPr>
                <w:sz w:val="16"/>
                <w:szCs w:val="16"/>
                <w:color w:val="auto"/>
              </w:rPr>
            </w:pPr>
          </w:p>
        </w:tc>
        <w:tc>
          <w:tcPr>
            <w:tcW w:w="60" w:type="dxa"/>
            <w:vAlign w:val="bottom"/>
            <w:gridSpan w:val="7"/>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0" w:type="dxa"/>
            <w:vAlign w:val="bottom"/>
            <w:tcBorders>
              <w:top w:val="single" w:sz="8" w:color="auto"/>
              <w:bottom w:val="single" w:sz="8" w:color="auto"/>
            </w:tcBorders>
            <w:gridSpan w:val="10"/>
          </w:tcPr>
          <w:p>
            <w:pPr>
              <w:spacing w:after="0" w:line="174" w:lineRule="exact"/>
              <w:rPr>
                <w:sz w:val="20"/>
                <w:szCs w:val="20"/>
                <w:color w:val="auto"/>
              </w:rPr>
            </w:pPr>
            <w:r>
              <w:rPr>
                <w:rFonts w:ascii="Arial" w:cs="Arial" w:eastAsia="Arial" w:hAnsi="Arial"/>
                <w:sz w:val="19"/>
                <w:szCs w:val="19"/>
                <w:color w:val="auto"/>
                <w:w w:val="90"/>
              </w:rPr>
              <w:t>Exhibit 10.28 to UAL's Form 10-Q for the quarter ended September 30, 2023 and incorporated</w:t>
            </w:r>
          </w:p>
        </w:tc>
        <w:tc>
          <w:tcPr>
            <w:tcW w:w="240" w:type="dxa"/>
            <w:vAlign w:val="bottom"/>
            <w:tcBorders>
              <w:bottom w:val="single" w:sz="8" w:color="auto"/>
            </w:tcBorders>
            <w:gridSpan w:val="10"/>
          </w:tcPr>
          <w:p>
            <w:pPr>
              <w:spacing w:after="0"/>
              <w:rPr>
                <w:sz w:val="15"/>
                <w:szCs w:val="15"/>
                <w:color w:val="auto"/>
              </w:rPr>
            </w:pPr>
          </w:p>
        </w:tc>
        <w:tc>
          <w:tcPr>
            <w:tcW w:w="6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Borders>
              <w:bottom w:val="single" w:sz="8" w:color="auto"/>
            </w:tcBorders>
          </w:tcPr>
          <w:p>
            <w:pPr>
              <w:spacing w:after="0" w:line="174" w:lineRule="exact"/>
              <w:rPr>
                <w:sz w:val="20"/>
                <w:szCs w:val="20"/>
                <w:color w:val="auto"/>
              </w:rPr>
            </w:pPr>
            <w:r>
              <w:rPr>
                <w:rFonts w:ascii="Arial" w:cs="Arial" w:eastAsia="Arial" w:hAnsi="Arial"/>
                <w:sz w:val="19"/>
                <w:szCs w:val="19"/>
                <w:color w:val="auto"/>
                <w:w w:val="91"/>
              </w:rPr>
              <w:t>herein by reference)</w:t>
            </w:r>
          </w:p>
        </w:tc>
        <w:tc>
          <w:tcPr>
            <w:tcW w:w="5860" w:type="dxa"/>
            <w:vAlign w:val="bottom"/>
            <w:gridSpan w:val="19"/>
          </w:tcPr>
          <w:p>
            <w:pPr>
              <w:spacing w:after="0"/>
              <w:rPr>
                <w:sz w:val="15"/>
                <w:szCs w:val="15"/>
                <w:color w:val="auto"/>
              </w:rPr>
            </w:pPr>
          </w:p>
        </w:tc>
        <w:tc>
          <w:tcPr>
            <w:tcW w:w="6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620"/>
          </w:cols>
          <w:pgMar w:left="1020" w:top="625" w:right="1240" w:bottom="45"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104</w:t>
      </w:r>
    </w:p>
    <w:p>
      <w:pPr>
        <w:sectPr>
          <w:pgSz w:w="11880" w:h="15480" w:orient="portrait"/>
          <w:cols w:equalWidth="0" w:num="1">
            <w:col w:w="9620"/>
          </w:cols>
          <w:pgMar w:left="1020" w:top="625" w:right="1240" w:bottom="45"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24"/>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^10.66</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260" w:type="dxa"/>
            <w:vAlign w:val="bottom"/>
            <w:tcBorders>
              <w:bottom w:val="single" w:sz="8" w:color="auto"/>
            </w:tcBorders>
            <w:gridSpan w:val="19"/>
          </w:tcPr>
          <w:p>
            <w:pPr>
              <w:spacing w:after="0"/>
              <w:rPr>
                <w:sz w:val="20"/>
                <w:szCs w:val="20"/>
                <w:color w:val="auto"/>
              </w:rPr>
            </w:pPr>
            <w:r>
              <w:rPr>
                <w:rFonts w:ascii="Arial" w:cs="Arial" w:eastAsia="Arial" w:hAnsi="Arial"/>
                <w:sz w:val="19"/>
                <w:szCs w:val="19"/>
                <w:color w:val="auto"/>
                <w:w w:val="92"/>
              </w:rPr>
              <w:t>Supplemental Agreement No. 9 to Purchase Agreement No. 3860, dated as of May 31, 2018,</w:t>
            </w:r>
          </w:p>
        </w:tc>
        <w:tc>
          <w:tcPr>
            <w:tcW w:w="280" w:type="dxa"/>
            <w:vAlign w:val="bottom"/>
            <w:gridSpan w:val="11"/>
          </w:tcPr>
          <w:p>
            <w:pPr>
              <w:spacing w:after="0"/>
              <w:rPr>
                <w:sz w:val="19"/>
                <w:szCs w:val="19"/>
                <w:color w:val="auto"/>
              </w:rPr>
            </w:pPr>
          </w:p>
        </w:tc>
        <w:tc>
          <w:tcPr>
            <w:tcW w:w="20" w:type="dxa"/>
            <w:vAlign w:val="bottom"/>
          </w:tcPr>
          <w:p>
            <w:pPr>
              <w:spacing w:after="0"/>
              <w:rPr>
                <w:sz w:val="19"/>
                <w:szCs w:val="19"/>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40" w:type="dxa"/>
            <w:vAlign w:val="bottom"/>
            <w:gridSpan w:val="30"/>
          </w:tcPr>
          <w:p>
            <w:pPr>
              <w:spacing w:after="0" w:line="184" w:lineRule="exact"/>
              <w:rPr>
                <w:sz w:val="20"/>
                <w:szCs w:val="20"/>
                <w:color w:val="auto"/>
              </w:rPr>
            </w:pPr>
            <w:r>
              <w:rPr>
                <w:rFonts w:ascii="Arial" w:cs="Arial" w:eastAsia="Arial" w:hAnsi="Arial"/>
                <w:sz w:val="19"/>
                <w:szCs w:val="19"/>
                <w:color w:val="auto"/>
                <w:w w:val="96"/>
              </w:rPr>
              <w:t>between The Boeing Company and United Airlines, Inc. (filed as Exhibit 10.29 to UAL's Form</w:t>
            </w: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80" w:type="dxa"/>
            <w:vAlign w:val="bottom"/>
            <w:tcBorders>
              <w:top w:val="single" w:sz="8" w:color="auto"/>
            </w:tcBorders>
            <w:gridSpan w:val="27"/>
          </w:tcPr>
          <w:p>
            <w:pPr>
              <w:spacing w:after="0" w:line="174" w:lineRule="exact"/>
              <w:rPr>
                <w:sz w:val="20"/>
                <w:szCs w:val="20"/>
                <w:color w:val="auto"/>
              </w:rPr>
            </w:pPr>
            <w:r>
              <w:rPr>
                <w:rFonts w:ascii="Arial" w:cs="Arial" w:eastAsia="Arial" w:hAnsi="Arial"/>
                <w:sz w:val="19"/>
                <w:szCs w:val="19"/>
                <w:color w:val="auto"/>
              </w:rPr>
              <w:t>10-Q for the quarter ended September 30, 2023 and incorporated herein by reference)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^10.67</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240" w:type="dxa"/>
            <w:vAlign w:val="bottom"/>
            <w:tcBorders>
              <w:bottom w:val="single" w:sz="8" w:color="auto"/>
            </w:tcBorders>
            <w:gridSpan w:val="18"/>
          </w:tcPr>
          <w:p>
            <w:pPr>
              <w:spacing w:after="0"/>
              <w:rPr>
                <w:sz w:val="20"/>
                <w:szCs w:val="20"/>
                <w:color w:val="auto"/>
              </w:rPr>
            </w:pPr>
            <w:r>
              <w:rPr>
                <w:rFonts w:ascii="Arial" w:cs="Arial" w:eastAsia="Arial" w:hAnsi="Arial"/>
                <w:sz w:val="19"/>
                <w:szCs w:val="19"/>
                <w:color w:val="auto"/>
                <w:w w:val="92"/>
              </w:rPr>
              <w:t>Supplemental Agreement No. 10 to Purchase Agreement No. 3860, dated as of November 1,</w:t>
            </w:r>
          </w:p>
        </w:tc>
        <w:tc>
          <w:tcPr>
            <w:tcW w:w="30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40" w:type="dxa"/>
            <w:vAlign w:val="bottom"/>
            <w:gridSpan w:val="30"/>
          </w:tcPr>
          <w:p>
            <w:pPr>
              <w:spacing w:after="0" w:line="184" w:lineRule="exact"/>
              <w:rPr>
                <w:sz w:val="20"/>
                <w:szCs w:val="20"/>
                <w:color w:val="auto"/>
              </w:rPr>
            </w:pPr>
            <w:r>
              <w:rPr>
                <w:rFonts w:ascii="Arial" w:cs="Arial" w:eastAsia="Arial" w:hAnsi="Arial"/>
                <w:sz w:val="19"/>
                <w:szCs w:val="19"/>
                <w:color w:val="auto"/>
                <w:w w:val="96"/>
              </w:rPr>
              <w:t>2018, between The Boeing Company and United Airlines, Inc. (filed as Exhibit 10.30 to UAL's</w:t>
            </w: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20" w:type="dxa"/>
            <w:vAlign w:val="bottom"/>
            <w:tcBorders>
              <w:top w:val="single" w:sz="8" w:color="auto"/>
              <w:bottom w:val="single" w:sz="8" w:color="auto"/>
            </w:tcBorders>
            <w:gridSpan w:val="14"/>
          </w:tcPr>
          <w:p>
            <w:pPr>
              <w:spacing w:after="0" w:line="174" w:lineRule="exact"/>
              <w:rPr>
                <w:sz w:val="20"/>
                <w:szCs w:val="20"/>
                <w:color w:val="auto"/>
              </w:rPr>
            </w:pPr>
            <w:r>
              <w:rPr>
                <w:rFonts w:ascii="Arial" w:cs="Arial" w:eastAsia="Arial" w:hAnsi="Arial"/>
                <w:sz w:val="19"/>
                <w:szCs w:val="19"/>
                <w:color w:val="auto"/>
                <w:w w:val="91"/>
              </w:rPr>
              <w:t>Form 10-Q for the quarter ended September 30, 2023 and incorporated herein by reference)</w:t>
            </w:r>
          </w:p>
        </w:tc>
        <w:tc>
          <w:tcPr>
            <w:tcW w:w="380" w:type="dxa"/>
            <w:vAlign w:val="bottom"/>
            <w:tcBorders>
              <w:top w:val="single" w:sz="8" w:color="auto"/>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^10.68</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w w:val="94"/>
              </w:rPr>
              <w:t>Supplemental Agreement No. 11 to Purchase Agreement No. 3860, dated as of December 12,</w:t>
            </w:r>
          </w:p>
        </w:tc>
        <w:tc>
          <w:tcPr>
            <w:tcW w:w="20" w:type="dxa"/>
            <w:vAlign w:val="bottom"/>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320" w:type="dxa"/>
            <w:vAlign w:val="bottom"/>
            <w:tcBorders>
              <w:top w:val="single" w:sz="8" w:color="auto"/>
            </w:tcBorders>
            <w:gridSpan w:val="20"/>
          </w:tcPr>
          <w:p>
            <w:pPr>
              <w:spacing w:after="0" w:line="184" w:lineRule="exact"/>
              <w:rPr>
                <w:sz w:val="20"/>
                <w:szCs w:val="20"/>
                <w:color w:val="auto"/>
              </w:rPr>
            </w:pPr>
            <w:r>
              <w:rPr>
                <w:rFonts w:ascii="Arial" w:cs="Arial" w:eastAsia="Arial" w:hAnsi="Arial"/>
                <w:sz w:val="19"/>
                <w:szCs w:val="19"/>
                <w:color w:val="auto"/>
                <w:w w:val="93"/>
              </w:rPr>
              <w:t>2018, between The Boeing Company and United Airlines, Inc. (filed as Exhibit 10.31 to UAL's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20" w:type="dxa"/>
            <w:vAlign w:val="bottom"/>
            <w:tcBorders>
              <w:top w:val="single" w:sz="8" w:color="auto"/>
              <w:bottom w:val="single" w:sz="8" w:color="auto"/>
            </w:tcBorders>
            <w:gridSpan w:val="14"/>
          </w:tcPr>
          <w:p>
            <w:pPr>
              <w:spacing w:after="0" w:line="174" w:lineRule="exact"/>
              <w:rPr>
                <w:sz w:val="20"/>
                <w:szCs w:val="20"/>
                <w:color w:val="auto"/>
              </w:rPr>
            </w:pPr>
            <w:r>
              <w:rPr>
                <w:rFonts w:ascii="Arial" w:cs="Arial" w:eastAsia="Arial" w:hAnsi="Arial"/>
                <w:sz w:val="19"/>
                <w:szCs w:val="19"/>
                <w:color w:val="auto"/>
                <w:w w:val="91"/>
              </w:rPr>
              <w:t>Form 10-Q for the quarter ended September 30, 2023 and incorporated herein by reference)</w:t>
            </w:r>
          </w:p>
        </w:tc>
        <w:tc>
          <w:tcPr>
            <w:tcW w:w="380" w:type="dxa"/>
            <w:vAlign w:val="bottom"/>
            <w:tcBorders>
              <w:top w:val="single" w:sz="8" w:color="auto"/>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^10.69</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220" w:type="dxa"/>
            <w:vAlign w:val="bottom"/>
            <w:tcBorders>
              <w:bottom w:val="single" w:sz="8" w:color="auto"/>
            </w:tcBorders>
            <w:gridSpan w:val="17"/>
          </w:tcPr>
          <w:p>
            <w:pPr>
              <w:spacing w:after="0"/>
              <w:rPr>
                <w:sz w:val="20"/>
                <w:szCs w:val="20"/>
                <w:color w:val="auto"/>
              </w:rPr>
            </w:pPr>
            <w:r>
              <w:rPr>
                <w:rFonts w:ascii="Arial" w:cs="Arial" w:eastAsia="Arial" w:hAnsi="Arial"/>
                <w:sz w:val="19"/>
                <w:szCs w:val="19"/>
                <w:color w:val="auto"/>
                <w:w w:val="92"/>
              </w:rPr>
              <w:t>Supplemental Agreement No. 12 to Purchase Agreement No. 3860, dated as of February 26,</w:t>
            </w:r>
          </w:p>
        </w:tc>
        <w:tc>
          <w:tcPr>
            <w:tcW w:w="32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40" w:type="dxa"/>
            <w:vAlign w:val="bottom"/>
            <w:gridSpan w:val="30"/>
          </w:tcPr>
          <w:p>
            <w:pPr>
              <w:spacing w:after="0" w:line="184" w:lineRule="exact"/>
              <w:rPr>
                <w:sz w:val="20"/>
                <w:szCs w:val="20"/>
                <w:color w:val="auto"/>
              </w:rPr>
            </w:pPr>
            <w:r>
              <w:rPr>
                <w:rFonts w:ascii="Arial" w:cs="Arial" w:eastAsia="Arial" w:hAnsi="Arial"/>
                <w:sz w:val="19"/>
                <w:szCs w:val="19"/>
                <w:color w:val="auto"/>
                <w:w w:val="96"/>
              </w:rPr>
              <w:t>2021, between The Boeing Company and United Airlines, Inc. (filed as Exhibit 10.32 to UAL's</w:t>
            </w: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20" w:type="dxa"/>
            <w:vAlign w:val="bottom"/>
            <w:tcBorders>
              <w:top w:val="single" w:sz="8" w:color="auto"/>
              <w:bottom w:val="single" w:sz="8" w:color="auto"/>
            </w:tcBorders>
            <w:gridSpan w:val="14"/>
          </w:tcPr>
          <w:p>
            <w:pPr>
              <w:spacing w:after="0" w:line="174" w:lineRule="exact"/>
              <w:rPr>
                <w:sz w:val="20"/>
                <w:szCs w:val="20"/>
                <w:color w:val="auto"/>
              </w:rPr>
            </w:pPr>
            <w:r>
              <w:rPr>
                <w:rFonts w:ascii="Arial" w:cs="Arial" w:eastAsia="Arial" w:hAnsi="Arial"/>
                <w:sz w:val="19"/>
                <w:szCs w:val="19"/>
                <w:color w:val="auto"/>
                <w:w w:val="91"/>
              </w:rPr>
              <w:t>Form 10-Q for the quarter ended September 30, 2023 and incorporated herein by reference)</w:t>
            </w:r>
          </w:p>
        </w:tc>
        <w:tc>
          <w:tcPr>
            <w:tcW w:w="380" w:type="dxa"/>
            <w:vAlign w:val="bottom"/>
            <w:tcBorders>
              <w:top w:val="single" w:sz="8" w:color="auto"/>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^10.70</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w w:val="94"/>
              </w:rPr>
              <w:t>A320 Family Purchase Agreement, dated as of December 3, 2019, between Airbus S.A.S. and</w:t>
            </w:r>
          </w:p>
        </w:tc>
        <w:tc>
          <w:tcPr>
            <w:tcW w:w="20" w:type="dxa"/>
            <w:vAlign w:val="bottom"/>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6700" w:type="dxa"/>
            <w:vAlign w:val="bottom"/>
            <w:tcBorders>
              <w:top w:val="single" w:sz="8" w:color="auto"/>
              <w:bottom w:val="single" w:sz="8" w:color="auto"/>
            </w:tcBorders>
            <w:gridSpan w:val="10"/>
          </w:tcPr>
          <w:p>
            <w:pPr>
              <w:spacing w:after="0" w:line="184" w:lineRule="exact"/>
              <w:rPr>
                <w:sz w:val="20"/>
                <w:szCs w:val="20"/>
                <w:color w:val="auto"/>
              </w:rPr>
            </w:pPr>
            <w:r>
              <w:rPr>
                <w:rFonts w:ascii="Arial" w:cs="Arial" w:eastAsia="Arial" w:hAnsi="Arial"/>
                <w:sz w:val="19"/>
                <w:szCs w:val="19"/>
                <w:color w:val="auto"/>
                <w:w w:val="93"/>
              </w:rPr>
              <w:t>United Airlines, Inc. including letter agreements related thereto, and subsequent letter</w:t>
            </w:r>
          </w:p>
        </w:tc>
        <w:tc>
          <w:tcPr>
            <w:tcW w:w="660" w:type="dxa"/>
            <w:vAlign w:val="bottom"/>
            <w:tcBorders>
              <w:top w:val="single" w:sz="8" w:color="auto"/>
            </w:tcBorders>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40" w:type="dxa"/>
            <w:vAlign w:val="bottom"/>
            <w:gridSpan w:val="30"/>
          </w:tcPr>
          <w:p>
            <w:pPr>
              <w:spacing w:after="0" w:line="174" w:lineRule="exact"/>
              <w:rPr>
                <w:sz w:val="20"/>
                <w:szCs w:val="20"/>
                <w:color w:val="auto"/>
              </w:rPr>
            </w:pPr>
            <w:r>
              <w:rPr>
                <w:rFonts w:ascii="Arial" w:cs="Arial" w:eastAsia="Arial" w:hAnsi="Arial"/>
                <w:sz w:val="19"/>
                <w:szCs w:val="19"/>
                <w:color w:val="auto"/>
                <w:w w:val="95"/>
              </w:rPr>
              <w:t>agreements related thereto dated February 20, 2020 (filed as Exhibit 10.2 to UAL's Form 10-Q</w:t>
            </w:r>
          </w:p>
        </w:tc>
        <w:tc>
          <w:tcPr>
            <w:tcW w:w="20" w:type="dxa"/>
            <w:vAlign w:val="bottom"/>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20" w:type="dxa"/>
            <w:vAlign w:val="bottom"/>
            <w:tcBorders>
              <w:top w:val="single" w:sz="8" w:color="auto"/>
            </w:tcBorders>
            <w:gridSpan w:val="24"/>
          </w:tcPr>
          <w:p>
            <w:pPr>
              <w:spacing w:after="0" w:line="174" w:lineRule="exact"/>
              <w:rPr>
                <w:sz w:val="20"/>
                <w:szCs w:val="20"/>
                <w:color w:val="auto"/>
              </w:rPr>
            </w:pPr>
            <w:r>
              <w:rPr>
                <w:rFonts w:ascii="Arial" w:cs="Arial" w:eastAsia="Arial" w:hAnsi="Arial"/>
                <w:sz w:val="19"/>
                <w:szCs w:val="19"/>
                <w:color w:val="auto"/>
              </w:rPr>
              <w:t>for the quarter ended June 30, 2021 and incorporated herein by reference)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^10.71</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w w:val="97"/>
              </w:rPr>
              <w:t>Amendment No. 1 to the A320 Family Purchase Agreement, dated as of December 3, 2020,</w:t>
            </w:r>
          </w:p>
        </w:tc>
        <w:tc>
          <w:tcPr>
            <w:tcW w:w="20" w:type="dxa"/>
            <w:vAlign w:val="bottom"/>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180" w:type="dxa"/>
            <w:vAlign w:val="bottom"/>
            <w:tcBorders>
              <w:top w:val="single" w:sz="8" w:color="auto"/>
            </w:tcBorders>
            <w:gridSpan w:val="16"/>
          </w:tcPr>
          <w:p>
            <w:pPr>
              <w:spacing w:after="0" w:line="184" w:lineRule="exact"/>
              <w:rPr>
                <w:sz w:val="20"/>
                <w:szCs w:val="20"/>
                <w:color w:val="auto"/>
              </w:rPr>
            </w:pPr>
            <w:r>
              <w:rPr>
                <w:rFonts w:ascii="Arial" w:cs="Arial" w:eastAsia="Arial" w:hAnsi="Arial"/>
                <w:sz w:val="19"/>
                <w:szCs w:val="19"/>
                <w:color w:val="auto"/>
                <w:w w:val="95"/>
              </w:rPr>
              <w:t>between Airbus S.A.S. and United Airlines, Inc. (filed as Exhibit 10.3 to UAL's Form 10-Q</w:t>
            </w:r>
          </w:p>
        </w:tc>
        <w:tc>
          <w:tcPr>
            <w:tcW w:w="360" w:type="dxa"/>
            <w:vAlign w:val="bottom"/>
            <w:gridSpan w:val="14"/>
          </w:tcPr>
          <w:p>
            <w:pPr>
              <w:jc w:val="center"/>
              <w:ind w:right="160"/>
              <w:spacing w:after="0" w:line="184" w:lineRule="exact"/>
              <w:rPr>
                <w:sz w:val="20"/>
                <w:szCs w:val="20"/>
                <w:color w:val="auto"/>
              </w:rPr>
            </w:pPr>
            <w:r>
              <w:rPr>
                <w:rFonts w:ascii="Arial" w:cs="Arial" w:eastAsia="Arial" w:hAnsi="Arial"/>
                <w:sz w:val="19"/>
                <w:szCs w:val="19"/>
                <w:color w:val="auto"/>
                <w:w w:val="89"/>
              </w:rPr>
              <w:t>for</w:t>
            </w: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60" w:type="dxa"/>
            <w:vAlign w:val="bottom"/>
            <w:tcBorders>
              <w:top w:val="single" w:sz="8" w:color="auto"/>
              <w:bottom w:val="single" w:sz="8" w:color="auto"/>
            </w:tcBorders>
            <w:gridSpan w:val="5"/>
          </w:tcPr>
          <w:p>
            <w:pPr>
              <w:spacing w:after="0" w:line="174" w:lineRule="exact"/>
              <w:rPr>
                <w:sz w:val="20"/>
                <w:szCs w:val="20"/>
                <w:color w:val="auto"/>
              </w:rPr>
            </w:pPr>
            <w:r>
              <w:rPr>
                <w:rFonts w:ascii="Arial" w:cs="Arial" w:eastAsia="Arial" w:hAnsi="Arial"/>
                <w:sz w:val="19"/>
                <w:szCs w:val="19"/>
                <w:color w:val="auto"/>
                <w:w w:val="90"/>
              </w:rPr>
              <w:t>the quarter ended June 30, 2021 and incorporated herein by reference)</w:t>
            </w:r>
          </w:p>
        </w:tc>
        <w:tc>
          <w:tcPr>
            <w:tcW w:w="1980" w:type="dxa"/>
            <w:vAlign w:val="bottom"/>
            <w:tcBorders>
              <w:top w:val="single" w:sz="8" w:color="auto"/>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^10.72</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tcBorders>
              <w:bottom w:val="single" w:sz="8" w:color="auto"/>
            </w:tcBorders>
            <w:gridSpan w:val="30"/>
          </w:tcPr>
          <w:p>
            <w:pPr>
              <w:spacing w:after="0"/>
              <w:rPr>
                <w:sz w:val="20"/>
                <w:szCs w:val="20"/>
                <w:color w:val="auto"/>
              </w:rPr>
            </w:pPr>
            <w:r>
              <w:rPr>
                <w:rFonts w:ascii="Arial" w:cs="Arial" w:eastAsia="Arial" w:hAnsi="Arial"/>
                <w:sz w:val="19"/>
                <w:szCs w:val="19"/>
                <w:color w:val="auto"/>
                <w:w w:val="92"/>
              </w:rPr>
              <w:t>Amendment No. 2 to the A320 Family Purchase Agreement, dated as of June 27, 2021, between</w:t>
            </w:r>
          </w:p>
        </w:tc>
        <w:tc>
          <w:tcPr>
            <w:tcW w:w="20" w:type="dxa"/>
            <w:vAlign w:val="bottom"/>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40" w:type="dxa"/>
            <w:vAlign w:val="bottom"/>
            <w:gridSpan w:val="30"/>
          </w:tcPr>
          <w:p>
            <w:pPr>
              <w:spacing w:after="0" w:line="184" w:lineRule="exact"/>
              <w:rPr>
                <w:sz w:val="20"/>
                <w:szCs w:val="20"/>
                <w:color w:val="auto"/>
              </w:rPr>
            </w:pPr>
            <w:r>
              <w:rPr>
                <w:rFonts w:ascii="Arial" w:cs="Arial" w:eastAsia="Arial" w:hAnsi="Arial"/>
                <w:sz w:val="19"/>
                <w:szCs w:val="19"/>
                <w:color w:val="auto"/>
              </w:rPr>
              <w:t>Airbus S.A.S. and United Airlines, Inc. (filed as Exhibit 10.4 to UAL's Form 10-Q for the</w:t>
            </w: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20" w:type="dxa"/>
            <w:vAlign w:val="bottom"/>
            <w:tcBorders>
              <w:top w:val="single" w:sz="8" w:color="auto"/>
            </w:tcBorders>
            <w:gridSpan w:val="12"/>
          </w:tcPr>
          <w:p>
            <w:pPr>
              <w:spacing w:after="0" w:line="174" w:lineRule="exact"/>
              <w:rPr>
                <w:sz w:val="20"/>
                <w:szCs w:val="20"/>
                <w:color w:val="auto"/>
              </w:rPr>
            </w:pPr>
            <w:r>
              <w:rPr>
                <w:rFonts w:ascii="Arial" w:cs="Arial" w:eastAsia="Arial" w:hAnsi="Arial"/>
                <w:sz w:val="19"/>
                <w:szCs w:val="19"/>
                <w:color w:val="auto"/>
              </w:rPr>
              <w:t>quarter ended June 30, 2021 and incorporated herein by reference)</w:t>
            </w: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^10.73</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w w:val="98"/>
              </w:rPr>
              <w:t>Amendment No. 3 to the A320 Family Purchase Agreement, dated as of October 29, 2021,</w:t>
            </w:r>
          </w:p>
        </w:tc>
        <w:tc>
          <w:tcPr>
            <w:tcW w:w="20" w:type="dxa"/>
            <w:vAlign w:val="bottom"/>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100" w:type="dxa"/>
            <w:vAlign w:val="bottom"/>
            <w:tcBorders>
              <w:top w:val="single" w:sz="8" w:color="auto"/>
              <w:bottom w:val="single" w:sz="8" w:color="auto"/>
            </w:tcBorders>
            <w:gridSpan w:val="13"/>
          </w:tcPr>
          <w:p>
            <w:pPr>
              <w:spacing w:after="0" w:line="184" w:lineRule="exact"/>
              <w:rPr>
                <w:sz w:val="20"/>
                <w:szCs w:val="20"/>
                <w:color w:val="auto"/>
              </w:rPr>
            </w:pPr>
            <w:r>
              <w:rPr>
                <w:rFonts w:ascii="Arial" w:cs="Arial" w:eastAsia="Arial" w:hAnsi="Arial"/>
                <w:sz w:val="19"/>
                <w:szCs w:val="19"/>
                <w:color w:val="auto"/>
                <w:w w:val="95"/>
              </w:rPr>
              <w:t>between Airbus S.A.S. and United Airlines, Inc. (filed as Exhibit 10.73 to UAL's Form 10-</w:t>
            </w:r>
          </w:p>
        </w:tc>
        <w:tc>
          <w:tcPr>
            <w:tcW w:w="440" w:type="dxa"/>
            <w:vAlign w:val="bottom"/>
            <w:tcBorders>
              <w:bottom w:val="single" w:sz="8" w:color="auto"/>
            </w:tcBorders>
            <w:gridSpan w:val="17"/>
          </w:tcPr>
          <w:p>
            <w:pPr>
              <w:jc w:val="center"/>
              <w:ind w:right="60"/>
              <w:spacing w:after="0" w:line="184" w:lineRule="exact"/>
              <w:rPr>
                <w:sz w:val="20"/>
                <w:szCs w:val="20"/>
                <w:color w:val="auto"/>
              </w:rPr>
            </w:pPr>
            <w:r>
              <w:rPr>
                <w:rFonts w:ascii="Arial" w:cs="Arial" w:eastAsia="Arial" w:hAnsi="Arial"/>
                <w:sz w:val="19"/>
                <w:szCs w:val="19"/>
                <w:color w:val="auto"/>
                <w:w w:val="94"/>
              </w:rPr>
              <w:t>K for</w:t>
            </w: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720" w:type="dxa"/>
            <w:vAlign w:val="bottom"/>
            <w:tcBorders>
              <w:bottom w:val="single" w:sz="8" w:color="auto"/>
            </w:tcBorders>
            <w:gridSpan w:val="7"/>
          </w:tcPr>
          <w:p>
            <w:pPr>
              <w:spacing w:after="0" w:line="174" w:lineRule="exact"/>
              <w:rPr>
                <w:sz w:val="20"/>
                <w:szCs w:val="20"/>
                <w:color w:val="auto"/>
              </w:rPr>
            </w:pPr>
            <w:r>
              <w:rPr>
                <w:rFonts w:ascii="Arial" w:cs="Arial" w:eastAsia="Arial" w:hAnsi="Arial"/>
                <w:sz w:val="19"/>
                <w:szCs w:val="19"/>
                <w:color w:val="auto"/>
                <w:w w:val="91"/>
              </w:rPr>
              <w:t>the year ended December 31, 2021 and incorporated herein by reference)</w:t>
            </w:r>
          </w:p>
        </w:tc>
        <w:tc>
          <w:tcPr>
            <w:tcW w:w="1820" w:type="dxa"/>
            <w:vAlign w:val="bottom"/>
            <w:gridSpan w:val="23"/>
          </w:tcPr>
          <w:p>
            <w:pPr>
              <w:spacing w:after="0"/>
              <w:rPr>
                <w:sz w:val="15"/>
                <w:szCs w:val="15"/>
                <w:color w:val="auto"/>
              </w:rPr>
            </w:pPr>
          </w:p>
        </w:tc>
        <w:tc>
          <w:tcPr>
            <w:tcW w:w="20" w:type="dxa"/>
            <w:vAlign w:val="bottom"/>
          </w:tcPr>
          <w:p>
            <w:pPr>
              <w:spacing w:after="0"/>
              <w:rPr>
                <w:sz w:val="15"/>
                <w:szCs w:val="15"/>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^10.74</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w w:val="94"/>
              </w:rPr>
              <w:t>Amendment No. 4 to the A320 Family Purchase Agreement, dated as of July 1, 2022, between</w:t>
            </w:r>
          </w:p>
        </w:tc>
        <w:tc>
          <w:tcPr>
            <w:tcW w:w="20" w:type="dxa"/>
            <w:vAlign w:val="bottom"/>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400" w:type="dxa"/>
            <w:vAlign w:val="bottom"/>
            <w:tcBorders>
              <w:top w:val="single" w:sz="8" w:color="auto"/>
              <w:bottom w:val="single" w:sz="8" w:color="auto"/>
            </w:tcBorders>
            <w:gridSpan w:val="23"/>
          </w:tcPr>
          <w:p>
            <w:pPr>
              <w:spacing w:after="0" w:line="184" w:lineRule="exact"/>
              <w:rPr>
                <w:sz w:val="20"/>
                <w:szCs w:val="20"/>
                <w:color w:val="auto"/>
              </w:rPr>
            </w:pPr>
            <w:r>
              <w:rPr>
                <w:rFonts w:ascii="Arial" w:cs="Arial" w:eastAsia="Arial" w:hAnsi="Arial"/>
                <w:sz w:val="19"/>
                <w:szCs w:val="19"/>
                <w:color w:val="auto"/>
                <w:w w:val="94"/>
              </w:rPr>
              <w:t>Airbus S.A.S. and United Airlines, Inc. (filed as Exhibit 10.76 to UAL's Form 10-K for the year</w:t>
            </w:r>
          </w:p>
        </w:tc>
        <w:tc>
          <w:tcPr>
            <w:tcW w:w="60" w:type="dxa"/>
            <w:vAlign w:val="bottom"/>
            <w:tcBorders>
              <w:bottom w:val="single" w:sz="8" w:color="auto"/>
            </w:tcBorders>
            <w:gridSpan w:val="3"/>
          </w:tcPr>
          <w:p>
            <w:pPr>
              <w:spacing w:after="0"/>
              <w:rPr>
                <w:sz w:val="16"/>
                <w:szCs w:val="16"/>
                <w:color w:val="auto"/>
              </w:rPr>
            </w:pPr>
          </w:p>
        </w:tc>
        <w:tc>
          <w:tcPr>
            <w:tcW w:w="60" w:type="dxa"/>
            <w:vAlign w:val="bottom"/>
            <w:tcBorders>
              <w:bottom w:val="single" w:sz="8" w:color="auto"/>
            </w:tcBorders>
            <w:gridSpan w:val="3"/>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60" w:type="dxa"/>
            <w:vAlign w:val="bottom"/>
            <w:tcBorders>
              <w:bottom w:val="single" w:sz="8" w:color="auto"/>
            </w:tcBorders>
            <w:gridSpan w:val="3"/>
          </w:tcPr>
          <w:p>
            <w:pPr>
              <w:spacing w:after="0" w:line="174" w:lineRule="exact"/>
              <w:rPr>
                <w:sz w:val="20"/>
                <w:szCs w:val="20"/>
                <w:color w:val="auto"/>
              </w:rPr>
            </w:pPr>
            <w:r>
              <w:rPr>
                <w:rFonts w:ascii="Arial" w:cs="Arial" w:eastAsia="Arial" w:hAnsi="Arial"/>
                <w:sz w:val="19"/>
                <w:szCs w:val="19"/>
                <w:color w:val="auto"/>
                <w:w w:val="91"/>
              </w:rPr>
              <w:t>ended December 31, 2023 and incorporated herein by reference)</w:t>
            </w:r>
          </w:p>
        </w:tc>
        <w:tc>
          <w:tcPr>
            <w:tcW w:w="2480" w:type="dxa"/>
            <w:vAlign w:val="bottom"/>
            <w:gridSpan w:val="27"/>
          </w:tcPr>
          <w:p>
            <w:pPr>
              <w:spacing w:after="0"/>
              <w:rPr>
                <w:sz w:val="15"/>
                <w:szCs w:val="15"/>
                <w:color w:val="auto"/>
              </w:rPr>
            </w:pPr>
          </w:p>
        </w:tc>
        <w:tc>
          <w:tcPr>
            <w:tcW w:w="20" w:type="dxa"/>
            <w:vAlign w:val="bottom"/>
          </w:tcPr>
          <w:p>
            <w:pPr>
              <w:spacing w:after="0"/>
              <w:rPr>
                <w:sz w:val="15"/>
                <w:szCs w:val="15"/>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^10.75</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tcBorders>
              <w:bottom w:val="single" w:sz="8" w:color="auto"/>
            </w:tcBorders>
            <w:gridSpan w:val="30"/>
          </w:tcPr>
          <w:p>
            <w:pPr>
              <w:spacing w:after="0"/>
              <w:rPr>
                <w:sz w:val="20"/>
                <w:szCs w:val="20"/>
                <w:color w:val="auto"/>
              </w:rPr>
            </w:pPr>
            <w:r>
              <w:rPr>
                <w:rFonts w:ascii="Arial" w:cs="Arial" w:eastAsia="Arial" w:hAnsi="Arial"/>
                <w:sz w:val="19"/>
                <w:szCs w:val="19"/>
                <w:color w:val="auto"/>
                <w:w w:val="92"/>
              </w:rPr>
              <w:t>Amendment No. 5 to the A320 Family Purchase Agreement, effective as of September 30, 2023,</w:t>
            </w:r>
          </w:p>
        </w:tc>
        <w:tc>
          <w:tcPr>
            <w:tcW w:w="20" w:type="dxa"/>
            <w:vAlign w:val="bottom"/>
            <w:tcBorders>
              <w:bottom w:val="single" w:sz="8" w:color="auto"/>
            </w:tcBorders>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40" w:type="dxa"/>
            <w:vAlign w:val="bottom"/>
            <w:tcBorders>
              <w:bottom w:val="single" w:sz="8" w:color="auto"/>
            </w:tcBorders>
            <w:gridSpan w:val="30"/>
          </w:tcPr>
          <w:p>
            <w:pPr>
              <w:spacing w:after="0" w:line="184" w:lineRule="exact"/>
              <w:rPr>
                <w:sz w:val="20"/>
                <w:szCs w:val="20"/>
                <w:color w:val="auto"/>
              </w:rPr>
            </w:pPr>
            <w:r>
              <w:rPr>
                <w:rFonts w:ascii="Arial" w:cs="Arial" w:eastAsia="Arial" w:hAnsi="Arial"/>
                <w:sz w:val="19"/>
                <w:szCs w:val="19"/>
                <w:color w:val="auto"/>
                <w:w w:val="95"/>
              </w:rPr>
              <w:t>between Airbus S.A.S. and United Airlines, Inc. (filed as Exhibit 10.37 to UAL's Form 10-Q for</w:t>
            </w: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40" w:type="dxa"/>
            <w:vAlign w:val="bottom"/>
            <w:gridSpan w:val="30"/>
          </w:tcPr>
          <w:p>
            <w:pPr>
              <w:spacing w:after="0" w:line="174" w:lineRule="exact"/>
              <w:rPr>
                <w:sz w:val="20"/>
                <w:szCs w:val="20"/>
                <w:color w:val="auto"/>
              </w:rPr>
            </w:pPr>
            <w:r>
              <w:rPr>
                <w:rFonts w:ascii="Arial" w:cs="Arial" w:eastAsia="Arial" w:hAnsi="Arial"/>
                <w:sz w:val="19"/>
                <w:szCs w:val="19"/>
                <w:color w:val="auto"/>
              </w:rPr>
              <w:t>the quarter ended September 30, 2023 and incorporated herein by reference)</w:t>
            </w: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^10.76</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w w:val="93"/>
              </w:rPr>
              <w:t>Amendment No. 6 to the A320 Family Purchase Agreement, dated as of July 16, 2024, between</w:t>
            </w:r>
          </w:p>
        </w:tc>
        <w:tc>
          <w:tcPr>
            <w:tcW w:w="20" w:type="dxa"/>
            <w:vAlign w:val="bottom"/>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20" w:type="dxa"/>
            <w:vAlign w:val="bottom"/>
            <w:tcBorders>
              <w:top w:val="single" w:sz="8" w:color="auto"/>
            </w:tcBorders>
            <w:gridSpan w:val="29"/>
          </w:tcPr>
          <w:p>
            <w:pPr>
              <w:spacing w:after="0" w:line="184" w:lineRule="exact"/>
              <w:rPr>
                <w:sz w:val="20"/>
                <w:szCs w:val="20"/>
                <w:color w:val="auto"/>
              </w:rPr>
            </w:pPr>
            <w:r>
              <w:rPr>
                <w:rFonts w:ascii="Arial" w:cs="Arial" w:eastAsia="Arial" w:hAnsi="Arial"/>
                <w:sz w:val="19"/>
                <w:szCs w:val="19"/>
                <w:color w:val="auto"/>
              </w:rPr>
              <w:t>Airbus S.A.S. and United Airlines, Inc. (filed as Exhibit 10.1 to UAL's Form 10-Q for the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20" w:type="dxa"/>
            <w:vAlign w:val="bottom"/>
            <w:tcBorders>
              <w:top w:val="single" w:sz="8" w:color="auto"/>
            </w:tcBorders>
            <w:gridSpan w:val="12"/>
          </w:tcPr>
          <w:p>
            <w:pPr>
              <w:spacing w:after="0" w:line="174" w:lineRule="exact"/>
              <w:rPr>
                <w:sz w:val="20"/>
                <w:szCs w:val="20"/>
                <w:color w:val="auto"/>
              </w:rPr>
            </w:pPr>
            <w:r>
              <w:rPr>
                <w:rFonts w:ascii="Arial" w:cs="Arial" w:eastAsia="Arial" w:hAnsi="Arial"/>
                <w:sz w:val="19"/>
                <w:szCs w:val="19"/>
                <w:color w:val="auto"/>
              </w:rPr>
              <w:t>quarter ended September 30, 2024 and incorporated herein by reference)</w:t>
            </w:r>
          </w:p>
        </w:tc>
        <w:tc>
          <w:tcPr>
            <w:tcW w:w="120" w:type="dxa"/>
            <w:vAlign w:val="bottom"/>
            <w:gridSpan w:val="3"/>
          </w:tcPr>
          <w:p>
            <w:pPr>
              <w:spacing w:after="0"/>
              <w:rPr>
                <w:sz w:val="15"/>
                <w:szCs w:val="15"/>
                <w:color w:val="auto"/>
              </w:rPr>
            </w:pPr>
          </w:p>
        </w:tc>
        <w:tc>
          <w:tcPr>
            <w:tcW w:w="240" w:type="dxa"/>
            <w:vAlign w:val="bottom"/>
            <w:gridSpan w:val="7"/>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1280" w:type="dxa"/>
            <w:vAlign w:val="bottom"/>
            <w:tcBorders>
              <w:left w:val="single" w:sz="8" w:color="auto"/>
            </w:tcBorders>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^10.77</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w w:val="98"/>
              </w:rPr>
              <w:t>Amendment No. 7 to the A320 Family Purchase Agreement, effective as of March 6, 2025,</w:t>
            </w:r>
          </w:p>
        </w:tc>
        <w:tc>
          <w:tcPr>
            <w:tcW w:w="20" w:type="dxa"/>
            <w:vAlign w:val="bottom"/>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140" w:type="dxa"/>
            <w:vAlign w:val="bottom"/>
            <w:tcBorders>
              <w:top w:val="single" w:sz="8" w:color="auto"/>
            </w:tcBorders>
            <w:gridSpan w:val="15"/>
          </w:tcPr>
          <w:p>
            <w:pPr>
              <w:spacing w:after="0" w:line="184" w:lineRule="exact"/>
              <w:rPr>
                <w:sz w:val="20"/>
                <w:szCs w:val="20"/>
                <w:color w:val="auto"/>
              </w:rPr>
            </w:pPr>
            <w:r>
              <w:rPr>
                <w:rFonts w:ascii="Arial" w:cs="Arial" w:eastAsia="Arial" w:hAnsi="Arial"/>
                <w:sz w:val="19"/>
                <w:szCs w:val="19"/>
                <w:color w:val="auto"/>
                <w:w w:val="95"/>
              </w:rPr>
              <w:t>between Airbus S.A.S. and United Airlines, Inc. (filed as Exhibit 10.1 to UAL's Form 10-Q</w:t>
            </w:r>
          </w:p>
        </w:tc>
        <w:tc>
          <w:tcPr>
            <w:tcW w:w="400" w:type="dxa"/>
            <w:vAlign w:val="bottom"/>
            <w:gridSpan w:val="15"/>
          </w:tcPr>
          <w:p>
            <w:pPr>
              <w:jc w:val="center"/>
              <w:ind w:right="140"/>
              <w:spacing w:after="0" w:line="184" w:lineRule="exact"/>
              <w:rPr>
                <w:sz w:val="20"/>
                <w:szCs w:val="20"/>
                <w:color w:val="auto"/>
              </w:rPr>
            </w:pPr>
            <w:r>
              <w:rPr>
                <w:rFonts w:ascii="Arial" w:cs="Arial" w:eastAsia="Arial" w:hAnsi="Arial"/>
                <w:sz w:val="19"/>
                <w:szCs w:val="19"/>
                <w:color w:val="auto"/>
                <w:w w:val="98"/>
              </w:rPr>
              <w:t>for</w:t>
            </w: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40" w:type="dxa"/>
            <w:vAlign w:val="bottom"/>
            <w:tcBorders>
              <w:top w:val="single" w:sz="8" w:color="auto"/>
            </w:tcBorders>
            <w:gridSpan w:val="25"/>
          </w:tcPr>
          <w:p>
            <w:pPr>
              <w:spacing w:after="0" w:line="174" w:lineRule="exact"/>
              <w:rPr>
                <w:sz w:val="20"/>
                <w:szCs w:val="20"/>
                <w:color w:val="auto"/>
              </w:rPr>
            </w:pPr>
            <w:r>
              <w:rPr>
                <w:rFonts w:ascii="Arial" w:cs="Arial" w:eastAsia="Arial" w:hAnsi="Arial"/>
                <w:sz w:val="19"/>
                <w:szCs w:val="19"/>
                <w:color w:val="auto"/>
              </w:rPr>
              <w:t>the quarter ended March 31, 2025 and incorporated herein by reference)</w:t>
            </w: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^10.78</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tcBorders>
              <w:bottom w:val="single" w:sz="8" w:color="auto"/>
            </w:tcBorders>
            <w:gridSpan w:val="30"/>
          </w:tcPr>
          <w:p>
            <w:pPr>
              <w:spacing w:after="0"/>
              <w:rPr>
                <w:sz w:val="20"/>
                <w:szCs w:val="20"/>
                <w:color w:val="auto"/>
              </w:rPr>
            </w:pPr>
            <w:r>
              <w:rPr>
                <w:rFonts w:ascii="Arial" w:cs="Arial" w:eastAsia="Arial" w:hAnsi="Arial"/>
                <w:sz w:val="19"/>
                <w:szCs w:val="19"/>
                <w:color w:val="auto"/>
                <w:w w:val="92"/>
              </w:rPr>
              <w:t>Amended and Restated Letter Agreement No. 2, dated as of July 1, 2022, between Airbus S.A.S.</w:t>
            </w:r>
          </w:p>
        </w:tc>
        <w:tc>
          <w:tcPr>
            <w:tcW w:w="20" w:type="dxa"/>
            <w:vAlign w:val="bottom"/>
            <w:tcBorders>
              <w:bottom w:val="single" w:sz="8" w:color="auto"/>
            </w:tcBorders>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40" w:type="dxa"/>
            <w:vAlign w:val="bottom"/>
            <w:gridSpan w:val="30"/>
          </w:tcPr>
          <w:p>
            <w:pPr>
              <w:spacing w:after="0" w:line="184" w:lineRule="exact"/>
              <w:rPr>
                <w:sz w:val="20"/>
                <w:szCs w:val="20"/>
                <w:color w:val="auto"/>
              </w:rPr>
            </w:pPr>
            <w:r>
              <w:rPr>
                <w:rFonts w:ascii="Arial" w:cs="Arial" w:eastAsia="Arial" w:hAnsi="Arial"/>
                <w:sz w:val="19"/>
                <w:szCs w:val="19"/>
                <w:color w:val="auto"/>
              </w:rPr>
              <w:t>and United Airlines, Inc. (filed as Exhibit 10.78 to UAL's Form 10-K for the year ended</w:t>
            </w: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540" w:type="dxa"/>
            <w:vAlign w:val="bottom"/>
            <w:tcBorders>
              <w:top w:val="single" w:sz="8" w:color="auto"/>
              <w:bottom w:val="single" w:sz="8" w:color="auto"/>
            </w:tcBorders>
            <w:gridSpan w:val="2"/>
          </w:tcPr>
          <w:p>
            <w:pPr>
              <w:spacing w:after="0" w:line="174" w:lineRule="exact"/>
              <w:rPr>
                <w:sz w:val="20"/>
                <w:szCs w:val="20"/>
                <w:color w:val="auto"/>
              </w:rPr>
            </w:pPr>
            <w:r>
              <w:rPr>
                <w:rFonts w:ascii="Arial" w:cs="Arial" w:eastAsia="Arial" w:hAnsi="Arial"/>
                <w:sz w:val="19"/>
                <w:szCs w:val="19"/>
                <w:color w:val="auto"/>
                <w:w w:val="92"/>
              </w:rPr>
              <w:t>December 31, 2023 and incorporated herein by reference)</w:t>
            </w:r>
          </w:p>
        </w:tc>
        <w:tc>
          <w:tcPr>
            <w:tcW w:w="2340" w:type="dxa"/>
            <w:vAlign w:val="bottom"/>
            <w:tcBorders>
              <w:top w:val="single" w:sz="8" w:color="auto"/>
            </w:tcBorders>
            <w:gridSpan w:val="9"/>
          </w:tcPr>
          <w:p>
            <w:pPr>
              <w:spacing w:after="0"/>
              <w:rPr>
                <w:sz w:val="15"/>
                <w:szCs w:val="15"/>
                <w:color w:val="auto"/>
              </w:rPr>
            </w:pPr>
          </w:p>
        </w:tc>
        <w:tc>
          <w:tcPr>
            <w:tcW w:w="500" w:type="dxa"/>
            <w:vAlign w:val="bottom"/>
            <w:gridSpan w:val="11"/>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^10.79</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w w:val="93"/>
              </w:rPr>
              <w:t>Purchase Agreement No. 04761, dated as of May 15, 2018, between The Boeing Company and</w:t>
            </w:r>
          </w:p>
        </w:tc>
        <w:tc>
          <w:tcPr>
            <w:tcW w:w="20" w:type="dxa"/>
            <w:vAlign w:val="bottom"/>
          </w:tcPr>
          <w:p>
            <w:pPr>
              <w:spacing w:after="0"/>
              <w:rPr>
                <w:sz w:val="24"/>
                <w:szCs w:val="24"/>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460" w:type="dxa"/>
            <w:vAlign w:val="bottom"/>
            <w:tcBorders>
              <w:top w:val="single" w:sz="8" w:color="auto"/>
            </w:tcBorders>
            <w:gridSpan w:val="26"/>
          </w:tcPr>
          <w:p>
            <w:pPr>
              <w:spacing w:after="0" w:line="184" w:lineRule="exact"/>
              <w:rPr>
                <w:sz w:val="20"/>
                <w:szCs w:val="20"/>
                <w:color w:val="auto"/>
              </w:rPr>
            </w:pPr>
            <w:r>
              <w:rPr>
                <w:rFonts w:ascii="Arial" w:cs="Arial" w:eastAsia="Arial" w:hAnsi="Arial"/>
                <w:sz w:val="19"/>
                <w:szCs w:val="19"/>
                <w:color w:val="auto"/>
                <w:w w:val="96"/>
              </w:rPr>
              <w:t>United Airlines, Inc. (filed as Exhibit 10.5 to UAL's Form 10-Q for the quarter ended June 30,</w:t>
            </w:r>
          </w:p>
        </w:tc>
        <w:tc>
          <w:tcPr>
            <w:tcW w:w="8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380" w:type="dxa"/>
            <w:vAlign w:val="bottom"/>
            <w:tcBorders>
              <w:top w:val="single" w:sz="8" w:color="auto"/>
            </w:tcBorders>
            <w:gridSpan w:val="22"/>
          </w:tcPr>
          <w:p>
            <w:pPr>
              <w:spacing w:after="0" w:line="174" w:lineRule="exact"/>
              <w:rPr>
                <w:sz w:val="20"/>
                <w:szCs w:val="20"/>
                <w:color w:val="auto"/>
              </w:rPr>
            </w:pPr>
            <w:r>
              <w:rPr>
                <w:rFonts w:ascii="Arial" w:cs="Arial" w:eastAsia="Arial" w:hAnsi="Arial"/>
                <w:sz w:val="19"/>
                <w:szCs w:val="19"/>
                <w:color w:val="auto"/>
              </w:rPr>
              <w:t>2021 and incorporated herein by reference)</w:t>
            </w:r>
          </w:p>
        </w:tc>
        <w:tc>
          <w:tcPr>
            <w:tcW w:w="1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640"/>
          </w:cols>
          <w:pgMar w:left="1020" w:top="891" w:right="1220" w:bottom="45"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105</w:t>
      </w:r>
    </w:p>
    <w:p>
      <w:pPr>
        <w:sectPr>
          <w:pgSz w:w="11880" w:h="15480" w:orient="portrait"/>
          <w:cols w:equalWidth="0" w:num="1">
            <w:col w:w="9640"/>
          </w:cols>
          <w:pgMar w:left="1020" w:top="891" w:right="1220" w:bottom="45"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24"/>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^10.80</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620" w:type="dxa"/>
            <w:vAlign w:val="bottom"/>
            <w:gridSpan w:val="25"/>
          </w:tcPr>
          <w:p>
            <w:pPr>
              <w:spacing w:after="0"/>
              <w:rPr>
                <w:sz w:val="20"/>
                <w:szCs w:val="20"/>
                <w:color w:val="auto"/>
              </w:rPr>
            </w:pPr>
            <w:r>
              <w:rPr>
                <w:rFonts w:ascii="Arial" w:cs="Arial" w:eastAsia="Arial" w:hAnsi="Arial"/>
                <w:sz w:val="19"/>
                <w:szCs w:val="19"/>
                <w:color w:val="auto"/>
                <w:w w:val="95"/>
              </w:rPr>
              <w:t>Supplemental Agreement No. 1 to Purchase Agreement No. 04761, dated as of September 25,</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360" w:type="dxa"/>
            <w:vAlign w:val="bottom"/>
            <w:tcBorders>
              <w:top w:val="single" w:sz="8" w:color="auto"/>
              <w:bottom w:val="single" w:sz="8" w:color="auto"/>
            </w:tcBorders>
            <w:gridSpan w:val="12"/>
          </w:tcPr>
          <w:p>
            <w:pPr>
              <w:spacing w:after="0" w:line="184" w:lineRule="exact"/>
              <w:rPr>
                <w:sz w:val="20"/>
                <w:szCs w:val="20"/>
                <w:color w:val="auto"/>
              </w:rPr>
            </w:pPr>
            <w:r>
              <w:rPr>
                <w:rFonts w:ascii="Arial" w:cs="Arial" w:eastAsia="Arial" w:hAnsi="Arial"/>
                <w:sz w:val="19"/>
                <w:szCs w:val="19"/>
                <w:color w:val="auto"/>
                <w:w w:val="95"/>
              </w:rPr>
              <w:t>2018, between The Boeing Company and United Airlines, Inc. (filed as Exhibit 10.6 to UAL's</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20" w:type="dxa"/>
            <w:vAlign w:val="bottom"/>
            <w:gridSpan w:val="15"/>
          </w:tcPr>
          <w:p>
            <w:pPr>
              <w:spacing w:after="0" w:line="174" w:lineRule="exact"/>
              <w:rPr>
                <w:sz w:val="20"/>
                <w:szCs w:val="20"/>
                <w:color w:val="auto"/>
              </w:rPr>
            </w:pPr>
            <w:r>
              <w:rPr>
                <w:rFonts w:ascii="Arial" w:cs="Arial" w:eastAsia="Arial" w:hAnsi="Arial"/>
                <w:sz w:val="19"/>
                <w:szCs w:val="19"/>
                <w:color w:val="auto"/>
              </w:rPr>
              <w:t>Form 10-Q for the quarter ended June 30, 2021 and incorporated herein by reference)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^10.81</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620" w:type="dxa"/>
            <w:vAlign w:val="bottom"/>
            <w:gridSpan w:val="25"/>
          </w:tcPr>
          <w:p>
            <w:pPr>
              <w:spacing w:after="0"/>
              <w:rPr>
                <w:sz w:val="20"/>
                <w:szCs w:val="20"/>
                <w:color w:val="auto"/>
              </w:rPr>
            </w:pPr>
            <w:r>
              <w:rPr>
                <w:rFonts w:ascii="Arial" w:cs="Arial" w:eastAsia="Arial" w:hAnsi="Arial"/>
                <w:sz w:val="19"/>
                <w:szCs w:val="19"/>
                <w:color w:val="auto"/>
                <w:w w:val="95"/>
              </w:rPr>
              <w:t>Supplemental Agreement No. 2 to Purchase Agreement No. 04761, dated as of December 12,</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320" w:type="dxa"/>
            <w:vAlign w:val="bottom"/>
            <w:tcBorders>
              <w:top w:val="single" w:sz="8" w:color="auto"/>
            </w:tcBorders>
            <w:gridSpan w:val="10"/>
          </w:tcPr>
          <w:p>
            <w:pPr>
              <w:spacing w:after="0" w:line="184" w:lineRule="exact"/>
              <w:rPr>
                <w:sz w:val="20"/>
                <w:szCs w:val="20"/>
                <w:color w:val="auto"/>
              </w:rPr>
            </w:pPr>
            <w:r>
              <w:rPr>
                <w:rFonts w:ascii="Arial" w:cs="Arial" w:eastAsia="Arial" w:hAnsi="Arial"/>
                <w:sz w:val="19"/>
                <w:szCs w:val="19"/>
                <w:color w:val="auto"/>
                <w:w w:val="94"/>
              </w:rPr>
              <w:t>2018, between The Boeing Company and United Airlines, Inc. (filed as Exhibit 10.7 to UAL's</w:t>
            </w: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20" w:type="dxa"/>
            <w:vAlign w:val="bottom"/>
            <w:tcBorders>
              <w:top w:val="single" w:sz="8" w:color="auto"/>
            </w:tcBorders>
            <w:gridSpan w:val="15"/>
          </w:tcPr>
          <w:p>
            <w:pPr>
              <w:spacing w:after="0" w:line="174" w:lineRule="exact"/>
              <w:rPr>
                <w:sz w:val="20"/>
                <w:szCs w:val="20"/>
                <w:color w:val="auto"/>
              </w:rPr>
            </w:pPr>
            <w:r>
              <w:rPr>
                <w:rFonts w:ascii="Arial" w:cs="Arial" w:eastAsia="Arial" w:hAnsi="Arial"/>
                <w:sz w:val="19"/>
                <w:szCs w:val="19"/>
                <w:color w:val="auto"/>
              </w:rPr>
              <w:t>Form 10-Q for the quarter ended June 30, 2021 and incorporated herein by reference)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^10.82</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620" w:type="dxa"/>
            <w:vAlign w:val="bottom"/>
            <w:gridSpan w:val="25"/>
          </w:tcPr>
          <w:p>
            <w:pPr>
              <w:spacing w:after="0"/>
              <w:rPr>
                <w:sz w:val="20"/>
                <w:szCs w:val="20"/>
                <w:color w:val="auto"/>
              </w:rPr>
            </w:pPr>
            <w:r>
              <w:rPr>
                <w:rFonts w:ascii="Arial" w:cs="Arial" w:eastAsia="Arial" w:hAnsi="Arial"/>
                <w:sz w:val="19"/>
                <w:szCs w:val="19"/>
                <w:color w:val="auto"/>
                <w:w w:val="93"/>
              </w:rPr>
              <w:t>Supplemental Agreement No. 3 to Purchase Agreement No. 04761, dated as of March 20, 2020,</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80" w:type="dxa"/>
            <w:vAlign w:val="bottom"/>
            <w:tcBorders>
              <w:top w:val="single" w:sz="8" w:color="auto"/>
            </w:tcBorders>
            <w:gridSpan w:val="23"/>
          </w:tcPr>
          <w:p>
            <w:pPr>
              <w:spacing w:after="0" w:line="184" w:lineRule="exact"/>
              <w:rPr>
                <w:sz w:val="20"/>
                <w:szCs w:val="20"/>
                <w:color w:val="auto"/>
              </w:rPr>
            </w:pPr>
            <w:r>
              <w:rPr>
                <w:rFonts w:ascii="Arial" w:cs="Arial" w:eastAsia="Arial" w:hAnsi="Arial"/>
                <w:sz w:val="19"/>
                <w:szCs w:val="19"/>
                <w:color w:val="auto"/>
                <w:w w:val="98"/>
              </w:rPr>
              <w:t>between The Boeing Company and United Airlines, Inc. (filed as Exhibit 10.8 to UAL's Form</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180" w:type="dxa"/>
            <w:vAlign w:val="bottom"/>
            <w:tcBorders>
              <w:top w:val="single" w:sz="8" w:color="auto"/>
              <w:bottom w:val="single" w:sz="8" w:color="auto"/>
            </w:tcBorders>
            <w:gridSpan w:val="2"/>
          </w:tcPr>
          <w:p>
            <w:pPr>
              <w:spacing w:after="0" w:line="174" w:lineRule="exact"/>
              <w:rPr>
                <w:sz w:val="20"/>
                <w:szCs w:val="20"/>
                <w:color w:val="auto"/>
              </w:rPr>
            </w:pPr>
            <w:r>
              <w:rPr>
                <w:rFonts w:ascii="Arial" w:cs="Arial" w:eastAsia="Arial" w:hAnsi="Arial"/>
                <w:sz w:val="19"/>
                <w:szCs w:val="19"/>
                <w:color w:val="auto"/>
                <w:w w:val="91"/>
              </w:rPr>
              <w:t>10-Q for the quarter ended June 30, 2021 and incorporated herein by reference)</w:t>
            </w:r>
          </w:p>
        </w:tc>
        <w:tc>
          <w:tcPr>
            <w:tcW w:w="1200" w:type="dxa"/>
            <w:vAlign w:val="bottom"/>
            <w:tcBorders>
              <w:top w:val="single" w:sz="8" w:color="auto"/>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^10.83</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620" w:type="dxa"/>
            <w:vAlign w:val="bottom"/>
            <w:gridSpan w:val="25"/>
          </w:tcPr>
          <w:p>
            <w:pPr>
              <w:spacing w:after="0"/>
              <w:rPr>
                <w:sz w:val="20"/>
                <w:szCs w:val="20"/>
                <w:color w:val="auto"/>
              </w:rPr>
            </w:pPr>
            <w:r>
              <w:rPr>
                <w:rFonts w:ascii="Arial" w:cs="Arial" w:eastAsia="Arial" w:hAnsi="Arial"/>
                <w:sz w:val="19"/>
                <w:szCs w:val="19"/>
                <w:color w:val="auto"/>
                <w:w w:val="95"/>
              </w:rPr>
              <w:t>Supplemental Agreement No. 4 to Purchase Agreement No. 04761, dated as of June 30, 2020,</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400" w:type="dxa"/>
            <w:vAlign w:val="bottom"/>
            <w:tcBorders>
              <w:top w:val="single" w:sz="8" w:color="auto"/>
            </w:tcBorders>
            <w:gridSpan w:val="14"/>
          </w:tcPr>
          <w:p>
            <w:pPr>
              <w:spacing w:after="0" w:line="184" w:lineRule="exact"/>
              <w:rPr>
                <w:sz w:val="20"/>
                <w:szCs w:val="20"/>
                <w:color w:val="auto"/>
              </w:rPr>
            </w:pPr>
            <w:r>
              <w:rPr>
                <w:rFonts w:ascii="Arial" w:cs="Arial" w:eastAsia="Arial" w:hAnsi="Arial"/>
                <w:sz w:val="19"/>
                <w:szCs w:val="19"/>
                <w:color w:val="auto"/>
                <w:w w:val="95"/>
              </w:rPr>
              <w:t>between The Boeing Company and United Airlines, Inc. (filed as Exhibit 10.9 to UAL's Form</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180" w:type="dxa"/>
            <w:vAlign w:val="bottom"/>
            <w:tcBorders>
              <w:top w:val="single" w:sz="8" w:color="auto"/>
              <w:bottom w:val="single" w:sz="8" w:color="auto"/>
            </w:tcBorders>
            <w:gridSpan w:val="2"/>
          </w:tcPr>
          <w:p>
            <w:pPr>
              <w:spacing w:after="0" w:line="174" w:lineRule="exact"/>
              <w:rPr>
                <w:sz w:val="20"/>
                <w:szCs w:val="20"/>
                <w:color w:val="auto"/>
              </w:rPr>
            </w:pPr>
            <w:r>
              <w:rPr>
                <w:rFonts w:ascii="Arial" w:cs="Arial" w:eastAsia="Arial" w:hAnsi="Arial"/>
                <w:sz w:val="19"/>
                <w:szCs w:val="19"/>
                <w:color w:val="auto"/>
                <w:w w:val="91"/>
              </w:rPr>
              <w:t>10-Q for the quarter ended June 30, 2021 and incorporated herein by reference)</w:t>
            </w:r>
          </w:p>
        </w:tc>
        <w:tc>
          <w:tcPr>
            <w:tcW w:w="1200" w:type="dxa"/>
            <w:vAlign w:val="bottom"/>
            <w:tcBorders>
              <w:top w:val="single" w:sz="8" w:color="auto"/>
            </w:tcBorders>
            <w:gridSpan w:val="11"/>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^10.84</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220" w:type="dxa"/>
            <w:vAlign w:val="bottom"/>
            <w:tcBorders>
              <w:bottom w:val="single" w:sz="8" w:color="auto"/>
            </w:tcBorders>
            <w:gridSpan w:val="8"/>
          </w:tcPr>
          <w:p>
            <w:pPr>
              <w:spacing w:after="0"/>
              <w:rPr>
                <w:sz w:val="20"/>
                <w:szCs w:val="20"/>
                <w:color w:val="auto"/>
              </w:rPr>
            </w:pPr>
            <w:r>
              <w:rPr>
                <w:rFonts w:ascii="Arial" w:cs="Arial" w:eastAsia="Arial" w:hAnsi="Arial"/>
                <w:sz w:val="19"/>
                <w:szCs w:val="19"/>
                <w:color w:val="auto"/>
                <w:w w:val="92"/>
              </w:rPr>
              <w:t>Supplemental Agreement No. 5 to Purchase Agreement No. 04761, dated as of February 26,</w:t>
            </w:r>
          </w:p>
        </w:tc>
        <w:tc>
          <w:tcPr>
            <w:tcW w:w="4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620" w:type="dxa"/>
            <w:vAlign w:val="bottom"/>
            <w:gridSpan w:val="25"/>
          </w:tcPr>
          <w:p>
            <w:pPr>
              <w:spacing w:after="0" w:line="184" w:lineRule="exact"/>
              <w:rPr>
                <w:sz w:val="20"/>
                <w:szCs w:val="20"/>
                <w:color w:val="auto"/>
              </w:rPr>
            </w:pPr>
            <w:r>
              <w:rPr>
                <w:rFonts w:ascii="Arial" w:cs="Arial" w:eastAsia="Arial" w:hAnsi="Arial"/>
                <w:sz w:val="19"/>
                <w:szCs w:val="19"/>
                <w:color w:val="auto"/>
                <w:w w:val="97"/>
              </w:rPr>
              <w:t>2021, between The Boeing Company and United Airlines, Inc. (filed as Exhibit 10.33 to UAL's</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20" w:type="dxa"/>
            <w:vAlign w:val="bottom"/>
            <w:tcBorders>
              <w:top w:val="single" w:sz="8" w:color="auto"/>
              <w:bottom w:val="single" w:sz="8" w:color="auto"/>
            </w:tcBorders>
            <w:gridSpan w:val="6"/>
          </w:tcPr>
          <w:p>
            <w:pPr>
              <w:spacing w:after="0" w:line="174" w:lineRule="exact"/>
              <w:rPr>
                <w:sz w:val="20"/>
                <w:szCs w:val="20"/>
                <w:color w:val="auto"/>
              </w:rPr>
            </w:pPr>
            <w:r>
              <w:rPr>
                <w:rFonts w:ascii="Arial" w:cs="Arial" w:eastAsia="Arial" w:hAnsi="Arial"/>
                <w:sz w:val="19"/>
                <w:szCs w:val="19"/>
                <w:color w:val="auto"/>
                <w:w w:val="91"/>
              </w:rPr>
              <w:t>Form 10-Q for the quarter ended September 30, 2023 and incorporated herein by reference)</w:t>
            </w:r>
          </w:p>
        </w:tc>
        <w:tc>
          <w:tcPr>
            <w:tcW w:w="420" w:type="dxa"/>
            <w:vAlign w:val="bottom"/>
            <w:tcBorders>
              <w:top w:val="single" w:sz="8" w:color="auto"/>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^10.85</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620" w:type="dxa"/>
            <w:vAlign w:val="bottom"/>
            <w:gridSpan w:val="25"/>
          </w:tcPr>
          <w:p>
            <w:pPr>
              <w:spacing w:after="0"/>
              <w:rPr>
                <w:sz w:val="20"/>
                <w:szCs w:val="20"/>
                <w:color w:val="auto"/>
              </w:rPr>
            </w:pPr>
            <w:r>
              <w:rPr>
                <w:rFonts w:ascii="Arial" w:cs="Arial" w:eastAsia="Arial" w:hAnsi="Arial"/>
                <w:sz w:val="19"/>
                <w:szCs w:val="19"/>
                <w:color w:val="auto"/>
                <w:w w:val="95"/>
              </w:rPr>
              <w:t>Supplemental Agreement No. 6 to Purchase Agreement No. 04761, dated as of June 27, 2021,</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400" w:type="dxa"/>
            <w:vAlign w:val="bottom"/>
            <w:tcBorders>
              <w:top w:val="single" w:sz="8" w:color="auto"/>
              <w:bottom w:val="single" w:sz="8" w:color="auto"/>
            </w:tcBorders>
            <w:gridSpan w:val="14"/>
          </w:tcPr>
          <w:p>
            <w:pPr>
              <w:spacing w:after="0" w:line="184" w:lineRule="exact"/>
              <w:rPr>
                <w:sz w:val="20"/>
                <w:szCs w:val="20"/>
                <w:color w:val="auto"/>
              </w:rPr>
            </w:pPr>
            <w:r>
              <w:rPr>
                <w:rFonts w:ascii="Arial" w:cs="Arial" w:eastAsia="Arial" w:hAnsi="Arial"/>
                <w:sz w:val="19"/>
                <w:szCs w:val="19"/>
                <w:color w:val="auto"/>
                <w:w w:val="94"/>
              </w:rPr>
              <w:t>between The Boeing Company and United Airlines, Inc. (filed as Exhibit 10.11 to UAL's Form</w:t>
            </w:r>
          </w:p>
        </w:tc>
        <w:tc>
          <w:tcPr>
            <w:tcW w:w="40" w:type="dxa"/>
            <w:vAlign w:val="bottom"/>
            <w:tcBorders>
              <w:bottom w:val="single" w:sz="8" w:color="auto"/>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180" w:type="dxa"/>
            <w:vAlign w:val="bottom"/>
            <w:tcBorders>
              <w:bottom w:val="single" w:sz="8" w:color="auto"/>
            </w:tcBorders>
            <w:gridSpan w:val="2"/>
          </w:tcPr>
          <w:p>
            <w:pPr>
              <w:spacing w:after="0" w:line="174" w:lineRule="exact"/>
              <w:rPr>
                <w:sz w:val="20"/>
                <w:szCs w:val="20"/>
                <w:color w:val="auto"/>
              </w:rPr>
            </w:pPr>
            <w:r>
              <w:rPr>
                <w:rFonts w:ascii="Arial" w:cs="Arial" w:eastAsia="Arial" w:hAnsi="Arial"/>
                <w:sz w:val="19"/>
                <w:szCs w:val="19"/>
                <w:color w:val="auto"/>
                <w:w w:val="91"/>
              </w:rPr>
              <w:t>10-Q for the quarter ended June 30, 2021 and incorporated herein by reference)</w:t>
            </w:r>
          </w:p>
        </w:tc>
        <w:tc>
          <w:tcPr>
            <w:tcW w:w="1320" w:type="dxa"/>
            <w:vAlign w:val="bottom"/>
            <w:gridSpan w:val="1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^10.86</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620" w:type="dxa"/>
            <w:vAlign w:val="bottom"/>
            <w:tcBorders>
              <w:bottom w:val="single" w:sz="8" w:color="auto"/>
            </w:tcBorders>
            <w:gridSpan w:val="25"/>
          </w:tcPr>
          <w:p>
            <w:pPr>
              <w:spacing w:after="0"/>
              <w:rPr>
                <w:sz w:val="20"/>
                <w:szCs w:val="20"/>
                <w:color w:val="auto"/>
              </w:rPr>
            </w:pPr>
            <w:r>
              <w:rPr>
                <w:rFonts w:ascii="Arial" w:cs="Arial" w:eastAsia="Arial" w:hAnsi="Arial"/>
                <w:sz w:val="19"/>
                <w:szCs w:val="19"/>
                <w:color w:val="auto"/>
                <w:w w:val="93"/>
              </w:rPr>
              <w:t>Supplemental Agreement No. 7 to Purchase Agreement No. 04761, dated as of August 12, 2021,</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620" w:type="dxa"/>
            <w:vAlign w:val="bottom"/>
            <w:gridSpan w:val="25"/>
          </w:tcPr>
          <w:p>
            <w:pPr>
              <w:spacing w:after="0" w:line="184" w:lineRule="exact"/>
              <w:rPr>
                <w:sz w:val="20"/>
                <w:szCs w:val="20"/>
                <w:color w:val="auto"/>
              </w:rPr>
            </w:pPr>
            <w:r>
              <w:rPr>
                <w:rFonts w:ascii="Arial" w:cs="Arial" w:eastAsia="Arial" w:hAnsi="Arial"/>
                <w:sz w:val="19"/>
                <w:szCs w:val="19"/>
                <w:color w:val="auto"/>
                <w:w w:val="98"/>
              </w:rPr>
              <w:t>between The Boeing Company and United Airlines, Inc. (filed as Exhibit 10.3 to UAL's Form</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380" w:type="dxa"/>
            <w:vAlign w:val="bottom"/>
            <w:tcBorders>
              <w:top w:val="single" w:sz="8" w:color="auto"/>
            </w:tcBorders>
            <w:gridSpan w:val="13"/>
          </w:tcPr>
          <w:p>
            <w:pPr>
              <w:spacing w:after="0" w:line="174" w:lineRule="exact"/>
              <w:rPr>
                <w:sz w:val="20"/>
                <w:szCs w:val="20"/>
                <w:color w:val="auto"/>
              </w:rPr>
            </w:pPr>
            <w:r>
              <w:rPr>
                <w:rFonts w:ascii="Arial" w:cs="Arial" w:eastAsia="Arial" w:hAnsi="Arial"/>
                <w:sz w:val="19"/>
                <w:szCs w:val="19"/>
                <w:color w:val="auto"/>
              </w:rPr>
              <w:t>10-Q for the quarter ended September 30, 2021 and incorporated herein by reference)</w:t>
            </w: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^10.87</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620" w:type="dxa"/>
            <w:vAlign w:val="bottom"/>
            <w:gridSpan w:val="25"/>
          </w:tcPr>
          <w:p>
            <w:pPr>
              <w:spacing w:after="0"/>
              <w:rPr>
                <w:sz w:val="20"/>
                <w:szCs w:val="20"/>
                <w:color w:val="auto"/>
              </w:rPr>
            </w:pPr>
            <w:r>
              <w:rPr>
                <w:rFonts w:ascii="Arial" w:cs="Arial" w:eastAsia="Arial" w:hAnsi="Arial"/>
                <w:sz w:val="19"/>
                <w:szCs w:val="19"/>
                <w:color w:val="auto"/>
                <w:w w:val="96"/>
              </w:rPr>
              <w:t>Supplemental Agreement No. 8 to Purchase Agreement No. 04761, dated as of September 8,</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240" w:type="dxa"/>
            <w:vAlign w:val="bottom"/>
            <w:tcBorders>
              <w:top w:val="single" w:sz="8" w:color="auto"/>
            </w:tcBorders>
            <w:gridSpan w:val="9"/>
          </w:tcPr>
          <w:p>
            <w:pPr>
              <w:spacing w:after="0" w:line="184" w:lineRule="exact"/>
              <w:rPr>
                <w:sz w:val="20"/>
                <w:szCs w:val="20"/>
                <w:color w:val="auto"/>
              </w:rPr>
            </w:pPr>
            <w:r>
              <w:rPr>
                <w:rFonts w:ascii="Arial" w:cs="Arial" w:eastAsia="Arial" w:hAnsi="Arial"/>
                <w:sz w:val="19"/>
                <w:szCs w:val="19"/>
                <w:color w:val="auto"/>
                <w:w w:val="93"/>
              </w:rPr>
              <w:t>2021, between The Boeing Company and United Airlines, Inc. (filed as Exhibit 10.4 to UAL's</w:t>
            </w:r>
          </w:p>
        </w:tc>
        <w:tc>
          <w:tcPr>
            <w:tcW w:w="100" w:type="dxa"/>
            <w:vAlign w:val="bottom"/>
            <w:gridSpan w:val="2"/>
          </w:tcPr>
          <w:p>
            <w:pPr>
              <w:spacing w:after="0"/>
              <w:rPr>
                <w:sz w:val="16"/>
                <w:szCs w:val="16"/>
                <w:color w:val="auto"/>
              </w:rPr>
            </w:pPr>
          </w:p>
        </w:tc>
        <w:tc>
          <w:tcPr>
            <w:tcW w:w="10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120" w:type="dxa"/>
            <w:vAlign w:val="bottom"/>
            <w:tcBorders>
              <w:top w:val="single" w:sz="8" w:color="auto"/>
              <w:bottom w:val="single" w:sz="8" w:color="auto"/>
            </w:tcBorders>
            <w:gridSpan w:val="6"/>
          </w:tcPr>
          <w:p>
            <w:pPr>
              <w:spacing w:after="0" w:line="174" w:lineRule="exact"/>
              <w:rPr>
                <w:sz w:val="20"/>
                <w:szCs w:val="20"/>
                <w:color w:val="auto"/>
              </w:rPr>
            </w:pPr>
            <w:r>
              <w:rPr>
                <w:rFonts w:ascii="Arial" w:cs="Arial" w:eastAsia="Arial" w:hAnsi="Arial"/>
                <w:sz w:val="19"/>
                <w:szCs w:val="19"/>
                <w:color w:val="auto"/>
                <w:w w:val="91"/>
              </w:rPr>
              <w:t>Form 10-Q for the quarter ended September 30, 2021 and incorporated herein by reference)</w:t>
            </w:r>
          </w:p>
        </w:tc>
        <w:tc>
          <w:tcPr>
            <w:tcW w:w="300" w:type="dxa"/>
            <w:vAlign w:val="bottom"/>
            <w:tcBorders>
              <w:top w:val="single" w:sz="8" w:color="auto"/>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^10.88</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340" w:type="dxa"/>
            <w:vAlign w:val="bottom"/>
            <w:tcBorders>
              <w:bottom w:val="single" w:sz="8" w:color="auto"/>
            </w:tcBorders>
            <w:gridSpan w:val="11"/>
          </w:tcPr>
          <w:p>
            <w:pPr>
              <w:spacing w:after="0"/>
              <w:rPr>
                <w:sz w:val="20"/>
                <w:szCs w:val="20"/>
                <w:color w:val="auto"/>
              </w:rPr>
            </w:pPr>
            <w:r>
              <w:rPr>
                <w:rFonts w:ascii="Arial" w:cs="Arial" w:eastAsia="Arial" w:hAnsi="Arial"/>
                <w:sz w:val="19"/>
                <w:szCs w:val="19"/>
                <w:color w:val="auto"/>
                <w:w w:val="92"/>
              </w:rPr>
              <w:t>Supplemental Agreement No. 9 to Purchase Agreement No. 04761, dated as of November 30,</w:t>
            </w:r>
          </w:p>
        </w:tc>
        <w:tc>
          <w:tcPr>
            <w:tcW w:w="2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620" w:type="dxa"/>
            <w:vAlign w:val="bottom"/>
            <w:gridSpan w:val="25"/>
          </w:tcPr>
          <w:p>
            <w:pPr>
              <w:spacing w:after="0" w:line="184" w:lineRule="exact"/>
              <w:rPr>
                <w:sz w:val="20"/>
                <w:szCs w:val="20"/>
                <w:color w:val="auto"/>
              </w:rPr>
            </w:pPr>
            <w:r>
              <w:rPr>
                <w:rFonts w:ascii="Arial" w:cs="Arial" w:eastAsia="Arial" w:hAnsi="Arial"/>
                <w:sz w:val="19"/>
                <w:szCs w:val="19"/>
                <w:color w:val="auto"/>
                <w:w w:val="96"/>
              </w:rPr>
              <w:t>2021, between The Boeing Company and United Airlines (filed as Exhibit 10.83 to UAL's Form</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0" w:type="dxa"/>
            <w:vAlign w:val="bottom"/>
            <w:tcBorders>
              <w:top w:val="single" w:sz="8" w:color="auto"/>
            </w:tcBorders>
            <w:gridSpan w:val="24"/>
          </w:tcPr>
          <w:p>
            <w:pPr>
              <w:spacing w:after="0" w:line="174" w:lineRule="exact"/>
              <w:rPr>
                <w:sz w:val="20"/>
                <w:szCs w:val="20"/>
                <w:color w:val="auto"/>
              </w:rPr>
            </w:pPr>
            <w:r>
              <w:rPr>
                <w:rFonts w:ascii="Arial" w:cs="Arial" w:eastAsia="Arial" w:hAnsi="Arial"/>
                <w:sz w:val="19"/>
                <w:szCs w:val="19"/>
                <w:color w:val="auto"/>
              </w:rPr>
              <w:t>10-K for the year ended December 31, 2021 and incorporated herein by reference)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right"/>
              <w:ind w:right="183"/>
              <w:spacing w:after="0"/>
              <w:rPr>
                <w:sz w:val="20"/>
                <w:szCs w:val="20"/>
                <w:color w:val="auto"/>
              </w:rPr>
            </w:pPr>
            <w:r>
              <w:rPr>
                <w:rFonts w:ascii="Arial" w:cs="Arial" w:eastAsia="Arial" w:hAnsi="Arial"/>
                <w:sz w:val="19"/>
                <w:szCs w:val="19"/>
                <w:color w:val="auto"/>
                <w:w w:val="88"/>
              </w:rPr>
              <w:t>^10.89</w:t>
            </w:r>
          </w:p>
        </w:tc>
        <w:tc>
          <w:tcPr>
            <w:tcW w:w="1280" w:type="dxa"/>
            <w:vAlign w:val="bottom"/>
            <w:vMerge w:val="restart"/>
          </w:tcPr>
          <w:p>
            <w:pPr>
              <w:ind w:left="280"/>
              <w:spacing w:after="0"/>
              <w:rPr>
                <w:sz w:val="20"/>
                <w:szCs w:val="20"/>
                <w:color w:val="auto"/>
              </w:rPr>
            </w:pPr>
            <w:r>
              <w:rPr>
                <w:rFonts w:ascii="Arial" w:cs="Arial" w:eastAsia="Arial" w:hAnsi="Arial"/>
                <w:sz w:val="19"/>
                <w:szCs w:val="19"/>
                <w:color w:val="auto"/>
              </w:rPr>
              <w:t>UAL</w:t>
            </w:r>
          </w:p>
        </w:tc>
        <w:tc>
          <w:tcPr>
            <w:tcW w:w="3660" w:type="dxa"/>
            <w:vAlign w:val="bottom"/>
            <w:shd w:val="clear" w:color="auto" w:fill="000000"/>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80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7620" w:type="dxa"/>
            <w:vAlign w:val="bottom"/>
            <w:gridSpan w:val="25"/>
          </w:tcPr>
          <w:p>
            <w:pPr>
              <w:spacing w:after="0"/>
              <w:rPr>
                <w:sz w:val="20"/>
                <w:szCs w:val="20"/>
                <w:color w:val="auto"/>
              </w:rPr>
            </w:pPr>
            <w:r>
              <w:rPr>
                <w:rFonts w:ascii="Arial" w:cs="Arial" w:eastAsia="Arial" w:hAnsi="Arial"/>
                <w:sz w:val="19"/>
                <w:szCs w:val="19"/>
                <w:color w:val="auto"/>
                <w:w w:val="93"/>
              </w:rPr>
              <w:t>Supplemental Agreement No. 10 to Purchase Agreement No. 04761, dated as of June 30, 2022,</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520" w:type="dxa"/>
            <w:vAlign w:val="bottom"/>
            <w:tcBorders>
              <w:top w:val="single" w:sz="8" w:color="auto"/>
            </w:tcBorders>
            <w:gridSpan w:val="20"/>
          </w:tcPr>
          <w:p>
            <w:pPr>
              <w:spacing w:after="0" w:line="184" w:lineRule="exact"/>
              <w:rPr>
                <w:sz w:val="20"/>
                <w:szCs w:val="20"/>
                <w:color w:val="auto"/>
              </w:rPr>
            </w:pPr>
            <w:r>
              <w:rPr>
                <w:rFonts w:ascii="Arial" w:cs="Arial" w:eastAsia="Arial" w:hAnsi="Arial"/>
                <w:sz w:val="19"/>
                <w:szCs w:val="19"/>
                <w:color w:val="auto"/>
                <w:w w:val="97"/>
              </w:rPr>
              <w:t>between The Boeing Company and United Airlines, Inc. (filed as Exhibit 10.2 to UAL's Form</w:t>
            </w: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180" w:type="dxa"/>
            <w:vAlign w:val="bottom"/>
            <w:tcBorders>
              <w:top w:val="single" w:sz="8" w:color="auto"/>
              <w:bottom w:val="single" w:sz="8" w:color="auto"/>
            </w:tcBorders>
            <w:gridSpan w:val="2"/>
          </w:tcPr>
          <w:p>
            <w:pPr>
              <w:spacing w:after="0" w:line="174" w:lineRule="exact"/>
              <w:rPr>
                <w:sz w:val="20"/>
                <w:szCs w:val="20"/>
                <w:color w:val="auto"/>
              </w:rPr>
            </w:pPr>
            <w:r>
              <w:rPr>
                <w:rFonts w:ascii="Arial" w:cs="Arial" w:eastAsia="Arial" w:hAnsi="Arial"/>
                <w:sz w:val="19"/>
                <w:szCs w:val="19"/>
                <w:color w:val="auto"/>
                <w:w w:val="91"/>
              </w:rPr>
              <w:t>10-Q for the quarter ended June 30, 2022 and incorporated herein by reference)</w:t>
            </w:r>
          </w:p>
        </w:tc>
        <w:tc>
          <w:tcPr>
            <w:tcW w:w="1200" w:type="dxa"/>
            <w:vAlign w:val="bottom"/>
            <w:tcBorders>
              <w:top w:val="single" w:sz="8" w:color="auto"/>
            </w:tcBorders>
            <w:gridSpan w:val="11"/>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^10.90</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620" w:type="dxa"/>
            <w:vAlign w:val="bottom"/>
            <w:gridSpan w:val="25"/>
          </w:tcPr>
          <w:p>
            <w:pPr>
              <w:spacing w:after="0"/>
              <w:rPr>
                <w:sz w:val="20"/>
                <w:szCs w:val="20"/>
                <w:color w:val="auto"/>
              </w:rPr>
            </w:pPr>
            <w:r>
              <w:rPr>
                <w:rFonts w:ascii="Arial" w:cs="Arial" w:eastAsia="Arial" w:hAnsi="Arial"/>
                <w:sz w:val="19"/>
                <w:szCs w:val="19"/>
                <w:color w:val="auto"/>
                <w:w w:val="93"/>
              </w:rPr>
              <w:t>Supplemental Agreement No. 11 to Purchase Agreement Number 04761, dated as of November</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200" w:type="dxa"/>
            <w:vAlign w:val="bottom"/>
            <w:tcBorders>
              <w:top w:val="single" w:sz="8" w:color="auto"/>
              <w:bottom w:val="single" w:sz="8" w:color="auto"/>
            </w:tcBorders>
            <w:gridSpan w:val="7"/>
          </w:tcPr>
          <w:p>
            <w:pPr>
              <w:spacing w:after="0" w:line="184" w:lineRule="exact"/>
              <w:rPr>
                <w:sz w:val="20"/>
                <w:szCs w:val="20"/>
                <w:color w:val="auto"/>
              </w:rPr>
            </w:pPr>
            <w:r>
              <w:rPr>
                <w:rFonts w:ascii="Arial" w:cs="Arial" w:eastAsia="Arial" w:hAnsi="Arial"/>
                <w:sz w:val="19"/>
                <w:szCs w:val="19"/>
                <w:color w:val="auto"/>
                <w:w w:val="94"/>
              </w:rPr>
              <w:t>29, 2022, between The Boeing Company and United Airlines, Inc. (filed as Exhibit 10.90 to</w:t>
            </w:r>
          </w:p>
        </w:tc>
        <w:tc>
          <w:tcPr>
            <w:tcW w:w="360" w:type="dxa"/>
            <w:vAlign w:val="bottom"/>
            <w:tcBorders>
              <w:top w:val="single" w:sz="8" w:color="auto"/>
            </w:tcBorders>
            <w:gridSpan w:val="15"/>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80" w:type="dxa"/>
            <w:vAlign w:val="bottom"/>
            <w:tcBorders>
              <w:bottom w:val="single" w:sz="8" w:color="auto"/>
            </w:tcBorders>
            <w:gridSpan w:val="18"/>
          </w:tcPr>
          <w:p>
            <w:pPr>
              <w:spacing w:after="0" w:line="174" w:lineRule="exact"/>
              <w:rPr>
                <w:sz w:val="20"/>
                <w:szCs w:val="20"/>
                <w:color w:val="auto"/>
              </w:rPr>
            </w:pPr>
            <w:r>
              <w:rPr>
                <w:rFonts w:ascii="Arial" w:cs="Arial" w:eastAsia="Arial" w:hAnsi="Arial"/>
                <w:sz w:val="19"/>
                <w:szCs w:val="19"/>
                <w:color w:val="auto"/>
                <w:w w:val="93"/>
              </w:rPr>
              <w:t>UAL's Form 10-K for the year ended December 31, 2022 and incorporated herein by reference)</w:t>
            </w: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542"/>
        </w:trPr>
        <w:tc>
          <w:tcPr>
            <w:tcW w:w="800" w:type="dxa"/>
            <w:vAlign w:val="bottom"/>
          </w:tcPr>
          <w:p>
            <w:pPr>
              <w:jc w:val="right"/>
              <w:ind w:right="183"/>
              <w:spacing w:after="0"/>
              <w:rPr>
                <w:sz w:val="20"/>
                <w:szCs w:val="20"/>
                <w:color w:val="auto"/>
              </w:rPr>
            </w:pPr>
            <w:r>
              <w:rPr>
                <w:rFonts w:ascii="Arial" w:cs="Arial" w:eastAsia="Arial" w:hAnsi="Arial"/>
                <w:sz w:val="19"/>
                <w:szCs w:val="19"/>
                <w:color w:val="auto"/>
                <w:w w:val="88"/>
              </w:rPr>
              <w:t>^10.91</w:t>
            </w:r>
          </w:p>
        </w:tc>
        <w:tc>
          <w:tcPr>
            <w:tcW w:w="1280" w:type="dxa"/>
            <w:vAlign w:val="bottom"/>
          </w:tcPr>
          <w:p>
            <w:pPr>
              <w:ind w:left="280"/>
              <w:spacing w:after="0"/>
              <w:rPr>
                <w:sz w:val="20"/>
                <w:szCs w:val="20"/>
                <w:color w:val="auto"/>
              </w:rPr>
            </w:pPr>
            <w:r>
              <w:rPr>
                <w:rFonts w:ascii="Arial" w:cs="Arial" w:eastAsia="Arial" w:hAnsi="Arial"/>
                <w:sz w:val="19"/>
                <w:szCs w:val="19"/>
                <w:color w:val="auto"/>
              </w:rPr>
              <w:t>UAL</w:t>
            </w:r>
          </w:p>
        </w:tc>
        <w:tc>
          <w:tcPr>
            <w:tcW w:w="7620" w:type="dxa"/>
            <w:vAlign w:val="bottom"/>
            <w:gridSpan w:val="25"/>
          </w:tcPr>
          <w:p>
            <w:pPr>
              <w:spacing w:after="0"/>
              <w:rPr>
                <w:sz w:val="20"/>
                <w:szCs w:val="20"/>
                <w:color w:val="auto"/>
              </w:rPr>
            </w:pPr>
            <w:r>
              <w:rPr>
                <w:rFonts w:ascii="Arial" w:cs="Arial" w:eastAsia="Arial" w:hAnsi="Arial"/>
                <w:sz w:val="19"/>
                <w:szCs w:val="19"/>
                <w:color w:val="auto"/>
                <w:w w:val="94"/>
              </w:rPr>
              <w:t>Supplemental Agreement No. 12 to Purchase Agreement No. 04761, dated as of December 12,</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460" w:type="dxa"/>
            <w:vAlign w:val="bottom"/>
            <w:tcBorders>
              <w:top w:val="single" w:sz="8" w:color="auto"/>
            </w:tcBorders>
            <w:gridSpan w:val="17"/>
          </w:tcPr>
          <w:p>
            <w:pPr>
              <w:spacing w:after="0" w:line="184" w:lineRule="exact"/>
              <w:rPr>
                <w:sz w:val="20"/>
                <w:szCs w:val="20"/>
                <w:color w:val="auto"/>
              </w:rPr>
            </w:pPr>
            <w:r>
              <w:rPr>
                <w:rFonts w:ascii="Arial" w:cs="Arial" w:eastAsia="Arial" w:hAnsi="Arial"/>
                <w:sz w:val="19"/>
                <w:szCs w:val="19"/>
                <w:color w:val="auto"/>
                <w:w w:val="95"/>
              </w:rPr>
              <w:t>2022, between The Boeing Company and United Airlines, Inc. (filed as Exhibit 10.91 to UAL's</w:t>
            </w:r>
          </w:p>
        </w:tc>
        <w:tc>
          <w:tcPr>
            <w:tcW w:w="20" w:type="dxa"/>
            <w:vAlign w:val="bottom"/>
          </w:tcPr>
          <w:p>
            <w:pPr>
              <w:spacing w:after="0"/>
              <w:rPr>
                <w:sz w:val="16"/>
                <w:szCs w:val="16"/>
                <w:color w:val="auto"/>
              </w:rPr>
            </w:pPr>
          </w:p>
        </w:tc>
        <w:tc>
          <w:tcPr>
            <w:tcW w:w="1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40" w:type="dxa"/>
            <w:vAlign w:val="bottom"/>
            <w:tcBorders>
              <w:top w:val="single" w:sz="8" w:color="auto"/>
            </w:tcBorders>
            <w:gridSpan w:val="21"/>
          </w:tcPr>
          <w:p>
            <w:pPr>
              <w:spacing w:after="0" w:line="174" w:lineRule="exact"/>
              <w:rPr>
                <w:sz w:val="20"/>
                <w:szCs w:val="20"/>
                <w:color w:val="auto"/>
              </w:rPr>
            </w:pPr>
            <w:r>
              <w:rPr>
                <w:rFonts w:ascii="Arial" w:cs="Arial" w:eastAsia="Arial" w:hAnsi="Arial"/>
                <w:sz w:val="19"/>
                <w:szCs w:val="19"/>
                <w:color w:val="auto"/>
              </w:rPr>
              <w:t>Form 10-K for the year ended December 31, 2022 and incorporated herein by reference)</w:t>
            </w: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right"/>
              <w:ind w:right="183"/>
              <w:spacing w:after="0"/>
              <w:rPr>
                <w:sz w:val="20"/>
                <w:szCs w:val="20"/>
                <w:color w:val="auto"/>
              </w:rPr>
            </w:pPr>
            <w:r>
              <w:rPr>
                <w:rFonts w:ascii="Arial" w:cs="Arial" w:eastAsia="Arial" w:hAnsi="Arial"/>
                <w:sz w:val="19"/>
                <w:szCs w:val="19"/>
                <w:color w:val="auto"/>
                <w:w w:val="88"/>
              </w:rPr>
              <w:t>^10.92</w:t>
            </w:r>
          </w:p>
        </w:tc>
        <w:tc>
          <w:tcPr>
            <w:tcW w:w="1280" w:type="dxa"/>
            <w:vAlign w:val="bottom"/>
            <w:vMerge w:val="restart"/>
          </w:tcPr>
          <w:p>
            <w:pPr>
              <w:ind w:left="280"/>
              <w:spacing w:after="0"/>
              <w:rPr>
                <w:sz w:val="20"/>
                <w:szCs w:val="20"/>
                <w:color w:val="auto"/>
              </w:rPr>
            </w:pPr>
            <w:r>
              <w:rPr>
                <w:rFonts w:ascii="Arial" w:cs="Arial" w:eastAsia="Arial" w:hAnsi="Arial"/>
                <w:sz w:val="19"/>
                <w:szCs w:val="19"/>
                <w:color w:val="auto"/>
              </w:rPr>
              <w:t>UAL</w:t>
            </w:r>
          </w:p>
        </w:tc>
        <w:tc>
          <w:tcPr>
            <w:tcW w:w="3660" w:type="dxa"/>
            <w:vAlign w:val="bottom"/>
            <w:shd w:val="clear" w:color="auto" w:fill="000000"/>
          </w:tcPr>
          <w:p>
            <w:pPr>
              <w:spacing w:after="0" w:line="20" w:lineRule="exact"/>
              <w:rPr>
                <w:sz w:val="1"/>
                <w:szCs w:val="1"/>
                <w:color w:val="auto"/>
              </w:rPr>
            </w:pPr>
          </w:p>
        </w:tc>
        <w:tc>
          <w:tcPr>
            <w:tcW w:w="3200" w:type="dxa"/>
            <w:vAlign w:val="bottom"/>
            <w:gridSpan w:val="4"/>
            <w:shd w:val="clear" w:color="auto" w:fill="000000"/>
          </w:tcPr>
          <w:p>
            <w:pPr>
              <w:spacing w:after="0" w:line="20" w:lineRule="exact"/>
              <w:rPr>
                <w:sz w:val="1"/>
                <w:szCs w:val="1"/>
                <w:color w:val="auto"/>
              </w:rPr>
            </w:pPr>
          </w:p>
        </w:tc>
        <w:tc>
          <w:tcPr>
            <w:tcW w:w="58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0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7620" w:type="dxa"/>
            <w:vAlign w:val="bottom"/>
            <w:gridSpan w:val="25"/>
          </w:tcPr>
          <w:p>
            <w:pPr>
              <w:spacing w:after="0"/>
              <w:rPr>
                <w:sz w:val="20"/>
                <w:szCs w:val="20"/>
                <w:color w:val="auto"/>
              </w:rPr>
            </w:pPr>
            <w:r>
              <w:rPr>
                <w:rFonts w:ascii="Arial" w:cs="Arial" w:eastAsia="Arial" w:hAnsi="Arial"/>
                <w:sz w:val="19"/>
                <w:szCs w:val="19"/>
                <w:color w:val="auto"/>
                <w:w w:val="94"/>
              </w:rPr>
              <w:t>Supplemental Agreement No. 13 to Purchase Agreement No. 04761, dated as of December 15,</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460" w:type="dxa"/>
            <w:vAlign w:val="bottom"/>
            <w:tcBorders>
              <w:top w:val="single" w:sz="8" w:color="auto"/>
            </w:tcBorders>
            <w:gridSpan w:val="17"/>
          </w:tcPr>
          <w:p>
            <w:pPr>
              <w:spacing w:after="0" w:line="184" w:lineRule="exact"/>
              <w:rPr>
                <w:sz w:val="20"/>
                <w:szCs w:val="20"/>
                <w:color w:val="auto"/>
              </w:rPr>
            </w:pPr>
            <w:r>
              <w:rPr>
                <w:rFonts w:ascii="Arial" w:cs="Arial" w:eastAsia="Arial" w:hAnsi="Arial"/>
                <w:sz w:val="19"/>
                <w:szCs w:val="19"/>
                <w:color w:val="auto"/>
                <w:w w:val="95"/>
              </w:rPr>
              <w:t>2023, between The Boeing Company and United Airlines, Inc. (filed as Exhibit 10.92 to UAL's</w:t>
            </w:r>
          </w:p>
        </w:tc>
        <w:tc>
          <w:tcPr>
            <w:tcW w:w="20" w:type="dxa"/>
            <w:vAlign w:val="bottom"/>
          </w:tcPr>
          <w:p>
            <w:pPr>
              <w:spacing w:after="0"/>
              <w:rPr>
                <w:sz w:val="16"/>
                <w:szCs w:val="16"/>
                <w:color w:val="auto"/>
              </w:rPr>
            </w:pPr>
          </w:p>
        </w:tc>
        <w:tc>
          <w:tcPr>
            <w:tcW w:w="1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540" w:type="dxa"/>
            <w:vAlign w:val="bottom"/>
            <w:tcBorders>
              <w:top w:val="single" w:sz="8" w:color="auto"/>
            </w:tcBorders>
            <w:gridSpan w:val="21"/>
          </w:tcPr>
          <w:p>
            <w:pPr>
              <w:spacing w:after="0" w:line="174" w:lineRule="exact"/>
              <w:rPr>
                <w:sz w:val="20"/>
                <w:szCs w:val="20"/>
                <w:color w:val="auto"/>
              </w:rPr>
            </w:pPr>
            <w:r>
              <w:rPr>
                <w:rFonts w:ascii="Arial" w:cs="Arial" w:eastAsia="Arial" w:hAnsi="Arial"/>
                <w:sz w:val="19"/>
                <w:szCs w:val="19"/>
                <w:color w:val="auto"/>
              </w:rPr>
              <w:t>Form 10-K for the year ended December 31, 2023 and incorporated herein by reference)</w:t>
            </w: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right"/>
              <w:ind w:right="183"/>
              <w:spacing w:after="0"/>
              <w:rPr>
                <w:sz w:val="20"/>
                <w:szCs w:val="20"/>
                <w:color w:val="auto"/>
              </w:rPr>
            </w:pPr>
            <w:r>
              <w:rPr>
                <w:rFonts w:ascii="Arial" w:cs="Arial" w:eastAsia="Arial" w:hAnsi="Arial"/>
                <w:sz w:val="19"/>
                <w:szCs w:val="19"/>
                <w:color w:val="auto"/>
                <w:w w:val="88"/>
              </w:rPr>
              <w:t>^10.93</w:t>
            </w:r>
          </w:p>
        </w:tc>
        <w:tc>
          <w:tcPr>
            <w:tcW w:w="1280" w:type="dxa"/>
            <w:vAlign w:val="bottom"/>
            <w:vMerge w:val="restart"/>
          </w:tcPr>
          <w:p>
            <w:pPr>
              <w:ind w:left="280"/>
              <w:spacing w:after="0"/>
              <w:rPr>
                <w:sz w:val="20"/>
                <w:szCs w:val="20"/>
                <w:color w:val="auto"/>
              </w:rPr>
            </w:pPr>
            <w:r>
              <w:rPr>
                <w:rFonts w:ascii="Arial" w:cs="Arial" w:eastAsia="Arial" w:hAnsi="Arial"/>
                <w:sz w:val="19"/>
                <w:szCs w:val="19"/>
                <w:color w:val="auto"/>
              </w:rPr>
              <w:t>UAL</w:t>
            </w:r>
          </w:p>
        </w:tc>
        <w:tc>
          <w:tcPr>
            <w:tcW w:w="3660" w:type="dxa"/>
            <w:vAlign w:val="bottom"/>
            <w:shd w:val="clear" w:color="auto" w:fill="000000"/>
          </w:tcPr>
          <w:p>
            <w:pPr>
              <w:spacing w:after="0" w:line="20" w:lineRule="exact"/>
              <w:rPr>
                <w:sz w:val="1"/>
                <w:szCs w:val="1"/>
                <w:color w:val="auto"/>
              </w:rPr>
            </w:pPr>
          </w:p>
        </w:tc>
        <w:tc>
          <w:tcPr>
            <w:tcW w:w="3200" w:type="dxa"/>
            <w:vAlign w:val="bottom"/>
            <w:gridSpan w:val="4"/>
            <w:shd w:val="clear" w:color="auto" w:fill="000000"/>
          </w:tcPr>
          <w:p>
            <w:pPr>
              <w:spacing w:after="0" w:line="20" w:lineRule="exact"/>
              <w:rPr>
                <w:sz w:val="1"/>
                <w:szCs w:val="1"/>
                <w:color w:val="auto"/>
              </w:rPr>
            </w:pPr>
          </w:p>
        </w:tc>
        <w:tc>
          <w:tcPr>
            <w:tcW w:w="58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0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7620" w:type="dxa"/>
            <w:vAlign w:val="bottom"/>
            <w:gridSpan w:val="25"/>
          </w:tcPr>
          <w:p>
            <w:pPr>
              <w:spacing w:after="0"/>
              <w:rPr>
                <w:sz w:val="20"/>
                <w:szCs w:val="20"/>
                <w:color w:val="auto"/>
              </w:rPr>
            </w:pPr>
            <w:r>
              <w:rPr>
                <w:rFonts w:ascii="Arial" w:cs="Arial" w:eastAsia="Arial" w:hAnsi="Arial"/>
                <w:sz w:val="19"/>
                <w:szCs w:val="19"/>
                <w:color w:val="auto"/>
                <w:w w:val="94"/>
              </w:rPr>
              <w:t>Purchase Agreement No. 04815, dated as of May 31, 2018, between The Boeing Company and</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280" w:type="dxa"/>
            <w:vAlign w:val="bottom"/>
          </w:tcPr>
          <w:p>
            <w:pPr>
              <w:ind w:left="280"/>
              <w:spacing w:after="0" w:line="184" w:lineRule="exact"/>
              <w:rPr>
                <w:sz w:val="20"/>
                <w:szCs w:val="20"/>
                <w:color w:val="auto"/>
              </w:rPr>
            </w:pPr>
            <w:r>
              <w:rPr>
                <w:rFonts w:ascii="Arial" w:cs="Arial" w:eastAsia="Arial" w:hAnsi="Arial"/>
                <w:sz w:val="19"/>
                <w:szCs w:val="19"/>
                <w:color w:val="auto"/>
              </w:rPr>
              <w:t>United</w:t>
            </w:r>
          </w:p>
        </w:tc>
        <w:tc>
          <w:tcPr>
            <w:tcW w:w="7480" w:type="dxa"/>
            <w:vAlign w:val="bottom"/>
            <w:tcBorders>
              <w:top w:val="single" w:sz="8" w:color="auto"/>
            </w:tcBorders>
            <w:gridSpan w:val="18"/>
          </w:tcPr>
          <w:p>
            <w:pPr>
              <w:spacing w:after="0" w:line="184" w:lineRule="exact"/>
              <w:rPr>
                <w:sz w:val="20"/>
                <w:szCs w:val="20"/>
                <w:color w:val="auto"/>
              </w:rPr>
            </w:pPr>
            <w:r>
              <w:rPr>
                <w:rFonts w:ascii="Arial" w:cs="Arial" w:eastAsia="Arial" w:hAnsi="Arial"/>
                <w:sz w:val="19"/>
                <w:szCs w:val="19"/>
                <w:color w:val="auto"/>
                <w:w w:val="96"/>
              </w:rPr>
              <w:t>United Airlines, Inc. (filed as Exhibit 10.92 to UAL's Form 10-K for the year ended December</w:t>
            </w:r>
          </w:p>
        </w:tc>
        <w:tc>
          <w:tcPr>
            <w:tcW w:w="1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6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1"/>
              </w:rPr>
              <w:t>31, 2022 and incorporated herein by reference)</w:t>
            </w:r>
          </w:p>
        </w:tc>
        <w:tc>
          <w:tcPr>
            <w:tcW w:w="3780" w:type="dxa"/>
            <w:vAlign w:val="bottom"/>
            <w:tcBorders>
              <w:top w:val="single" w:sz="8" w:color="auto"/>
            </w:tcBorders>
            <w:gridSpan w:val="15"/>
          </w:tcPr>
          <w:p>
            <w:pPr>
              <w:spacing w:after="0"/>
              <w:rPr>
                <w:sz w:val="15"/>
                <w:szCs w:val="15"/>
                <w:color w:val="auto"/>
              </w:rPr>
            </w:pPr>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640"/>
          </w:cols>
          <w:pgMar w:left="1020" w:top="614" w:right="1220" w:bottom="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106</w:t>
      </w:r>
    </w:p>
    <w:p>
      <w:pPr>
        <w:sectPr>
          <w:pgSz w:w="11880" w:h="15480" w:orient="portrait"/>
          <w:cols w:equalWidth="0" w:num="1">
            <w:col w:w="9640"/>
          </w:cols>
          <w:pgMar w:left="1020" w:top="614" w:right="1220" w:bottom="45"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24"/>
        </w:trPr>
        <w:tc>
          <w:tcPr>
            <w:tcW w:w="840" w:type="dxa"/>
            <w:vAlign w:val="bottom"/>
          </w:tcPr>
          <w:p>
            <w:pPr>
              <w:spacing w:after="0"/>
              <w:rPr>
                <w:sz w:val="20"/>
                <w:szCs w:val="20"/>
                <w:color w:val="auto"/>
              </w:rPr>
            </w:pPr>
            <w:r>
              <w:rPr>
                <w:rFonts w:ascii="Arial" w:cs="Arial" w:eastAsia="Arial" w:hAnsi="Arial"/>
                <w:sz w:val="19"/>
                <w:szCs w:val="19"/>
                <w:color w:val="auto"/>
              </w:rPr>
              <w:t>^10.94</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60" w:type="dxa"/>
            <w:vAlign w:val="bottom"/>
            <w:gridSpan w:val="19"/>
          </w:tcPr>
          <w:p>
            <w:pPr>
              <w:spacing w:after="0"/>
              <w:rPr>
                <w:sz w:val="20"/>
                <w:szCs w:val="20"/>
                <w:color w:val="auto"/>
              </w:rPr>
            </w:pPr>
            <w:r>
              <w:rPr>
                <w:rFonts w:ascii="Arial" w:cs="Arial" w:eastAsia="Arial" w:hAnsi="Arial"/>
                <w:sz w:val="19"/>
                <w:szCs w:val="19"/>
                <w:color w:val="auto"/>
                <w:w w:val="93"/>
              </w:rPr>
              <w:t>Supplemental Agreement No. 1 to Purchase Agreement Number 04815, dated as of September</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200" w:type="dxa"/>
            <w:vAlign w:val="bottom"/>
            <w:tcBorders>
              <w:top w:val="single" w:sz="8" w:color="auto"/>
              <w:bottom w:val="single" w:sz="8" w:color="auto"/>
            </w:tcBorders>
            <w:gridSpan w:val="4"/>
          </w:tcPr>
          <w:p>
            <w:pPr>
              <w:spacing w:after="0" w:line="184" w:lineRule="exact"/>
              <w:rPr>
                <w:sz w:val="20"/>
                <w:szCs w:val="20"/>
                <w:color w:val="auto"/>
              </w:rPr>
            </w:pPr>
            <w:r>
              <w:rPr>
                <w:rFonts w:ascii="Arial" w:cs="Arial" w:eastAsia="Arial" w:hAnsi="Arial"/>
                <w:sz w:val="19"/>
                <w:szCs w:val="19"/>
                <w:color w:val="auto"/>
                <w:w w:val="94"/>
              </w:rPr>
              <w:t>25, 2018, between The Boeing Company and United Airlines, Inc. (filed as Exhibit 10.93 to</w:t>
            </w:r>
          </w:p>
        </w:tc>
        <w:tc>
          <w:tcPr>
            <w:tcW w:w="220" w:type="dxa"/>
            <w:vAlign w:val="bottom"/>
            <w:tcBorders>
              <w:top w:val="single" w:sz="8" w:color="auto"/>
            </w:tcBorders>
            <w:gridSpan w:val="8"/>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40" w:type="dxa"/>
            <w:vAlign w:val="bottom"/>
            <w:tcBorders>
              <w:bottom w:val="single" w:sz="8" w:color="auto"/>
            </w:tcBorders>
            <w:gridSpan w:val="13"/>
          </w:tcPr>
          <w:p>
            <w:pPr>
              <w:spacing w:after="0" w:line="174" w:lineRule="exact"/>
              <w:rPr>
                <w:sz w:val="20"/>
                <w:szCs w:val="20"/>
                <w:color w:val="auto"/>
              </w:rPr>
            </w:pPr>
            <w:r>
              <w:rPr>
                <w:rFonts w:ascii="Arial" w:cs="Arial" w:eastAsia="Arial" w:hAnsi="Arial"/>
                <w:sz w:val="19"/>
                <w:szCs w:val="19"/>
                <w:color w:val="auto"/>
                <w:w w:val="92"/>
              </w:rPr>
              <w:t>UAL's Form 10-K for the year ended December 31, 2022 and incorporated herein by reference)</w:t>
            </w: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542"/>
        </w:trPr>
        <w:tc>
          <w:tcPr>
            <w:tcW w:w="840" w:type="dxa"/>
            <w:vAlign w:val="bottom"/>
          </w:tcPr>
          <w:p>
            <w:pPr>
              <w:spacing w:after="0"/>
              <w:rPr>
                <w:sz w:val="20"/>
                <w:szCs w:val="20"/>
                <w:color w:val="auto"/>
              </w:rPr>
            </w:pPr>
            <w:r>
              <w:rPr>
                <w:rFonts w:ascii="Arial" w:cs="Arial" w:eastAsia="Arial" w:hAnsi="Arial"/>
                <w:sz w:val="19"/>
                <w:szCs w:val="19"/>
                <w:color w:val="auto"/>
              </w:rPr>
              <w:t>^10.95</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60" w:type="dxa"/>
            <w:vAlign w:val="bottom"/>
            <w:gridSpan w:val="19"/>
          </w:tcPr>
          <w:p>
            <w:pPr>
              <w:spacing w:after="0"/>
              <w:rPr>
                <w:sz w:val="20"/>
                <w:szCs w:val="20"/>
                <w:color w:val="auto"/>
              </w:rPr>
            </w:pPr>
            <w:r>
              <w:rPr>
                <w:rFonts w:ascii="Arial" w:cs="Arial" w:eastAsia="Arial" w:hAnsi="Arial"/>
                <w:sz w:val="19"/>
                <w:szCs w:val="19"/>
                <w:color w:val="auto"/>
                <w:w w:val="94"/>
              </w:rPr>
              <w:t>Supplemental Agreement No. 2 to Purchase Agreement Number 04815, dated as of November</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100" w:type="dxa"/>
            <w:vAlign w:val="bottom"/>
            <w:tcBorders>
              <w:top w:val="single" w:sz="8" w:color="auto"/>
              <w:bottom w:val="single" w:sz="8" w:color="auto"/>
            </w:tcBorders>
            <w:gridSpan w:val="2"/>
          </w:tcPr>
          <w:p>
            <w:pPr>
              <w:spacing w:after="0" w:line="184" w:lineRule="exact"/>
              <w:rPr>
                <w:sz w:val="20"/>
                <w:szCs w:val="20"/>
                <w:color w:val="auto"/>
              </w:rPr>
            </w:pPr>
            <w:r>
              <w:rPr>
                <w:rFonts w:ascii="Arial" w:cs="Arial" w:eastAsia="Arial" w:hAnsi="Arial"/>
                <w:sz w:val="19"/>
                <w:szCs w:val="19"/>
                <w:color w:val="auto"/>
                <w:w w:val="94"/>
              </w:rPr>
              <w:t>1, 2018, between The Boeing Company and United Airlines, Inc. (filed as Exhibit 10.94 to</w:t>
            </w:r>
          </w:p>
        </w:tc>
        <w:tc>
          <w:tcPr>
            <w:tcW w:w="300" w:type="dxa"/>
            <w:vAlign w:val="bottom"/>
            <w:tcBorders>
              <w:top w:val="single" w:sz="8" w:color="auto"/>
            </w:tcBorders>
            <w:gridSpan w:val="9"/>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40" w:type="dxa"/>
            <w:vAlign w:val="bottom"/>
            <w:tcBorders>
              <w:bottom w:val="single" w:sz="8" w:color="auto"/>
            </w:tcBorders>
            <w:gridSpan w:val="13"/>
          </w:tcPr>
          <w:p>
            <w:pPr>
              <w:spacing w:after="0" w:line="174" w:lineRule="exact"/>
              <w:rPr>
                <w:sz w:val="20"/>
                <w:szCs w:val="20"/>
                <w:color w:val="auto"/>
              </w:rPr>
            </w:pPr>
            <w:r>
              <w:rPr>
                <w:rFonts w:ascii="Arial" w:cs="Arial" w:eastAsia="Arial" w:hAnsi="Arial"/>
                <w:sz w:val="19"/>
                <w:szCs w:val="19"/>
                <w:color w:val="auto"/>
                <w:w w:val="92"/>
              </w:rPr>
              <w:t>UAL's Form 10-K for the year ended December 31, 2022 and incorporated herein by reference)</w:t>
            </w: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542"/>
        </w:trPr>
        <w:tc>
          <w:tcPr>
            <w:tcW w:w="840" w:type="dxa"/>
            <w:vAlign w:val="bottom"/>
          </w:tcPr>
          <w:p>
            <w:pPr>
              <w:spacing w:after="0"/>
              <w:rPr>
                <w:sz w:val="20"/>
                <w:szCs w:val="20"/>
                <w:color w:val="auto"/>
              </w:rPr>
            </w:pPr>
            <w:r>
              <w:rPr>
                <w:rFonts w:ascii="Arial" w:cs="Arial" w:eastAsia="Arial" w:hAnsi="Arial"/>
                <w:sz w:val="19"/>
                <w:szCs w:val="19"/>
                <w:color w:val="auto"/>
              </w:rPr>
              <w:t>^10.96</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60" w:type="dxa"/>
            <w:vAlign w:val="bottom"/>
            <w:gridSpan w:val="19"/>
          </w:tcPr>
          <w:p>
            <w:pPr>
              <w:spacing w:after="0"/>
              <w:rPr>
                <w:sz w:val="20"/>
                <w:szCs w:val="20"/>
                <w:color w:val="auto"/>
              </w:rPr>
            </w:pPr>
            <w:r>
              <w:rPr>
                <w:rFonts w:ascii="Arial" w:cs="Arial" w:eastAsia="Arial" w:hAnsi="Arial"/>
                <w:sz w:val="19"/>
                <w:szCs w:val="19"/>
                <w:color w:val="auto"/>
                <w:w w:val="94"/>
              </w:rPr>
              <w:t>Supplemental Agreement No. 3 to Purchase Agreement Number 04815, dated as of December</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200" w:type="dxa"/>
            <w:vAlign w:val="bottom"/>
            <w:tcBorders>
              <w:top w:val="single" w:sz="8" w:color="auto"/>
              <w:bottom w:val="single" w:sz="8" w:color="auto"/>
            </w:tcBorders>
            <w:gridSpan w:val="4"/>
          </w:tcPr>
          <w:p>
            <w:pPr>
              <w:spacing w:after="0" w:line="184" w:lineRule="exact"/>
              <w:rPr>
                <w:sz w:val="20"/>
                <w:szCs w:val="20"/>
                <w:color w:val="auto"/>
              </w:rPr>
            </w:pPr>
            <w:r>
              <w:rPr>
                <w:rFonts w:ascii="Arial" w:cs="Arial" w:eastAsia="Arial" w:hAnsi="Arial"/>
                <w:sz w:val="19"/>
                <w:szCs w:val="19"/>
                <w:color w:val="auto"/>
                <w:w w:val="94"/>
              </w:rPr>
              <w:t>12, 2018, between The Boeing Company and United Airlines, Inc. (filed as Exhibit 10.95 to</w:t>
            </w:r>
          </w:p>
        </w:tc>
        <w:tc>
          <w:tcPr>
            <w:tcW w:w="160" w:type="dxa"/>
            <w:vAlign w:val="bottom"/>
            <w:tcBorders>
              <w:top w:val="single" w:sz="8" w:color="auto"/>
            </w:tcBorders>
            <w:gridSpan w:val="5"/>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40" w:type="dxa"/>
            <w:vAlign w:val="bottom"/>
            <w:tcBorders>
              <w:bottom w:val="single" w:sz="8" w:color="auto"/>
            </w:tcBorders>
            <w:gridSpan w:val="13"/>
          </w:tcPr>
          <w:p>
            <w:pPr>
              <w:spacing w:after="0" w:line="174" w:lineRule="exact"/>
              <w:rPr>
                <w:sz w:val="20"/>
                <w:szCs w:val="20"/>
                <w:color w:val="auto"/>
              </w:rPr>
            </w:pPr>
            <w:r>
              <w:rPr>
                <w:rFonts w:ascii="Arial" w:cs="Arial" w:eastAsia="Arial" w:hAnsi="Arial"/>
                <w:sz w:val="19"/>
                <w:szCs w:val="19"/>
                <w:color w:val="auto"/>
                <w:w w:val="92"/>
              </w:rPr>
              <w:t>UAL's Form 10-K for the year ended December 31, 2022 and incorporated herein by reference)</w:t>
            </w: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542"/>
        </w:trPr>
        <w:tc>
          <w:tcPr>
            <w:tcW w:w="840" w:type="dxa"/>
            <w:vAlign w:val="bottom"/>
          </w:tcPr>
          <w:p>
            <w:pPr>
              <w:spacing w:after="0"/>
              <w:rPr>
                <w:sz w:val="20"/>
                <w:szCs w:val="20"/>
                <w:color w:val="auto"/>
              </w:rPr>
            </w:pPr>
            <w:r>
              <w:rPr>
                <w:rFonts w:ascii="Arial" w:cs="Arial" w:eastAsia="Arial" w:hAnsi="Arial"/>
                <w:sz w:val="19"/>
                <w:szCs w:val="19"/>
                <w:color w:val="auto"/>
              </w:rPr>
              <w:t>^10.97</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280" w:type="dxa"/>
            <w:vAlign w:val="bottom"/>
            <w:tcBorders>
              <w:bottom w:val="single" w:sz="8" w:color="auto"/>
            </w:tcBorders>
            <w:gridSpan w:val="7"/>
          </w:tcPr>
          <w:p>
            <w:pPr>
              <w:spacing w:after="0"/>
              <w:rPr>
                <w:sz w:val="20"/>
                <w:szCs w:val="20"/>
                <w:color w:val="auto"/>
              </w:rPr>
            </w:pPr>
            <w:r>
              <w:rPr>
                <w:rFonts w:ascii="Arial" w:cs="Arial" w:eastAsia="Arial" w:hAnsi="Arial"/>
                <w:sz w:val="19"/>
                <w:szCs w:val="19"/>
                <w:color w:val="auto"/>
                <w:w w:val="93"/>
              </w:rPr>
              <w:t>Supplemental Agreement No. 4 to Purchase Agreement Number 04815, dated as of April 26,</w:t>
            </w:r>
          </w:p>
        </w:tc>
        <w:tc>
          <w:tcPr>
            <w:tcW w:w="2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560" w:type="dxa"/>
            <w:vAlign w:val="bottom"/>
            <w:gridSpan w:val="19"/>
          </w:tcPr>
          <w:p>
            <w:pPr>
              <w:spacing w:after="0" w:line="184" w:lineRule="exact"/>
              <w:rPr>
                <w:sz w:val="20"/>
                <w:szCs w:val="20"/>
                <w:color w:val="auto"/>
              </w:rPr>
            </w:pPr>
            <w:r>
              <w:rPr>
                <w:rFonts w:ascii="Arial" w:cs="Arial" w:eastAsia="Arial" w:hAnsi="Arial"/>
                <w:sz w:val="19"/>
                <w:szCs w:val="19"/>
                <w:color w:val="auto"/>
                <w:w w:val="96"/>
              </w:rPr>
              <w:t>2019, between The Boeing Company and United Airlines, Inc. (filed as Exhibit 10.96 to UAL's</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60" w:type="dxa"/>
            <w:vAlign w:val="bottom"/>
            <w:tcBorders>
              <w:top w:val="single" w:sz="8" w:color="auto"/>
            </w:tcBorders>
            <w:gridSpan w:val="14"/>
          </w:tcPr>
          <w:p>
            <w:pPr>
              <w:spacing w:after="0" w:line="174" w:lineRule="exact"/>
              <w:rPr>
                <w:sz w:val="20"/>
                <w:szCs w:val="20"/>
                <w:color w:val="auto"/>
              </w:rPr>
            </w:pPr>
            <w:r>
              <w:rPr>
                <w:rFonts w:ascii="Arial" w:cs="Arial" w:eastAsia="Arial" w:hAnsi="Arial"/>
                <w:sz w:val="19"/>
                <w:szCs w:val="19"/>
                <w:color w:val="auto"/>
                <w:w w:val="99"/>
              </w:rPr>
              <w:t>Form 10-K for the year ended December 31, 2022 and incorporated herein by reference)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840" w:type="dxa"/>
            <w:vAlign w:val="bottom"/>
          </w:tcPr>
          <w:p>
            <w:pPr>
              <w:spacing w:after="0"/>
              <w:rPr>
                <w:sz w:val="20"/>
                <w:szCs w:val="20"/>
                <w:color w:val="auto"/>
              </w:rPr>
            </w:pPr>
            <w:r>
              <w:rPr>
                <w:rFonts w:ascii="Arial" w:cs="Arial" w:eastAsia="Arial" w:hAnsi="Arial"/>
                <w:sz w:val="19"/>
                <w:szCs w:val="19"/>
                <w:color w:val="auto"/>
              </w:rPr>
              <w:t>^10.98</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60" w:type="dxa"/>
            <w:vAlign w:val="bottom"/>
            <w:gridSpan w:val="19"/>
          </w:tcPr>
          <w:p>
            <w:pPr>
              <w:spacing w:after="0"/>
              <w:rPr>
                <w:sz w:val="20"/>
                <w:szCs w:val="20"/>
                <w:color w:val="auto"/>
              </w:rPr>
            </w:pPr>
            <w:r>
              <w:rPr>
                <w:rFonts w:ascii="Arial" w:cs="Arial" w:eastAsia="Arial" w:hAnsi="Arial"/>
                <w:sz w:val="19"/>
                <w:szCs w:val="19"/>
                <w:color w:val="auto"/>
                <w:w w:val="93"/>
              </w:rPr>
              <w:t>Supplemental Agreement No. 5 to Purchase Agreement Number 04815, dated as of October 31,</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520" w:type="dxa"/>
            <w:vAlign w:val="bottom"/>
            <w:tcBorders>
              <w:top w:val="single" w:sz="8" w:color="auto"/>
            </w:tcBorders>
            <w:gridSpan w:val="17"/>
          </w:tcPr>
          <w:p>
            <w:pPr>
              <w:spacing w:after="0" w:line="184" w:lineRule="exact"/>
              <w:rPr>
                <w:sz w:val="20"/>
                <w:szCs w:val="20"/>
                <w:color w:val="auto"/>
              </w:rPr>
            </w:pPr>
            <w:r>
              <w:rPr>
                <w:rFonts w:ascii="Arial" w:cs="Arial" w:eastAsia="Arial" w:hAnsi="Arial"/>
                <w:sz w:val="19"/>
                <w:szCs w:val="19"/>
                <w:color w:val="auto"/>
                <w:w w:val="95"/>
              </w:rPr>
              <w:t>2019, between The Boeing Company and United Airlines, Inc. (filed as Exhibit 10.97 to UAL's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60" w:type="dxa"/>
            <w:vAlign w:val="bottom"/>
            <w:tcBorders>
              <w:top w:val="single" w:sz="8" w:color="auto"/>
            </w:tcBorders>
            <w:gridSpan w:val="14"/>
          </w:tcPr>
          <w:p>
            <w:pPr>
              <w:spacing w:after="0" w:line="174" w:lineRule="exact"/>
              <w:rPr>
                <w:sz w:val="20"/>
                <w:szCs w:val="20"/>
                <w:color w:val="auto"/>
              </w:rPr>
            </w:pPr>
            <w:r>
              <w:rPr>
                <w:rFonts w:ascii="Arial" w:cs="Arial" w:eastAsia="Arial" w:hAnsi="Arial"/>
                <w:sz w:val="19"/>
                <w:szCs w:val="19"/>
                <w:color w:val="auto"/>
                <w:w w:val="99"/>
              </w:rPr>
              <w:t>Form 10-K for the year ended December 31, 2022 and incorporated herein by reference)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40" w:type="dxa"/>
            <w:vAlign w:val="bottom"/>
          </w:tcPr>
          <w:p>
            <w:pPr>
              <w:spacing w:after="0"/>
              <w:rPr>
                <w:sz w:val="20"/>
                <w:szCs w:val="20"/>
                <w:color w:val="auto"/>
              </w:rPr>
            </w:pPr>
            <w:r>
              <w:rPr>
                <w:rFonts w:ascii="Arial" w:cs="Arial" w:eastAsia="Arial" w:hAnsi="Arial"/>
                <w:sz w:val="19"/>
                <w:szCs w:val="19"/>
                <w:color w:val="auto"/>
              </w:rPr>
              <w:t>^10.99</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60" w:type="dxa"/>
            <w:vAlign w:val="bottom"/>
            <w:gridSpan w:val="19"/>
          </w:tcPr>
          <w:p>
            <w:pPr>
              <w:spacing w:after="0"/>
              <w:rPr>
                <w:sz w:val="20"/>
                <w:szCs w:val="20"/>
                <w:color w:val="auto"/>
              </w:rPr>
            </w:pPr>
            <w:r>
              <w:rPr>
                <w:rFonts w:ascii="Arial" w:cs="Arial" w:eastAsia="Arial" w:hAnsi="Arial"/>
                <w:sz w:val="19"/>
                <w:szCs w:val="19"/>
                <w:color w:val="auto"/>
                <w:w w:val="93"/>
              </w:rPr>
              <w:t>Supplemental Agreement No. 6 to Purchase Agreement Number 04815, dated as of February 7,</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500" w:type="dxa"/>
            <w:vAlign w:val="bottom"/>
            <w:tcBorders>
              <w:top w:val="single" w:sz="8" w:color="auto"/>
            </w:tcBorders>
            <w:gridSpan w:val="16"/>
          </w:tcPr>
          <w:p>
            <w:pPr>
              <w:spacing w:after="0" w:line="184" w:lineRule="exact"/>
              <w:rPr>
                <w:sz w:val="20"/>
                <w:szCs w:val="20"/>
                <w:color w:val="auto"/>
              </w:rPr>
            </w:pPr>
            <w:r>
              <w:rPr>
                <w:rFonts w:ascii="Arial" w:cs="Arial" w:eastAsia="Arial" w:hAnsi="Arial"/>
                <w:sz w:val="19"/>
                <w:szCs w:val="19"/>
                <w:color w:val="auto"/>
                <w:w w:val="95"/>
              </w:rPr>
              <w:t>2020, between The Boeing Company and United Airlines, Inc. (filed as Exhibit 10.98 to UAL's</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60" w:type="dxa"/>
            <w:vAlign w:val="bottom"/>
            <w:tcBorders>
              <w:top w:val="single" w:sz="8" w:color="auto"/>
            </w:tcBorders>
            <w:gridSpan w:val="14"/>
          </w:tcPr>
          <w:p>
            <w:pPr>
              <w:spacing w:after="0" w:line="174" w:lineRule="exact"/>
              <w:rPr>
                <w:sz w:val="20"/>
                <w:szCs w:val="20"/>
                <w:color w:val="auto"/>
              </w:rPr>
            </w:pPr>
            <w:r>
              <w:rPr>
                <w:rFonts w:ascii="Arial" w:cs="Arial" w:eastAsia="Arial" w:hAnsi="Arial"/>
                <w:sz w:val="19"/>
                <w:szCs w:val="19"/>
                <w:color w:val="auto"/>
                <w:w w:val="99"/>
              </w:rPr>
              <w:t>Form 10-K for the year ended December 31, 2022 and incorporated herein by reference)</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40" w:type="dxa"/>
            <w:vAlign w:val="bottom"/>
          </w:tcPr>
          <w:p>
            <w:pPr>
              <w:spacing w:after="0"/>
              <w:rPr>
                <w:sz w:val="20"/>
                <w:szCs w:val="20"/>
                <w:color w:val="auto"/>
              </w:rPr>
            </w:pPr>
            <w:r>
              <w:rPr>
                <w:rFonts w:ascii="Arial" w:cs="Arial" w:eastAsia="Arial" w:hAnsi="Arial"/>
                <w:sz w:val="19"/>
                <w:szCs w:val="19"/>
                <w:color w:val="auto"/>
              </w:rPr>
              <w:t>^10.100</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60" w:type="dxa"/>
            <w:vAlign w:val="bottom"/>
            <w:gridSpan w:val="19"/>
          </w:tcPr>
          <w:p>
            <w:pPr>
              <w:spacing w:after="0"/>
              <w:rPr>
                <w:sz w:val="20"/>
                <w:szCs w:val="20"/>
                <w:color w:val="auto"/>
              </w:rPr>
            </w:pPr>
            <w:r>
              <w:rPr>
                <w:rFonts w:ascii="Arial" w:cs="Arial" w:eastAsia="Arial" w:hAnsi="Arial"/>
                <w:sz w:val="19"/>
                <w:szCs w:val="19"/>
                <w:color w:val="auto"/>
                <w:w w:val="94"/>
              </w:rPr>
              <w:t>Supplemental Agreement No. 7 to Purchase Agreement Number 04815, dated as of March 20,</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380" w:type="dxa"/>
            <w:vAlign w:val="bottom"/>
            <w:tcBorders>
              <w:top w:val="single" w:sz="8" w:color="auto"/>
            </w:tcBorders>
            <w:gridSpan w:val="10"/>
          </w:tcPr>
          <w:p>
            <w:pPr>
              <w:spacing w:after="0" w:line="184" w:lineRule="exact"/>
              <w:rPr>
                <w:sz w:val="20"/>
                <w:szCs w:val="20"/>
                <w:color w:val="auto"/>
              </w:rPr>
            </w:pPr>
            <w:r>
              <w:rPr>
                <w:rFonts w:ascii="Arial" w:cs="Arial" w:eastAsia="Arial" w:hAnsi="Arial"/>
                <w:sz w:val="19"/>
                <w:szCs w:val="19"/>
                <w:color w:val="auto"/>
                <w:w w:val="93"/>
              </w:rPr>
              <w:t>2020, between The Boeing Company and United Airlines, Inc. (filed as Exhibit 10.99 to UAL's</w:t>
            </w: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60" w:type="dxa"/>
            <w:vAlign w:val="bottom"/>
            <w:tcBorders>
              <w:top w:val="single" w:sz="8" w:color="auto"/>
            </w:tcBorders>
            <w:gridSpan w:val="14"/>
          </w:tcPr>
          <w:p>
            <w:pPr>
              <w:spacing w:after="0" w:line="174" w:lineRule="exact"/>
              <w:rPr>
                <w:sz w:val="20"/>
                <w:szCs w:val="20"/>
                <w:color w:val="auto"/>
              </w:rPr>
            </w:pPr>
            <w:r>
              <w:rPr>
                <w:rFonts w:ascii="Arial" w:cs="Arial" w:eastAsia="Arial" w:hAnsi="Arial"/>
                <w:sz w:val="19"/>
                <w:szCs w:val="19"/>
                <w:color w:val="auto"/>
                <w:w w:val="99"/>
              </w:rPr>
              <w:t>Form 10-K for the year ended December 31, 2022 and incorporated herein by reference)</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40" w:type="dxa"/>
            <w:vAlign w:val="bottom"/>
          </w:tcPr>
          <w:p>
            <w:pPr>
              <w:spacing w:after="0"/>
              <w:rPr>
                <w:sz w:val="20"/>
                <w:szCs w:val="20"/>
                <w:color w:val="auto"/>
              </w:rPr>
            </w:pPr>
            <w:r>
              <w:rPr>
                <w:rFonts w:ascii="Arial" w:cs="Arial" w:eastAsia="Arial" w:hAnsi="Arial"/>
                <w:sz w:val="19"/>
                <w:szCs w:val="19"/>
                <w:color w:val="auto"/>
              </w:rPr>
              <w:t>^10.101</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220" w:type="dxa"/>
            <w:vAlign w:val="bottom"/>
            <w:tcBorders>
              <w:bottom w:val="single" w:sz="8" w:color="auto"/>
            </w:tcBorders>
            <w:gridSpan w:val="5"/>
          </w:tcPr>
          <w:p>
            <w:pPr>
              <w:spacing w:after="0"/>
              <w:rPr>
                <w:sz w:val="20"/>
                <w:szCs w:val="20"/>
                <w:color w:val="auto"/>
              </w:rPr>
            </w:pPr>
            <w:r>
              <w:rPr>
                <w:rFonts w:ascii="Arial" w:cs="Arial" w:eastAsia="Arial" w:hAnsi="Arial"/>
                <w:sz w:val="19"/>
                <w:szCs w:val="19"/>
                <w:color w:val="auto"/>
                <w:w w:val="91"/>
              </w:rPr>
              <w:t>Supplemental Agreement No. 8 to Purchase Agreement Number 04815, dated as of June 30,</w:t>
            </w:r>
          </w:p>
        </w:tc>
        <w:tc>
          <w:tcPr>
            <w:tcW w:w="3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560" w:type="dxa"/>
            <w:vAlign w:val="bottom"/>
            <w:tcBorders>
              <w:bottom w:val="single" w:sz="8" w:color="auto"/>
            </w:tcBorders>
            <w:gridSpan w:val="19"/>
          </w:tcPr>
          <w:p>
            <w:pPr>
              <w:spacing w:after="0" w:line="184" w:lineRule="exact"/>
              <w:rPr>
                <w:sz w:val="20"/>
                <w:szCs w:val="20"/>
                <w:color w:val="auto"/>
              </w:rPr>
            </w:pPr>
            <w:r>
              <w:rPr>
                <w:rFonts w:ascii="Arial" w:cs="Arial" w:eastAsia="Arial" w:hAnsi="Arial"/>
                <w:sz w:val="19"/>
                <w:szCs w:val="19"/>
                <w:color w:val="auto"/>
                <w:w w:val="95"/>
              </w:rPr>
              <w:t>2020, between The Boeing Company and United Airlines, Inc. (filed as Exhibit 10.100 to UAL's</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560" w:type="dxa"/>
            <w:vAlign w:val="bottom"/>
            <w:gridSpan w:val="19"/>
          </w:tcPr>
          <w:p>
            <w:pPr>
              <w:spacing w:after="0" w:line="174" w:lineRule="exact"/>
              <w:rPr>
                <w:sz w:val="20"/>
                <w:szCs w:val="20"/>
                <w:color w:val="auto"/>
              </w:rPr>
            </w:pPr>
            <w:r>
              <w:rPr>
                <w:rFonts w:ascii="Arial" w:cs="Arial" w:eastAsia="Arial" w:hAnsi="Arial"/>
                <w:sz w:val="19"/>
                <w:szCs w:val="19"/>
                <w:color w:val="auto"/>
              </w:rPr>
              <w:t>Form 10-K for the year ended December 31, 2022 and incorporated herein by reference)</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40" w:type="dxa"/>
            <w:vAlign w:val="bottom"/>
          </w:tcPr>
          <w:p>
            <w:pPr>
              <w:spacing w:after="0"/>
              <w:rPr>
                <w:sz w:val="20"/>
                <w:szCs w:val="20"/>
                <w:color w:val="auto"/>
              </w:rPr>
            </w:pPr>
            <w:r>
              <w:rPr>
                <w:rFonts w:ascii="Arial" w:cs="Arial" w:eastAsia="Arial" w:hAnsi="Arial"/>
                <w:sz w:val="19"/>
                <w:szCs w:val="19"/>
                <w:color w:val="auto"/>
              </w:rPr>
              <w:t>^10.102</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60" w:type="dxa"/>
            <w:vAlign w:val="bottom"/>
            <w:tcBorders>
              <w:bottom w:val="single" w:sz="8" w:color="auto"/>
            </w:tcBorders>
            <w:gridSpan w:val="19"/>
          </w:tcPr>
          <w:p>
            <w:pPr>
              <w:spacing w:after="0"/>
              <w:rPr>
                <w:sz w:val="20"/>
                <w:szCs w:val="20"/>
                <w:color w:val="auto"/>
              </w:rPr>
            </w:pPr>
            <w:r>
              <w:rPr>
                <w:rFonts w:ascii="Arial" w:cs="Arial" w:eastAsia="Arial" w:hAnsi="Arial"/>
                <w:sz w:val="19"/>
                <w:szCs w:val="19"/>
                <w:color w:val="auto"/>
                <w:w w:val="92"/>
              </w:rPr>
              <w:t>Supplemental Agreement No. 9 to Purchase Agreement Number 04815, dated as of February 26,</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560" w:type="dxa"/>
            <w:vAlign w:val="bottom"/>
            <w:tcBorders>
              <w:bottom w:val="single" w:sz="8" w:color="auto"/>
            </w:tcBorders>
            <w:gridSpan w:val="19"/>
          </w:tcPr>
          <w:p>
            <w:pPr>
              <w:spacing w:after="0" w:line="184" w:lineRule="exact"/>
              <w:rPr>
                <w:sz w:val="20"/>
                <w:szCs w:val="20"/>
                <w:color w:val="auto"/>
              </w:rPr>
            </w:pPr>
            <w:r>
              <w:rPr>
                <w:rFonts w:ascii="Arial" w:cs="Arial" w:eastAsia="Arial" w:hAnsi="Arial"/>
                <w:sz w:val="19"/>
                <w:szCs w:val="19"/>
                <w:color w:val="auto"/>
                <w:w w:val="95"/>
              </w:rPr>
              <w:t>2021, between The Boeing Company and United Airlines, Inc. (filed as Exhibit 10.101 to UAL's</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560" w:type="dxa"/>
            <w:vAlign w:val="bottom"/>
            <w:gridSpan w:val="19"/>
          </w:tcPr>
          <w:p>
            <w:pPr>
              <w:spacing w:after="0" w:line="174" w:lineRule="exact"/>
              <w:rPr>
                <w:sz w:val="20"/>
                <w:szCs w:val="20"/>
                <w:color w:val="auto"/>
              </w:rPr>
            </w:pPr>
            <w:r>
              <w:rPr>
                <w:rFonts w:ascii="Arial" w:cs="Arial" w:eastAsia="Arial" w:hAnsi="Arial"/>
                <w:sz w:val="19"/>
                <w:szCs w:val="19"/>
                <w:color w:val="auto"/>
              </w:rPr>
              <w:t>Form 10-K for the year ended December 31, 2022 and incorporated herein by reference)</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9"/>
                <w:szCs w:val="19"/>
                <w:color w:val="auto"/>
              </w:rPr>
              <w:t>^10.103</w:t>
            </w:r>
          </w:p>
        </w:tc>
        <w:tc>
          <w:tcPr>
            <w:tcW w:w="1240" w:type="dxa"/>
            <w:vAlign w:val="bottom"/>
            <w:vMerge w:val="restart"/>
          </w:tcPr>
          <w:p>
            <w:pPr>
              <w:ind w:left="240"/>
              <w:spacing w:after="0"/>
              <w:rPr>
                <w:sz w:val="20"/>
                <w:szCs w:val="20"/>
                <w:color w:val="auto"/>
              </w:rPr>
            </w:pPr>
            <w:r>
              <w:rPr>
                <w:rFonts w:ascii="Arial" w:cs="Arial" w:eastAsia="Arial" w:hAnsi="Arial"/>
                <w:sz w:val="19"/>
                <w:szCs w:val="19"/>
                <w:color w:val="auto"/>
              </w:rPr>
              <w:t>UAL</w:t>
            </w:r>
          </w:p>
        </w:tc>
        <w:tc>
          <w:tcPr>
            <w:tcW w:w="68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84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7560" w:type="dxa"/>
            <w:vAlign w:val="bottom"/>
            <w:tcBorders>
              <w:bottom w:val="single" w:sz="8" w:color="auto"/>
            </w:tcBorders>
            <w:gridSpan w:val="19"/>
          </w:tcPr>
          <w:p>
            <w:pPr>
              <w:spacing w:after="0"/>
              <w:rPr>
                <w:sz w:val="20"/>
                <w:szCs w:val="20"/>
                <w:color w:val="auto"/>
              </w:rPr>
            </w:pPr>
            <w:r>
              <w:rPr>
                <w:rFonts w:ascii="Arial" w:cs="Arial" w:eastAsia="Arial" w:hAnsi="Arial"/>
                <w:sz w:val="19"/>
                <w:szCs w:val="19"/>
                <w:color w:val="auto"/>
                <w:w w:val="92"/>
              </w:rPr>
              <w:t>Supplemental Agreement No. 10 to Purchase Agreement Number 04815, dated as of August 25,</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560" w:type="dxa"/>
            <w:vAlign w:val="bottom"/>
            <w:tcBorders>
              <w:bottom w:val="single" w:sz="8" w:color="auto"/>
            </w:tcBorders>
            <w:gridSpan w:val="19"/>
          </w:tcPr>
          <w:p>
            <w:pPr>
              <w:spacing w:after="0" w:line="184" w:lineRule="exact"/>
              <w:rPr>
                <w:sz w:val="20"/>
                <w:szCs w:val="20"/>
                <w:color w:val="auto"/>
              </w:rPr>
            </w:pPr>
            <w:r>
              <w:rPr>
                <w:rFonts w:ascii="Arial" w:cs="Arial" w:eastAsia="Arial" w:hAnsi="Arial"/>
                <w:sz w:val="19"/>
                <w:szCs w:val="19"/>
                <w:color w:val="auto"/>
                <w:w w:val="95"/>
              </w:rPr>
              <w:t>2022, between The Boeing Company and United Airlines, Inc. (filed as Exhibit 10.102 to UAL's</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560" w:type="dxa"/>
            <w:vAlign w:val="bottom"/>
            <w:gridSpan w:val="19"/>
          </w:tcPr>
          <w:p>
            <w:pPr>
              <w:spacing w:after="0" w:line="174" w:lineRule="exact"/>
              <w:rPr>
                <w:sz w:val="20"/>
                <w:szCs w:val="20"/>
                <w:color w:val="auto"/>
              </w:rPr>
            </w:pPr>
            <w:r>
              <w:rPr>
                <w:rFonts w:ascii="Arial" w:cs="Arial" w:eastAsia="Arial" w:hAnsi="Arial"/>
                <w:sz w:val="19"/>
                <w:szCs w:val="19"/>
                <w:color w:val="auto"/>
              </w:rPr>
              <w:t>Form 10-K for the year ended December 31, 2022 and incorporated herein by reference)</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9"/>
                <w:szCs w:val="19"/>
                <w:color w:val="auto"/>
              </w:rPr>
              <w:t>^10.104</w:t>
            </w:r>
          </w:p>
        </w:tc>
        <w:tc>
          <w:tcPr>
            <w:tcW w:w="1240" w:type="dxa"/>
            <w:vAlign w:val="bottom"/>
            <w:vMerge w:val="restart"/>
          </w:tcPr>
          <w:p>
            <w:pPr>
              <w:ind w:left="240"/>
              <w:spacing w:after="0"/>
              <w:rPr>
                <w:sz w:val="20"/>
                <w:szCs w:val="20"/>
                <w:color w:val="auto"/>
              </w:rPr>
            </w:pPr>
            <w:r>
              <w:rPr>
                <w:rFonts w:ascii="Arial" w:cs="Arial" w:eastAsia="Arial" w:hAnsi="Arial"/>
                <w:sz w:val="19"/>
                <w:szCs w:val="19"/>
                <w:color w:val="auto"/>
              </w:rPr>
              <w:t>UAL</w:t>
            </w:r>
          </w:p>
        </w:tc>
        <w:tc>
          <w:tcPr>
            <w:tcW w:w="68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4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7560" w:type="dxa"/>
            <w:vAlign w:val="bottom"/>
            <w:gridSpan w:val="19"/>
          </w:tcPr>
          <w:p>
            <w:pPr>
              <w:spacing w:after="0"/>
              <w:rPr>
                <w:sz w:val="20"/>
                <w:szCs w:val="20"/>
                <w:color w:val="auto"/>
              </w:rPr>
            </w:pPr>
            <w:r>
              <w:rPr>
                <w:rFonts w:ascii="Arial" w:cs="Arial" w:eastAsia="Arial" w:hAnsi="Arial"/>
                <w:sz w:val="19"/>
                <w:szCs w:val="19"/>
                <w:color w:val="auto"/>
                <w:w w:val="92"/>
              </w:rPr>
              <w:t>Supplemental Agreement No. 11 to Purchase Agreement Number 04815, dated as of September</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540" w:type="dxa"/>
            <w:vAlign w:val="bottom"/>
            <w:tcBorders>
              <w:top w:val="single" w:sz="8" w:color="auto"/>
            </w:tcBorders>
            <w:gridSpan w:val="18"/>
          </w:tcPr>
          <w:p>
            <w:pPr>
              <w:spacing w:after="0" w:line="184" w:lineRule="exact"/>
              <w:rPr>
                <w:sz w:val="20"/>
                <w:szCs w:val="20"/>
                <w:color w:val="auto"/>
              </w:rPr>
            </w:pPr>
            <w:r>
              <w:rPr>
                <w:rFonts w:ascii="Arial" w:cs="Arial" w:eastAsia="Arial" w:hAnsi="Arial"/>
                <w:sz w:val="19"/>
                <w:szCs w:val="19"/>
                <w:color w:val="auto"/>
                <w:w w:val="97"/>
              </w:rPr>
              <w:t>27, 2022, between The Boeing Company and United Airlines, Inc. (filed as Exhibit 10.103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300" w:type="dxa"/>
            <w:vAlign w:val="bottom"/>
            <w:tcBorders>
              <w:top w:val="single" w:sz="8" w:color="auto"/>
              <w:bottom w:val="single" w:sz="8" w:color="auto"/>
            </w:tcBorders>
            <w:gridSpan w:val="8"/>
          </w:tcPr>
          <w:p>
            <w:pPr>
              <w:spacing w:after="0" w:line="174" w:lineRule="exact"/>
              <w:rPr>
                <w:sz w:val="20"/>
                <w:szCs w:val="20"/>
                <w:color w:val="auto"/>
              </w:rPr>
            </w:pPr>
            <w:r>
              <w:rPr>
                <w:rFonts w:ascii="Arial" w:cs="Arial" w:eastAsia="Arial" w:hAnsi="Arial"/>
                <w:sz w:val="19"/>
                <w:szCs w:val="19"/>
                <w:color w:val="auto"/>
                <w:w w:val="91"/>
              </w:rPr>
              <w:t>UAL's Form 10-K for the year ended December 31, 2022 and incorporated herein by reference)</w:t>
            </w:r>
          </w:p>
        </w:tc>
        <w:tc>
          <w:tcPr>
            <w:tcW w:w="140" w:type="dxa"/>
            <w:vAlign w:val="bottom"/>
            <w:tcBorders>
              <w:bottom w:val="single" w:sz="8" w:color="auto"/>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542"/>
        </w:trPr>
        <w:tc>
          <w:tcPr>
            <w:tcW w:w="840" w:type="dxa"/>
            <w:vAlign w:val="bottom"/>
          </w:tcPr>
          <w:p>
            <w:pPr>
              <w:spacing w:after="0"/>
              <w:rPr>
                <w:sz w:val="20"/>
                <w:szCs w:val="20"/>
                <w:color w:val="auto"/>
              </w:rPr>
            </w:pPr>
            <w:r>
              <w:rPr>
                <w:rFonts w:ascii="Arial" w:cs="Arial" w:eastAsia="Arial" w:hAnsi="Arial"/>
                <w:sz w:val="19"/>
                <w:szCs w:val="19"/>
                <w:color w:val="auto"/>
              </w:rPr>
              <w:t>^10.105</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60" w:type="dxa"/>
            <w:vAlign w:val="bottom"/>
            <w:gridSpan w:val="19"/>
          </w:tcPr>
          <w:p>
            <w:pPr>
              <w:spacing w:after="0"/>
              <w:rPr>
                <w:sz w:val="20"/>
                <w:szCs w:val="20"/>
                <w:color w:val="auto"/>
              </w:rPr>
            </w:pPr>
            <w:r>
              <w:rPr>
                <w:rFonts w:ascii="Arial" w:cs="Arial" w:eastAsia="Arial" w:hAnsi="Arial"/>
                <w:sz w:val="19"/>
                <w:szCs w:val="19"/>
                <w:color w:val="auto"/>
                <w:w w:val="93"/>
              </w:rPr>
              <w:t>Supplemental Agreement No. 12 to Purchase Agreement Number 04815, dated as of December</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480" w:type="dxa"/>
            <w:vAlign w:val="bottom"/>
            <w:tcBorders>
              <w:top w:val="single" w:sz="8" w:color="auto"/>
            </w:tcBorders>
            <w:gridSpan w:val="15"/>
          </w:tcPr>
          <w:p>
            <w:pPr>
              <w:spacing w:after="0" w:line="184" w:lineRule="exact"/>
              <w:rPr>
                <w:sz w:val="20"/>
                <w:szCs w:val="20"/>
                <w:color w:val="auto"/>
              </w:rPr>
            </w:pPr>
            <w:r>
              <w:rPr>
                <w:rFonts w:ascii="Arial" w:cs="Arial" w:eastAsia="Arial" w:hAnsi="Arial"/>
                <w:sz w:val="19"/>
                <w:szCs w:val="19"/>
                <w:color w:val="auto"/>
                <w:w w:val="96"/>
              </w:rPr>
              <w:t>12, 2022, between The Boeing Company and United Airlines, Inc. (filed as Exhibit 10.104 to</w:t>
            </w:r>
          </w:p>
        </w:tc>
        <w:tc>
          <w:tcPr>
            <w:tcW w:w="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300" w:type="dxa"/>
            <w:vAlign w:val="bottom"/>
            <w:tcBorders>
              <w:top w:val="single" w:sz="8" w:color="auto"/>
              <w:bottom w:val="single" w:sz="8" w:color="auto"/>
            </w:tcBorders>
            <w:gridSpan w:val="8"/>
          </w:tcPr>
          <w:p>
            <w:pPr>
              <w:spacing w:after="0" w:line="174" w:lineRule="exact"/>
              <w:rPr>
                <w:sz w:val="20"/>
                <w:szCs w:val="20"/>
                <w:color w:val="auto"/>
              </w:rPr>
            </w:pPr>
            <w:r>
              <w:rPr>
                <w:rFonts w:ascii="Arial" w:cs="Arial" w:eastAsia="Arial" w:hAnsi="Arial"/>
                <w:sz w:val="19"/>
                <w:szCs w:val="19"/>
                <w:color w:val="auto"/>
                <w:w w:val="91"/>
              </w:rPr>
              <w:t>UAL's Form 10-K for the year ended December 31, 2022 and incorporated herein by reference)</w:t>
            </w:r>
          </w:p>
        </w:tc>
        <w:tc>
          <w:tcPr>
            <w:tcW w:w="140" w:type="dxa"/>
            <w:vAlign w:val="bottom"/>
            <w:tcBorders>
              <w:bottom w:val="single" w:sz="8" w:color="auto"/>
            </w:tcBorders>
            <w:gridSpan w:val="5"/>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542"/>
        </w:trPr>
        <w:tc>
          <w:tcPr>
            <w:tcW w:w="840" w:type="dxa"/>
            <w:vAlign w:val="bottom"/>
          </w:tcPr>
          <w:p>
            <w:pPr>
              <w:spacing w:after="0"/>
              <w:rPr>
                <w:sz w:val="20"/>
                <w:szCs w:val="20"/>
                <w:color w:val="auto"/>
              </w:rPr>
            </w:pPr>
            <w:r>
              <w:rPr>
                <w:rFonts w:ascii="Arial" w:cs="Arial" w:eastAsia="Arial" w:hAnsi="Arial"/>
                <w:sz w:val="19"/>
                <w:szCs w:val="19"/>
                <w:color w:val="auto"/>
              </w:rPr>
              <w:t>^10.106</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60" w:type="dxa"/>
            <w:vAlign w:val="bottom"/>
            <w:gridSpan w:val="19"/>
          </w:tcPr>
          <w:p>
            <w:pPr>
              <w:spacing w:after="0"/>
              <w:rPr>
                <w:sz w:val="20"/>
                <w:szCs w:val="20"/>
                <w:color w:val="auto"/>
              </w:rPr>
            </w:pPr>
            <w:r>
              <w:rPr>
                <w:rFonts w:ascii="Arial" w:cs="Arial" w:eastAsia="Arial" w:hAnsi="Arial"/>
                <w:sz w:val="19"/>
                <w:szCs w:val="19"/>
                <w:color w:val="auto"/>
                <w:w w:val="93"/>
              </w:rPr>
              <w:t>Supplemental Agreement No. 13 to Purchase Agreement No. 04815, dated as of September 28,</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440" w:type="dxa"/>
            <w:vAlign w:val="bottom"/>
            <w:tcBorders>
              <w:top w:val="single" w:sz="8" w:color="auto"/>
            </w:tcBorders>
            <w:gridSpan w:val="13"/>
          </w:tcPr>
          <w:p>
            <w:pPr>
              <w:spacing w:after="0" w:line="184" w:lineRule="exact"/>
              <w:rPr>
                <w:sz w:val="20"/>
                <w:szCs w:val="20"/>
                <w:color w:val="auto"/>
              </w:rPr>
            </w:pPr>
            <w:r>
              <w:rPr>
                <w:rFonts w:ascii="Arial" w:cs="Arial" w:eastAsia="Arial" w:hAnsi="Arial"/>
                <w:sz w:val="19"/>
                <w:szCs w:val="19"/>
                <w:color w:val="auto"/>
                <w:w w:val="94"/>
              </w:rPr>
              <w:t>2023, between The Boeing Company and United Airlines, Inc. (filed as Exhibit 10.34 to UAL's</w:t>
            </w:r>
          </w:p>
        </w:tc>
        <w:tc>
          <w:tcPr>
            <w:tcW w:w="1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120" w:type="dxa"/>
            <w:vAlign w:val="bottom"/>
            <w:tcBorders>
              <w:top w:val="single" w:sz="8" w:color="auto"/>
              <w:bottom w:val="single" w:sz="8" w:color="auto"/>
            </w:tcBorders>
            <w:gridSpan w:val="3"/>
          </w:tcPr>
          <w:p>
            <w:pPr>
              <w:spacing w:after="0" w:line="174" w:lineRule="exact"/>
              <w:rPr>
                <w:sz w:val="20"/>
                <w:szCs w:val="20"/>
                <w:color w:val="auto"/>
              </w:rPr>
            </w:pPr>
            <w:r>
              <w:rPr>
                <w:rFonts w:ascii="Arial" w:cs="Arial" w:eastAsia="Arial" w:hAnsi="Arial"/>
                <w:sz w:val="19"/>
                <w:szCs w:val="19"/>
                <w:color w:val="auto"/>
                <w:w w:val="91"/>
              </w:rPr>
              <w:t>Form 10-Q for the quarter ended September 30, 2023 and incorporated herein by reference)</w:t>
            </w:r>
          </w:p>
        </w:tc>
        <w:tc>
          <w:tcPr>
            <w:tcW w:w="340" w:type="dxa"/>
            <w:vAlign w:val="bottom"/>
            <w:tcBorders>
              <w:top w:val="single" w:sz="8" w:color="auto"/>
            </w:tcBorders>
            <w:gridSpan w:val="11"/>
          </w:tcPr>
          <w:p>
            <w:pPr>
              <w:spacing w:after="0"/>
              <w:rPr>
                <w:sz w:val="15"/>
                <w:szCs w:val="15"/>
                <w:color w:val="auto"/>
              </w:rPr>
            </w:pP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542"/>
        </w:trPr>
        <w:tc>
          <w:tcPr>
            <w:tcW w:w="840" w:type="dxa"/>
            <w:vAlign w:val="bottom"/>
          </w:tcPr>
          <w:p>
            <w:pPr>
              <w:spacing w:after="0"/>
              <w:rPr>
                <w:sz w:val="20"/>
                <w:szCs w:val="20"/>
                <w:color w:val="auto"/>
              </w:rPr>
            </w:pPr>
            <w:r>
              <w:rPr>
                <w:rFonts w:ascii="Arial" w:cs="Arial" w:eastAsia="Arial" w:hAnsi="Arial"/>
                <w:sz w:val="19"/>
                <w:szCs w:val="19"/>
                <w:color w:val="auto"/>
              </w:rPr>
              <w:t>^10.107</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240" w:type="dxa"/>
            <w:vAlign w:val="bottom"/>
            <w:tcBorders>
              <w:bottom w:val="single" w:sz="8" w:color="auto"/>
            </w:tcBorders>
            <w:gridSpan w:val="6"/>
          </w:tcPr>
          <w:p>
            <w:pPr>
              <w:spacing w:after="0"/>
              <w:rPr>
                <w:sz w:val="20"/>
                <w:szCs w:val="20"/>
                <w:color w:val="auto"/>
              </w:rPr>
            </w:pPr>
            <w:r>
              <w:rPr>
                <w:rFonts w:ascii="Arial" w:cs="Arial" w:eastAsia="Arial" w:hAnsi="Arial"/>
                <w:sz w:val="19"/>
                <w:szCs w:val="19"/>
                <w:color w:val="auto"/>
                <w:w w:val="92"/>
              </w:rPr>
              <w:t>Supplemental Agreement No. 14 to Purchase Agreement No. 04815, dated as of October 24,</w:t>
            </w:r>
          </w:p>
        </w:tc>
        <w:tc>
          <w:tcPr>
            <w:tcW w:w="3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560" w:type="dxa"/>
            <w:vAlign w:val="bottom"/>
            <w:tcBorders>
              <w:bottom w:val="single" w:sz="8" w:color="auto"/>
            </w:tcBorders>
            <w:gridSpan w:val="19"/>
          </w:tcPr>
          <w:p>
            <w:pPr>
              <w:spacing w:after="0" w:line="184" w:lineRule="exact"/>
              <w:rPr>
                <w:sz w:val="20"/>
                <w:szCs w:val="20"/>
                <w:color w:val="auto"/>
              </w:rPr>
            </w:pPr>
            <w:r>
              <w:rPr>
                <w:rFonts w:ascii="Arial" w:cs="Arial" w:eastAsia="Arial" w:hAnsi="Arial"/>
                <w:sz w:val="19"/>
                <w:szCs w:val="19"/>
                <w:color w:val="auto"/>
                <w:w w:val="95"/>
              </w:rPr>
              <w:t>2024, between The Boeing Company and United Airlines, Inc. (filed as Exhibit 10.107 to UAL's</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560" w:type="dxa"/>
            <w:vAlign w:val="bottom"/>
            <w:gridSpan w:val="19"/>
          </w:tcPr>
          <w:p>
            <w:pPr>
              <w:spacing w:after="0" w:line="174" w:lineRule="exact"/>
              <w:rPr>
                <w:sz w:val="20"/>
                <w:szCs w:val="20"/>
                <w:color w:val="auto"/>
              </w:rPr>
            </w:pPr>
            <w:r>
              <w:rPr>
                <w:rFonts w:ascii="Arial" w:cs="Arial" w:eastAsia="Arial" w:hAnsi="Arial"/>
                <w:sz w:val="19"/>
                <w:szCs w:val="19"/>
                <w:color w:val="auto"/>
              </w:rPr>
              <w:t>Form 10-K for the year ended December 31, 2024 and incorporated herein by reference)</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640"/>
          </w:cols>
          <w:pgMar w:left="1020" w:top="625" w:right="1220" w:bottom="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107</w:t>
      </w:r>
    </w:p>
    <w:p>
      <w:pPr>
        <w:sectPr>
          <w:pgSz w:w="11880" w:h="15480" w:orient="portrait"/>
          <w:cols w:equalWidth="0" w:num="1">
            <w:col w:w="9640"/>
          </w:cols>
          <w:pgMar w:left="1020" w:top="625" w:right="1220" w:bottom="45"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24"/>
        </w:trPr>
        <w:tc>
          <w:tcPr>
            <w:tcW w:w="840" w:type="dxa"/>
            <w:vAlign w:val="bottom"/>
          </w:tcPr>
          <w:p>
            <w:pPr>
              <w:jc w:val="right"/>
              <w:ind w:right="123"/>
              <w:spacing w:after="0"/>
              <w:rPr>
                <w:sz w:val="20"/>
                <w:szCs w:val="20"/>
                <w:color w:val="auto"/>
              </w:rPr>
            </w:pPr>
            <w:r>
              <w:rPr>
                <w:rFonts w:ascii="Arial" w:cs="Arial" w:eastAsia="Arial" w:hAnsi="Arial"/>
                <w:sz w:val="19"/>
                <w:szCs w:val="19"/>
                <w:color w:val="auto"/>
                <w:w w:val="89"/>
              </w:rPr>
              <w:t>^10.108</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480" w:type="dxa"/>
            <w:vAlign w:val="bottom"/>
            <w:gridSpan w:val="8"/>
          </w:tcPr>
          <w:p>
            <w:pPr>
              <w:spacing w:after="0"/>
              <w:rPr>
                <w:sz w:val="20"/>
                <w:szCs w:val="20"/>
                <w:color w:val="auto"/>
              </w:rPr>
            </w:pPr>
            <w:r>
              <w:rPr>
                <w:rFonts w:ascii="Arial" w:cs="Arial" w:eastAsia="Arial" w:hAnsi="Arial"/>
                <w:sz w:val="19"/>
                <w:szCs w:val="19"/>
                <w:color w:val="auto"/>
                <w:w w:val="92"/>
              </w:rPr>
              <w:t>Supplemental Agreement No. 15 to Purchase Agreement No. 04815, dated as of December 30,</w:t>
            </w: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4880" w:type="dxa"/>
            <w:vAlign w:val="bottom"/>
            <w:tcBorders>
              <w:top w:val="single" w:sz="8" w:color="auto"/>
              <w:bottom w:val="single" w:sz="8" w:color="auto"/>
            </w:tcBorders>
            <w:gridSpan w:val="2"/>
          </w:tcPr>
          <w:p>
            <w:pPr>
              <w:spacing w:after="0" w:line="184" w:lineRule="exact"/>
              <w:rPr>
                <w:sz w:val="20"/>
                <w:szCs w:val="20"/>
                <w:color w:val="auto"/>
              </w:rPr>
            </w:pPr>
            <w:r>
              <w:rPr>
                <w:rFonts w:ascii="Arial" w:cs="Arial" w:eastAsia="Arial" w:hAnsi="Arial"/>
                <w:sz w:val="19"/>
                <w:szCs w:val="19"/>
                <w:color w:val="auto"/>
                <w:w w:val="93"/>
              </w:rPr>
              <w:t>2025, between The Boeing Company and United Airlines, Inc.</w:t>
            </w:r>
          </w:p>
        </w:tc>
        <w:tc>
          <w:tcPr>
            <w:tcW w:w="2520" w:type="dxa"/>
            <w:vAlign w:val="bottom"/>
            <w:tcBorders>
              <w:top w:val="single" w:sz="8" w:color="auto"/>
            </w:tcBorders>
            <w:gridSpan w:val="4"/>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532"/>
        </w:trPr>
        <w:tc>
          <w:tcPr>
            <w:tcW w:w="840" w:type="dxa"/>
            <w:vAlign w:val="bottom"/>
          </w:tcPr>
          <w:p>
            <w:pPr>
              <w:jc w:val="right"/>
              <w:ind w:right="123"/>
              <w:spacing w:after="0"/>
              <w:rPr>
                <w:sz w:val="20"/>
                <w:szCs w:val="20"/>
                <w:color w:val="auto"/>
              </w:rPr>
            </w:pPr>
            <w:r>
              <w:rPr>
                <w:rFonts w:ascii="Arial" w:cs="Arial" w:eastAsia="Arial" w:hAnsi="Arial"/>
                <w:sz w:val="19"/>
                <w:szCs w:val="19"/>
                <w:color w:val="auto"/>
                <w:w w:val="89"/>
              </w:rPr>
              <w:t>^10.109</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480" w:type="dxa"/>
            <w:vAlign w:val="bottom"/>
            <w:gridSpan w:val="8"/>
          </w:tcPr>
          <w:p>
            <w:pPr>
              <w:spacing w:after="0"/>
              <w:rPr>
                <w:sz w:val="20"/>
                <w:szCs w:val="20"/>
                <w:color w:val="auto"/>
              </w:rPr>
            </w:pPr>
            <w:r>
              <w:rPr>
                <w:rFonts w:ascii="Arial" w:cs="Arial" w:eastAsia="Arial" w:hAnsi="Arial"/>
                <w:sz w:val="19"/>
                <w:szCs w:val="19"/>
                <w:color w:val="auto"/>
              </w:rPr>
              <w:t>United Letter Agreement No. 22004762, dated as of December 12, 2022, to Purchase</w:t>
            </w: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6680" w:type="dxa"/>
            <w:vAlign w:val="bottom"/>
            <w:tcBorders>
              <w:top w:val="single" w:sz="8" w:color="auto"/>
              <w:bottom w:val="single" w:sz="8" w:color="auto"/>
            </w:tcBorders>
            <w:gridSpan w:val="3"/>
          </w:tcPr>
          <w:p>
            <w:pPr>
              <w:spacing w:after="0" w:line="184" w:lineRule="exact"/>
              <w:rPr>
                <w:sz w:val="20"/>
                <w:szCs w:val="20"/>
                <w:color w:val="auto"/>
              </w:rPr>
            </w:pPr>
            <w:r>
              <w:rPr>
                <w:rFonts w:ascii="Arial" w:cs="Arial" w:eastAsia="Arial" w:hAnsi="Arial"/>
                <w:sz w:val="19"/>
                <w:szCs w:val="19"/>
                <w:color w:val="auto"/>
                <w:w w:val="89"/>
              </w:rPr>
              <w:t>Agreement No. 03860, dated as of June 15, 2017, and Purchase Agreement No. 04815,</w:t>
            </w:r>
          </w:p>
        </w:tc>
        <w:tc>
          <w:tcPr>
            <w:tcW w:w="800" w:type="dxa"/>
            <w:vAlign w:val="bottom"/>
            <w:tcBorders>
              <w:bottom w:val="single" w:sz="8" w:color="auto"/>
            </w:tcBorders>
            <w:gridSpan w:val="5"/>
          </w:tcPr>
          <w:p>
            <w:pPr>
              <w:ind w:left="120"/>
              <w:spacing w:after="0" w:line="184" w:lineRule="exact"/>
              <w:rPr>
                <w:sz w:val="20"/>
                <w:szCs w:val="20"/>
                <w:color w:val="auto"/>
              </w:rPr>
            </w:pPr>
            <w:r>
              <w:rPr>
                <w:rFonts w:ascii="Arial" w:cs="Arial" w:eastAsia="Arial" w:hAnsi="Arial"/>
                <w:sz w:val="19"/>
                <w:szCs w:val="19"/>
                <w:color w:val="auto"/>
                <w:w w:val="90"/>
              </w:rPr>
              <w:t>dated as</w:t>
            </w:r>
          </w:p>
        </w:tc>
      </w:tr>
      <w:tr>
        <w:trPr>
          <w:trHeight w:val="164"/>
        </w:trPr>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80" w:type="dxa"/>
            <w:vAlign w:val="bottom"/>
            <w:gridSpan w:val="8"/>
          </w:tcPr>
          <w:p>
            <w:pPr>
              <w:spacing w:after="0" w:line="158" w:lineRule="exact"/>
              <w:rPr>
                <w:sz w:val="20"/>
                <w:szCs w:val="20"/>
                <w:color w:val="auto"/>
              </w:rPr>
            </w:pPr>
            <w:r>
              <w:rPr>
                <w:rFonts w:ascii="Arial" w:cs="Arial" w:eastAsia="Arial" w:hAnsi="Arial"/>
                <w:sz w:val="18"/>
                <w:szCs w:val="18"/>
                <w:color w:val="auto"/>
              </w:rPr>
              <w:t>of May 31, 2018, between the Boeing Company and United Airlines, Inc. (filed as Exhibit</w:t>
            </w:r>
          </w:p>
        </w:tc>
      </w:tr>
      <w:tr>
        <w:trPr>
          <w:trHeight w:val="184"/>
        </w:trPr>
        <w:tc>
          <w:tcPr>
            <w:tcW w:w="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060" w:type="dxa"/>
            <w:vAlign w:val="bottom"/>
            <w:tcBorders>
              <w:top w:val="single" w:sz="8" w:color="auto"/>
            </w:tcBorders>
            <w:gridSpan w:val="4"/>
          </w:tcPr>
          <w:p>
            <w:pPr>
              <w:spacing w:after="0" w:line="184" w:lineRule="exact"/>
              <w:rPr>
                <w:sz w:val="20"/>
                <w:szCs w:val="20"/>
                <w:color w:val="auto"/>
              </w:rPr>
            </w:pPr>
            <w:r>
              <w:rPr>
                <w:rFonts w:ascii="Arial" w:cs="Arial" w:eastAsia="Arial" w:hAnsi="Arial"/>
                <w:sz w:val="19"/>
                <w:szCs w:val="19"/>
                <w:color w:val="auto"/>
                <w:w w:val="91"/>
              </w:rPr>
              <w:t>10.</w:t>
            </w:r>
            <w:r>
              <w:rPr>
                <w:rFonts w:ascii="Arial" w:cs="Arial" w:eastAsia="Arial" w:hAnsi="Arial"/>
                <w:sz w:val="19"/>
                <w:szCs w:val="19"/>
                <w:u w:val="single" w:color="auto"/>
                <w:color w:val="auto"/>
                <w:w w:val="91"/>
              </w:rPr>
              <w:t>105</w:t>
            </w:r>
            <w:r>
              <w:rPr>
                <w:rFonts w:ascii="Arial" w:cs="Arial" w:eastAsia="Arial" w:hAnsi="Arial"/>
                <w:sz w:val="19"/>
                <w:szCs w:val="19"/>
                <w:color w:val="auto"/>
                <w:w w:val="91"/>
              </w:rPr>
              <w:t xml:space="preserve"> to UAL's Form 10-K for the year ended December 31, 2022 and incorporated herein</w:t>
            </w:r>
          </w:p>
        </w:tc>
        <w:tc>
          <w:tcPr>
            <w:tcW w:w="420" w:type="dxa"/>
            <w:vAlign w:val="bottom"/>
            <w:gridSpan w:val="4"/>
          </w:tcPr>
          <w:p>
            <w:pPr>
              <w:ind w:left="120"/>
              <w:spacing w:after="0" w:line="184" w:lineRule="exact"/>
              <w:rPr>
                <w:sz w:val="20"/>
                <w:szCs w:val="20"/>
                <w:color w:val="auto"/>
              </w:rPr>
            </w:pPr>
            <w:r>
              <w:rPr>
                <w:rFonts w:ascii="Arial" w:cs="Arial" w:eastAsia="Arial" w:hAnsi="Arial"/>
                <w:sz w:val="19"/>
                <w:szCs w:val="19"/>
                <w:color w:val="auto"/>
              </w:rPr>
              <w:t>by</w:t>
            </w: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0"/>
              </w:rPr>
              <w:t>reference)</w:t>
            </w:r>
          </w:p>
        </w:tc>
        <w:tc>
          <w:tcPr>
            <w:tcW w:w="6620" w:type="dxa"/>
            <w:vAlign w:val="bottom"/>
            <w:tcBorders>
              <w:top w:val="single" w:sz="8" w:color="auto"/>
            </w:tcBorders>
            <w:gridSpan w:val="6"/>
          </w:tcPr>
          <w:p>
            <w:pPr>
              <w:spacing w:after="0"/>
              <w:rPr>
                <w:sz w:val="15"/>
                <w:szCs w:val="15"/>
                <w:color w:val="auto"/>
              </w:rPr>
            </w:pPr>
          </w:p>
        </w:tc>
        <w:tc>
          <w:tcPr>
            <w:tcW w:w="60" w:type="dxa"/>
            <w:vAlign w:val="bottom"/>
          </w:tcPr>
          <w:p>
            <w:pPr>
              <w:spacing w:after="0"/>
              <w:rPr>
                <w:sz w:val="15"/>
                <w:szCs w:val="15"/>
                <w:color w:val="auto"/>
              </w:rPr>
            </w:pPr>
          </w:p>
        </w:tc>
      </w:tr>
      <w:tr>
        <w:trPr>
          <w:trHeight w:val="532"/>
        </w:trPr>
        <w:tc>
          <w:tcPr>
            <w:tcW w:w="840" w:type="dxa"/>
            <w:vAlign w:val="bottom"/>
          </w:tcPr>
          <w:p>
            <w:pPr>
              <w:jc w:val="right"/>
              <w:ind w:right="123"/>
              <w:spacing w:after="0"/>
              <w:rPr>
                <w:sz w:val="20"/>
                <w:szCs w:val="20"/>
                <w:color w:val="auto"/>
              </w:rPr>
            </w:pPr>
            <w:r>
              <w:rPr>
                <w:rFonts w:ascii="Arial" w:cs="Arial" w:eastAsia="Arial" w:hAnsi="Arial"/>
                <w:sz w:val="19"/>
                <w:szCs w:val="19"/>
                <w:color w:val="auto"/>
                <w:w w:val="89"/>
              </w:rPr>
              <w:t>^10.110</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668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w w:val="92"/>
              </w:rPr>
              <w:t>United Letter Agreement No. 22004729, dated as of December 12, 2022, to Purchase</w:t>
            </w:r>
          </w:p>
        </w:tc>
        <w:tc>
          <w:tcPr>
            <w:tcW w:w="800" w:type="dxa"/>
            <w:vAlign w:val="bottom"/>
            <w:gridSpan w:val="5"/>
          </w:tcPr>
          <w:p>
            <w:pPr>
              <w:spacing w:after="0"/>
              <w:rPr>
                <w:sz w:val="24"/>
                <w:szCs w:val="24"/>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360" w:type="dxa"/>
            <w:vAlign w:val="bottom"/>
            <w:tcBorders>
              <w:bottom w:val="single" w:sz="8" w:color="auto"/>
            </w:tcBorders>
            <w:gridSpan w:val="5"/>
          </w:tcPr>
          <w:p>
            <w:pPr>
              <w:spacing w:after="0" w:line="184" w:lineRule="exact"/>
              <w:rPr>
                <w:sz w:val="20"/>
                <w:szCs w:val="20"/>
                <w:color w:val="auto"/>
              </w:rPr>
            </w:pPr>
            <w:r>
              <w:rPr>
                <w:rFonts w:ascii="Arial" w:cs="Arial" w:eastAsia="Arial" w:hAnsi="Arial"/>
                <w:sz w:val="19"/>
                <w:szCs w:val="19"/>
                <w:color w:val="auto"/>
                <w:w w:val="91"/>
              </w:rPr>
              <w:t>Agreement No. 03860, dated as of June 15, 2017, Purchase Agreement No. 04815, dated as of</w:t>
            </w:r>
          </w:p>
        </w:tc>
        <w:tc>
          <w:tcPr>
            <w:tcW w:w="120" w:type="dxa"/>
            <w:vAlign w:val="bottom"/>
            <w:gridSpan w:val="3"/>
          </w:tcPr>
          <w:p>
            <w:pPr>
              <w:spacing w:after="0"/>
              <w:rPr>
                <w:sz w:val="16"/>
                <w:szCs w:val="16"/>
                <w:color w:val="auto"/>
              </w:rPr>
            </w:pPr>
          </w:p>
        </w:tc>
      </w:tr>
      <w:tr>
        <w:trPr>
          <w:trHeight w:val="157"/>
        </w:trPr>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80" w:type="dxa"/>
            <w:vAlign w:val="bottom"/>
            <w:gridSpan w:val="8"/>
          </w:tcPr>
          <w:p>
            <w:pPr>
              <w:spacing w:after="0" w:line="157" w:lineRule="exact"/>
              <w:rPr>
                <w:sz w:val="20"/>
                <w:szCs w:val="20"/>
                <w:color w:val="auto"/>
              </w:rPr>
            </w:pPr>
            <w:r>
              <w:rPr>
                <w:rFonts w:ascii="Arial" w:cs="Arial" w:eastAsia="Arial" w:hAnsi="Arial"/>
                <w:sz w:val="18"/>
                <w:szCs w:val="18"/>
                <w:u w:val="single" w:color="auto"/>
                <w:color w:val="auto"/>
                <w:w w:val="96"/>
              </w:rPr>
              <w:t>May 31, 2018, and Purchase Agreement No. 02484, dated as of December 29, 2004, among The</w:t>
            </w:r>
          </w:p>
        </w:tc>
      </w:tr>
    </w:tbl>
    <w:p>
      <w:pPr>
        <w:ind w:left="2080" w:right="100"/>
        <w:spacing w:after="0" w:line="251" w:lineRule="auto"/>
        <w:rPr>
          <w:sz w:val="20"/>
          <w:szCs w:val="20"/>
          <w:color w:val="auto"/>
        </w:rPr>
      </w:pPr>
      <w:r>
        <w:rPr>
          <w:rFonts w:ascii="Arial" w:cs="Arial" w:eastAsia="Arial" w:hAnsi="Arial"/>
          <w:sz w:val="19"/>
          <w:szCs w:val="19"/>
          <w:u w:val="single" w:color="auto"/>
          <w:color w:val="auto"/>
        </w:rPr>
        <w:t>Boeing Company and United Airlines, Inc. (filed as Exhibit 10.106 to UAL's Form 10-K for the year ended December 31, 2022 and incorporated herein by reference)</w:t>
      </w:r>
    </w:p>
    <w:p>
      <w:pPr>
        <w:sectPr>
          <w:pgSz w:w="11880" w:h="15480" w:orient="portrait"/>
          <w:cols w:equalWidth="0" w:num="1">
            <w:col w:w="9640"/>
          </w:cols>
          <w:pgMar w:left="1020" w:top="615" w:right="1220" w:bottom="45" w:gutter="0" w:footer="0" w:header="0"/>
        </w:sectPr>
      </w:pPr>
    </w:p>
    <w:p>
      <w:pPr>
        <w:spacing w:after="0" w:line="299" w:lineRule="exact"/>
        <w:rPr>
          <w:sz w:val="20"/>
          <w:szCs w:val="20"/>
          <w:color w:val="auto"/>
        </w:rPr>
      </w:pPr>
    </w:p>
    <w:p>
      <w:pPr>
        <w:ind w:left="1080" w:hanging="1079"/>
        <w:spacing w:after="0" w:line="309" w:lineRule="auto"/>
        <w:tabs>
          <w:tab w:leader="none" w:pos="1060" w:val="left"/>
        </w:tabs>
        <w:rPr>
          <w:sz w:val="20"/>
          <w:szCs w:val="20"/>
          <w:color w:val="auto"/>
        </w:rPr>
      </w:pPr>
      <w:r>
        <w:rPr>
          <w:rFonts w:ascii="Arial" w:cs="Arial" w:eastAsia="Arial" w:hAnsi="Arial"/>
          <w:sz w:val="17"/>
          <w:szCs w:val="17"/>
          <w:color w:val="auto"/>
        </w:rPr>
        <w:t>^10.111</w:t>
      </w:r>
      <w:r>
        <w:rPr>
          <w:sz w:val="20"/>
          <w:szCs w:val="20"/>
          <w:color w:val="auto"/>
        </w:rPr>
        <w:tab/>
      </w:r>
      <w:r>
        <w:rPr>
          <w:rFonts w:ascii="Arial" w:cs="Arial" w:eastAsia="Arial" w:hAnsi="Arial"/>
          <w:sz w:val="17"/>
          <w:szCs w:val="17"/>
          <w:color w:val="auto"/>
        </w:rPr>
        <w:t>UAL United</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right="280"/>
        <w:spacing w:after="0" w:line="229" w:lineRule="auto"/>
        <w:rPr>
          <w:sz w:val="20"/>
          <w:szCs w:val="20"/>
          <w:color w:val="auto"/>
        </w:rPr>
      </w:pPr>
      <w:r>
        <w:rPr>
          <w:rFonts w:ascii="Arial" w:cs="Arial" w:eastAsia="Arial" w:hAnsi="Arial"/>
          <w:sz w:val="19"/>
          <w:szCs w:val="19"/>
          <w:u w:val="single" w:color="auto"/>
          <w:color w:val="auto"/>
        </w:rPr>
        <w:t>Letter Agreement No. 22004729R1, dated as of September 28, 2023, between The Boeing Company and United Airlines, Inc. (related to Purchase Agreement Nos. 03860, 04815 and 02484) (filed as Exhibit 10.35 to UAL's Form 10-Q for the quarter ended September 30, 2023 and incorporated herein by reference)</w:t>
      </w:r>
    </w:p>
    <w:p>
      <w:pPr>
        <w:spacing w:after="0" w:line="200" w:lineRule="exact"/>
        <w:rPr>
          <w:sz w:val="20"/>
          <w:szCs w:val="20"/>
          <w:color w:val="auto"/>
        </w:rPr>
      </w:pPr>
    </w:p>
    <w:p>
      <w:pPr>
        <w:sectPr>
          <w:pgSz w:w="11880" w:h="15480" w:orient="portrait"/>
          <w:cols w:equalWidth="0" w:num="2">
            <w:col w:w="1600" w:space="480"/>
            <w:col w:w="7560"/>
          </w:cols>
          <w:pgMar w:left="1020" w:top="615" w:right="1220" w:bottom="45" w:gutter="0" w:footer="0" w:header="0"/>
          <w:type w:val="continuous"/>
        </w:sectPr>
      </w:pP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40" w:type="dxa"/>
            <w:vAlign w:val="bottom"/>
          </w:tcPr>
          <w:p>
            <w:pPr>
              <w:spacing w:after="0"/>
              <w:rPr>
                <w:sz w:val="20"/>
                <w:szCs w:val="20"/>
                <w:color w:val="auto"/>
              </w:rPr>
            </w:pPr>
            <w:r>
              <w:rPr>
                <w:rFonts w:ascii="Arial" w:cs="Arial" w:eastAsia="Arial" w:hAnsi="Arial"/>
                <w:sz w:val="19"/>
                <w:szCs w:val="19"/>
                <w:color w:val="auto"/>
              </w:rPr>
              <w:t>^10.112</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60" w:type="dxa"/>
            <w:vAlign w:val="bottom"/>
            <w:gridSpan w:val="24"/>
          </w:tcPr>
          <w:p>
            <w:pPr>
              <w:spacing w:after="0"/>
              <w:rPr>
                <w:sz w:val="20"/>
                <w:szCs w:val="20"/>
                <w:color w:val="auto"/>
              </w:rPr>
            </w:pPr>
            <w:r>
              <w:rPr>
                <w:rFonts w:ascii="Arial" w:cs="Arial" w:eastAsia="Arial" w:hAnsi="Arial"/>
                <w:sz w:val="19"/>
                <w:szCs w:val="19"/>
                <w:color w:val="auto"/>
                <w:w w:val="96"/>
              </w:rPr>
              <w:t>Letter Agreement No. UAL-NM-2404793, dated as of October 24, 2024, between The Boeing</w:t>
            </w: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380" w:type="dxa"/>
            <w:vAlign w:val="bottom"/>
            <w:tcBorders>
              <w:top w:val="single" w:sz="8" w:color="auto"/>
              <w:bottom w:val="single" w:sz="8" w:color="auto"/>
            </w:tcBorders>
            <w:gridSpan w:val="14"/>
          </w:tcPr>
          <w:p>
            <w:pPr>
              <w:spacing w:after="0" w:line="184" w:lineRule="exact"/>
              <w:rPr>
                <w:sz w:val="20"/>
                <w:szCs w:val="20"/>
                <w:color w:val="auto"/>
              </w:rPr>
            </w:pPr>
            <w:r>
              <w:rPr>
                <w:rFonts w:ascii="Arial" w:cs="Arial" w:eastAsia="Arial" w:hAnsi="Arial"/>
                <w:sz w:val="19"/>
                <w:szCs w:val="19"/>
                <w:color w:val="auto"/>
                <w:w w:val="92"/>
              </w:rPr>
              <w:t>Company and United Airlines, Inc. (related to Purchase Agreement No. 04815) (filed as Exhibit</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540" w:type="dxa"/>
            <w:vAlign w:val="bottom"/>
            <w:gridSpan w:val="22"/>
          </w:tcPr>
          <w:p>
            <w:pPr>
              <w:spacing w:after="0" w:line="174" w:lineRule="exact"/>
              <w:rPr>
                <w:sz w:val="20"/>
                <w:szCs w:val="20"/>
                <w:color w:val="auto"/>
              </w:rPr>
            </w:pPr>
            <w:r>
              <w:rPr>
                <w:rFonts w:ascii="Arial" w:cs="Arial" w:eastAsia="Arial" w:hAnsi="Arial"/>
                <w:sz w:val="19"/>
                <w:szCs w:val="19"/>
                <w:color w:val="auto"/>
                <w:w w:val="94"/>
              </w:rPr>
              <w:t>10.</w:t>
            </w:r>
            <w:r>
              <w:rPr>
                <w:rFonts w:ascii="Arial" w:cs="Arial" w:eastAsia="Arial" w:hAnsi="Arial"/>
                <w:sz w:val="19"/>
                <w:szCs w:val="19"/>
                <w:u w:val="single" w:color="auto"/>
                <w:color w:val="auto"/>
                <w:w w:val="94"/>
              </w:rPr>
              <w:t>111</w:t>
            </w:r>
            <w:r>
              <w:rPr>
                <w:rFonts w:ascii="Arial" w:cs="Arial" w:eastAsia="Arial" w:hAnsi="Arial"/>
                <w:sz w:val="19"/>
                <w:szCs w:val="19"/>
                <w:color w:val="auto"/>
                <w:w w:val="94"/>
              </w:rPr>
              <w:t xml:space="preserve"> to UAL's Form 10-K for the year ended December 31, 2024 and incorporated herein by</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0"/>
              </w:rPr>
              <w:t>reference)</w:t>
            </w:r>
          </w:p>
        </w:tc>
        <w:tc>
          <w:tcPr>
            <w:tcW w:w="6680" w:type="dxa"/>
            <w:vAlign w:val="bottom"/>
            <w:tcBorders>
              <w:top w:val="single" w:sz="8" w:color="auto"/>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5"/>
                <w:szCs w:val="15"/>
                <w:color w:val="auto"/>
              </w:rPr>
            </w:pPr>
          </w:p>
        </w:tc>
      </w:tr>
      <w:tr>
        <w:trPr>
          <w:trHeight w:val="503"/>
        </w:trPr>
        <w:tc>
          <w:tcPr>
            <w:tcW w:w="840" w:type="dxa"/>
            <w:vAlign w:val="bottom"/>
          </w:tcPr>
          <w:p>
            <w:pPr>
              <w:spacing w:after="0"/>
              <w:rPr>
                <w:sz w:val="20"/>
                <w:szCs w:val="20"/>
                <w:color w:val="auto"/>
              </w:rPr>
            </w:pPr>
            <w:r>
              <w:rPr>
                <w:rFonts w:ascii="Arial" w:cs="Arial" w:eastAsia="Arial" w:hAnsi="Arial"/>
                <w:sz w:val="19"/>
                <w:szCs w:val="19"/>
                <w:color w:val="auto"/>
              </w:rPr>
              <w:t>10.113</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60" w:type="dxa"/>
            <w:vAlign w:val="bottom"/>
            <w:gridSpan w:val="24"/>
          </w:tcPr>
          <w:p>
            <w:pPr>
              <w:spacing w:after="0"/>
              <w:rPr>
                <w:sz w:val="20"/>
                <w:szCs w:val="20"/>
                <w:color w:val="auto"/>
              </w:rPr>
            </w:pPr>
            <w:r>
              <w:rPr>
                <w:rFonts w:ascii="Arial" w:cs="Arial" w:eastAsia="Arial" w:hAnsi="Arial"/>
                <w:sz w:val="19"/>
                <w:szCs w:val="19"/>
                <w:color w:val="auto"/>
                <w:w w:val="96"/>
              </w:rPr>
              <w:t>Payroll Support Program Agreement, dated as of April 20, 2020, between United Airlines, Inc.</w:t>
            </w: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420" w:type="dxa"/>
            <w:vAlign w:val="bottom"/>
            <w:tcBorders>
              <w:top w:val="single" w:sz="8" w:color="auto"/>
            </w:tcBorders>
            <w:gridSpan w:val="16"/>
          </w:tcPr>
          <w:p>
            <w:pPr>
              <w:spacing w:after="0" w:line="184" w:lineRule="exact"/>
              <w:rPr>
                <w:sz w:val="20"/>
                <w:szCs w:val="20"/>
                <w:color w:val="auto"/>
              </w:rPr>
            </w:pPr>
            <w:r>
              <w:rPr>
                <w:rFonts w:ascii="Arial" w:cs="Arial" w:eastAsia="Arial" w:hAnsi="Arial"/>
                <w:sz w:val="19"/>
                <w:szCs w:val="19"/>
                <w:color w:val="auto"/>
                <w:w w:val="97"/>
              </w:rPr>
              <w:t>and the United States Department of the Treasury (filed as Exhibit 10.1 to UAL's Form 8-K</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6"/>
                <w:szCs w:val="16"/>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520" w:type="dxa"/>
            <w:vAlign w:val="bottom"/>
            <w:tcBorders>
              <w:top w:val="single" w:sz="8" w:color="auto"/>
              <w:bottom w:val="single" w:sz="8" w:color="auto"/>
            </w:tcBorders>
            <w:gridSpan w:val="4"/>
          </w:tcPr>
          <w:p>
            <w:pPr>
              <w:spacing w:after="0" w:line="174" w:lineRule="exact"/>
              <w:rPr>
                <w:sz w:val="20"/>
                <w:szCs w:val="20"/>
                <w:color w:val="auto"/>
              </w:rPr>
            </w:pPr>
            <w:r>
              <w:rPr>
                <w:rFonts w:ascii="Arial" w:cs="Arial" w:eastAsia="Arial" w:hAnsi="Arial"/>
                <w:sz w:val="19"/>
                <w:szCs w:val="19"/>
                <w:color w:val="auto"/>
                <w:w w:val="93"/>
              </w:rPr>
              <w:t>filed April 23, 2020 and incorporated herein by reference)</w:t>
            </w:r>
          </w:p>
        </w:tc>
        <w:tc>
          <w:tcPr>
            <w:tcW w:w="2640" w:type="dxa"/>
            <w:vAlign w:val="bottom"/>
            <w:tcBorders>
              <w:top w:val="single" w:sz="8" w:color="auto"/>
            </w:tcBorders>
            <w:gridSpan w:val="7"/>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5"/>
                <w:szCs w:val="15"/>
                <w:color w:val="auto"/>
              </w:rPr>
            </w:pP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10.114</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60" w:type="dxa"/>
            <w:vAlign w:val="bottom"/>
            <w:gridSpan w:val="24"/>
          </w:tcPr>
          <w:p>
            <w:pPr>
              <w:spacing w:after="0"/>
              <w:rPr>
                <w:sz w:val="20"/>
                <w:szCs w:val="20"/>
                <w:color w:val="auto"/>
              </w:rPr>
            </w:pPr>
            <w:r>
              <w:rPr>
                <w:rFonts w:ascii="Arial" w:cs="Arial" w:eastAsia="Arial" w:hAnsi="Arial"/>
                <w:sz w:val="19"/>
                <w:szCs w:val="19"/>
                <w:color w:val="auto"/>
                <w:w w:val="94"/>
              </w:rPr>
              <w:t>Payroll Support Program Extension Agreement, dated as of January 15, 2021, between United</w:t>
            </w: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360" w:type="dxa"/>
            <w:vAlign w:val="bottom"/>
            <w:tcBorders>
              <w:top w:val="single" w:sz="8" w:color="auto"/>
              <w:bottom w:val="single" w:sz="8" w:color="auto"/>
            </w:tcBorders>
            <w:gridSpan w:val="13"/>
          </w:tcPr>
          <w:p>
            <w:pPr>
              <w:spacing w:after="0" w:line="184" w:lineRule="exact"/>
              <w:rPr>
                <w:sz w:val="20"/>
                <w:szCs w:val="20"/>
                <w:color w:val="auto"/>
              </w:rPr>
            </w:pPr>
            <w:r>
              <w:rPr>
                <w:rFonts w:ascii="Arial" w:cs="Arial" w:eastAsia="Arial" w:hAnsi="Arial"/>
                <w:sz w:val="19"/>
                <w:szCs w:val="19"/>
                <w:color w:val="auto"/>
                <w:w w:val="93"/>
              </w:rPr>
              <w:t>Airlines, Inc. and the United States Department of the Treasury (filed as Exhibit 10.1 to UAL's</w:t>
            </w:r>
          </w:p>
        </w:tc>
        <w:tc>
          <w:tcPr>
            <w:tcW w:w="40" w:type="dxa"/>
            <w:vAlign w:val="bottom"/>
            <w:tcBorders>
              <w:bottom w:val="single" w:sz="8" w:color="auto"/>
            </w:tcBorders>
            <w:gridSpan w:val="2"/>
          </w:tcPr>
          <w:p>
            <w:pPr>
              <w:spacing w:after="0"/>
              <w:rPr>
                <w:sz w:val="16"/>
                <w:szCs w:val="16"/>
                <w:color w:val="auto"/>
              </w:rPr>
            </w:pPr>
          </w:p>
        </w:tc>
        <w:tc>
          <w:tcPr>
            <w:tcW w:w="40" w:type="dxa"/>
            <w:vAlign w:val="bottom"/>
            <w:tcBorders>
              <w:bottom w:val="single" w:sz="8" w:color="auto"/>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6"/>
                <w:szCs w:val="16"/>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60" w:type="dxa"/>
            <w:vAlign w:val="bottom"/>
            <w:gridSpan w:val="18"/>
          </w:tcPr>
          <w:p>
            <w:pPr>
              <w:spacing w:after="0" w:line="174" w:lineRule="exact"/>
              <w:rPr>
                <w:sz w:val="20"/>
                <w:szCs w:val="20"/>
                <w:color w:val="auto"/>
              </w:rPr>
            </w:pPr>
            <w:r>
              <w:rPr>
                <w:rFonts w:ascii="Arial" w:cs="Arial" w:eastAsia="Arial" w:hAnsi="Arial"/>
                <w:sz w:val="19"/>
                <w:szCs w:val="19"/>
                <w:color w:val="auto"/>
              </w:rPr>
              <w:t>Form 8-K filed January 20, 2021 and incorporated herein by reference)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4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10.115</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60" w:type="dxa"/>
            <w:vAlign w:val="bottom"/>
            <w:gridSpan w:val="24"/>
          </w:tcPr>
          <w:p>
            <w:pPr>
              <w:spacing w:after="0"/>
              <w:rPr>
                <w:sz w:val="20"/>
                <w:szCs w:val="20"/>
                <w:color w:val="auto"/>
              </w:rPr>
            </w:pPr>
            <w:r>
              <w:rPr>
                <w:rFonts w:ascii="Arial" w:cs="Arial" w:eastAsia="Arial" w:hAnsi="Arial"/>
                <w:sz w:val="19"/>
                <w:szCs w:val="19"/>
                <w:color w:val="auto"/>
                <w:w w:val="94"/>
              </w:rPr>
              <w:t>Term Loan Credit and Guaranty Agreement, dated as of April 21, 2021, among United Airlines,</w:t>
            </w: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560" w:type="dxa"/>
            <w:vAlign w:val="bottom"/>
            <w:tcBorders>
              <w:top w:val="single" w:sz="8" w:color="auto"/>
            </w:tcBorders>
            <w:gridSpan w:val="23"/>
          </w:tcPr>
          <w:p>
            <w:pPr>
              <w:spacing w:after="0" w:line="184" w:lineRule="exact"/>
              <w:rPr>
                <w:sz w:val="20"/>
                <w:szCs w:val="20"/>
                <w:color w:val="auto"/>
              </w:rPr>
            </w:pPr>
            <w:r>
              <w:rPr>
                <w:rFonts w:ascii="Arial" w:cs="Arial" w:eastAsia="Arial" w:hAnsi="Arial"/>
                <w:sz w:val="19"/>
                <w:szCs w:val="19"/>
                <w:color w:val="auto"/>
                <w:w w:val="95"/>
              </w:rPr>
              <w:t>Inc., United Airlines Holdings, Inc., each of the several banks and other financial institutions or</w:t>
            </w:r>
          </w:p>
        </w:tc>
        <w:tc>
          <w:tcPr>
            <w:tcW w:w="0" w:type="dxa"/>
            <w:vAlign w:val="bottom"/>
          </w:tcPr>
          <w:p>
            <w:pPr>
              <w:spacing w:after="0"/>
              <w:rPr>
                <w:sz w:val="16"/>
                <w:szCs w:val="16"/>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540" w:type="dxa"/>
            <w:vAlign w:val="bottom"/>
            <w:tcBorders>
              <w:top w:val="single" w:sz="8" w:color="auto"/>
              <w:bottom w:val="single" w:sz="8" w:color="auto"/>
            </w:tcBorders>
            <w:gridSpan w:val="6"/>
          </w:tcPr>
          <w:p>
            <w:pPr>
              <w:spacing w:after="0" w:line="174" w:lineRule="exact"/>
              <w:rPr>
                <w:sz w:val="20"/>
                <w:szCs w:val="20"/>
                <w:color w:val="auto"/>
              </w:rPr>
            </w:pPr>
            <w:r>
              <w:rPr>
                <w:rFonts w:ascii="Arial" w:cs="Arial" w:eastAsia="Arial" w:hAnsi="Arial"/>
                <w:sz w:val="19"/>
                <w:szCs w:val="19"/>
                <w:color w:val="auto"/>
                <w:w w:val="92"/>
              </w:rPr>
              <w:t>entities from time to time party thereto, as lenders, JPMorgan Chase Bank, N.A., as</w:t>
            </w:r>
          </w:p>
        </w:tc>
        <w:tc>
          <w:tcPr>
            <w:tcW w:w="980" w:type="dxa"/>
            <w:vAlign w:val="bottom"/>
            <w:tcBorders>
              <w:top w:val="single" w:sz="8" w:color="auto"/>
            </w:tcBorders>
            <w:gridSpan w:val="15"/>
          </w:tcPr>
          <w:p>
            <w:pPr>
              <w:spacing w:after="0"/>
              <w:rPr>
                <w:sz w:val="15"/>
                <w:szCs w:val="15"/>
                <w:color w:val="auto"/>
              </w:rPr>
            </w:pPr>
          </w:p>
        </w:tc>
        <w:tc>
          <w:tcPr>
            <w:tcW w:w="40" w:type="dxa"/>
            <w:vAlign w:val="bottom"/>
            <w:gridSpan w:val="3"/>
          </w:tcPr>
          <w:p>
            <w:pPr>
              <w:spacing w:after="0"/>
              <w:rPr>
                <w:sz w:val="15"/>
                <w:szCs w:val="15"/>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560" w:type="dxa"/>
            <w:vAlign w:val="bottom"/>
            <w:gridSpan w:val="24"/>
          </w:tcPr>
          <w:p>
            <w:pPr>
              <w:spacing w:after="0" w:line="174" w:lineRule="exact"/>
              <w:rPr>
                <w:sz w:val="20"/>
                <w:szCs w:val="20"/>
                <w:color w:val="auto"/>
              </w:rPr>
            </w:pPr>
            <w:r>
              <w:rPr>
                <w:rFonts w:ascii="Arial" w:cs="Arial" w:eastAsia="Arial" w:hAnsi="Arial"/>
                <w:sz w:val="19"/>
                <w:szCs w:val="19"/>
                <w:color w:val="auto"/>
                <w:w w:val="95"/>
              </w:rPr>
              <w:t>administrative agent, and Wilmington Trust, National Association, as collateral trustee (filed as</w:t>
            </w: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100" w:type="dxa"/>
            <w:vAlign w:val="bottom"/>
            <w:tcBorders>
              <w:top w:val="single" w:sz="8" w:color="auto"/>
              <w:bottom w:val="single" w:sz="8" w:color="auto"/>
            </w:tcBorders>
            <w:gridSpan w:val="8"/>
          </w:tcPr>
          <w:p>
            <w:pPr>
              <w:spacing w:after="0" w:line="174" w:lineRule="exact"/>
              <w:rPr>
                <w:sz w:val="20"/>
                <w:szCs w:val="20"/>
                <w:color w:val="auto"/>
              </w:rPr>
            </w:pPr>
            <w:r>
              <w:rPr>
                <w:rFonts w:ascii="Arial" w:cs="Arial" w:eastAsia="Arial" w:hAnsi="Arial"/>
                <w:sz w:val="19"/>
                <w:szCs w:val="19"/>
                <w:color w:val="auto"/>
                <w:w w:val="94"/>
              </w:rPr>
              <w:t>Exhibit 10.1 to UAL's Form 8-K filed April 22, 2021 and incorporated herein by reference)</w:t>
            </w:r>
          </w:p>
        </w:tc>
        <w:tc>
          <w:tcPr>
            <w:tcW w:w="400" w:type="dxa"/>
            <w:vAlign w:val="bottom"/>
            <w:tcBorders>
              <w:top w:val="single" w:sz="8" w:color="auto"/>
            </w:tcBorders>
            <w:gridSpan w:val="12"/>
          </w:tcPr>
          <w:p>
            <w:pPr>
              <w:spacing w:after="0"/>
              <w:rPr>
                <w:sz w:val="15"/>
                <w:szCs w:val="15"/>
                <w:color w:val="auto"/>
              </w:rPr>
            </w:pPr>
          </w:p>
        </w:tc>
        <w:tc>
          <w:tcPr>
            <w:tcW w:w="60" w:type="dxa"/>
            <w:vAlign w:val="bottom"/>
            <w:gridSpan w:val="4"/>
          </w:tcPr>
          <w:p>
            <w:pPr>
              <w:spacing w:after="0"/>
              <w:rPr>
                <w:sz w:val="15"/>
                <w:szCs w:val="15"/>
                <w:color w:val="auto"/>
              </w:rPr>
            </w:pPr>
          </w:p>
        </w:tc>
      </w:tr>
      <w:tr>
        <w:trPr>
          <w:trHeight w:val="503"/>
        </w:trPr>
        <w:tc>
          <w:tcPr>
            <w:tcW w:w="840" w:type="dxa"/>
            <w:vAlign w:val="bottom"/>
          </w:tcPr>
          <w:p>
            <w:pPr>
              <w:spacing w:after="0"/>
              <w:rPr>
                <w:sz w:val="20"/>
                <w:szCs w:val="20"/>
                <w:color w:val="auto"/>
              </w:rPr>
            </w:pPr>
            <w:r>
              <w:rPr>
                <w:rFonts w:ascii="Arial" w:cs="Arial" w:eastAsia="Arial" w:hAnsi="Arial"/>
                <w:sz w:val="19"/>
                <w:szCs w:val="19"/>
                <w:color w:val="auto"/>
              </w:rPr>
              <w:t>10.116</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120" w:type="dxa"/>
            <w:vAlign w:val="bottom"/>
            <w:tcBorders>
              <w:bottom w:val="single" w:sz="8" w:color="auto"/>
            </w:tcBorders>
            <w:gridSpan w:val="9"/>
          </w:tcPr>
          <w:p>
            <w:pPr>
              <w:spacing w:after="0"/>
              <w:rPr>
                <w:sz w:val="20"/>
                <w:szCs w:val="20"/>
                <w:color w:val="auto"/>
              </w:rPr>
            </w:pPr>
            <w:r>
              <w:rPr>
                <w:rFonts w:ascii="Arial" w:cs="Arial" w:eastAsia="Arial" w:hAnsi="Arial"/>
                <w:sz w:val="19"/>
                <w:szCs w:val="19"/>
                <w:color w:val="auto"/>
                <w:w w:val="92"/>
              </w:rPr>
              <w:t>Amendment No. 2 to Term Loan Credit and Guaranty Agreement, dated as of February 22,</w:t>
            </w:r>
          </w:p>
        </w:tc>
        <w:tc>
          <w:tcPr>
            <w:tcW w:w="440" w:type="dxa"/>
            <w:vAlign w:val="bottom"/>
            <w:gridSpan w:val="15"/>
          </w:tcPr>
          <w:p>
            <w:pPr>
              <w:spacing w:after="0"/>
              <w:rPr>
                <w:sz w:val="24"/>
                <w:szCs w:val="24"/>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560" w:type="dxa"/>
            <w:vAlign w:val="bottom"/>
            <w:gridSpan w:val="24"/>
          </w:tcPr>
          <w:p>
            <w:pPr>
              <w:spacing w:after="0" w:line="184" w:lineRule="exact"/>
              <w:rPr>
                <w:sz w:val="20"/>
                <w:szCs w:val="20"/>
                <w:color w:val="auto"/>
              </w:rPr>
            </w:pPr>
            <w:r>
              <w:rPr>
                <w:rFonts w:ascii="Arial" w:cs="Arial" w:eastAsia="Arial" w:hAnsi="Arial"/>
                <w:sz w:val="19"/>
                <w:szCs w:val="19"/>
                <w:color w:val="auto"/>
                <w:w w:val="96"/>
              </w:rPr>
              <w:t>2024, among United Airlines, Inc., United Airlines Holdings, Inc., and JPMorgan Chase Bank,</w:t>
            </w: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40" w:type="dxa"/>
            <w:vAlign w:val="bottom"/>
            <w:tcBorders>
              <w:top w:val="single" w:sz="8" w:color="auto"/>
            </w:tcBorders>
            <w:gridSpan w:val="17"/>
          </w:tcPr>
          <w:p>
            <w:pPr>
              <w:spacing w:after="0" w:line="174" w:lineRule="exact"/>
              <w:rPr>
                <w:sz w:val="20"/>
                <w:szCs w:val="20"/>
                <w:color w:val="auto"/>
              </w:rPr>
            </w:pPr>
            <w:r>
              <w:rPr>
                <w:rFonts w:ascii="Arial" w:cs="Arial" w:eastAsia="Arial" w:hAnsi="Arial"/>
                <w:sz w:val="19"/>
                <w:szCs w:val="19"/>
                <w:color w:val="auto"/>
                <w:w w:val="96"/>
              </w:rPr>
              <w:t>N.A., as fronting lender and replacement lender and as administrative agent (filed as Exhibit</w:t>
            </w:r>
          </w:p>
        </w:tc>
        <w:tc>
          <w:tcPr>
            <w:tcW w:w="120" w:type="dxa"/>
            <w:vAlign w:val="bottom"/>
            <w:gridSpan w:val="7"/>
          </w:tcPr>
          <w:p>
            <w:pPr>
              <w:spacing w:after="0"/>
              <w:rPr>
                <w:sz w:val="15"/>
                <w:szCs w:val="15"/>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780" w:type="dxa"/>
            <w:vAlign w:val="bottom"/>
            <w:tcBorders>
              <w:top w:val="single" w:sz="8" w:color="auto"/>
              <w:bottom w:val="single" w:sz="8" w:color="auto"/>
            </w:tcBorders>
            <w:gridSpan w:val="7"/>
          </w:tcPr>
          <w:p>
            <w:pPr>
              <w:spacing w:after="0" w:line="174" w:lineRule="exact"/>
              <w:rPr>
                <w:sz w:val="20"/>
                <w:szCs w:val="20"/>
                <w:color w:val="auto"/>
              </w:rPr>
            </w:pPr>
            <w:r>
              <w:rPr>
                <w:rFonts w:ascii="Arial" w:cs="Arial" w:eastAsia="Arial" w:hAnsi="Arial"/>
                <w:sz w:val="19"/>
                <w:szCs w:val="19"/>
                <w:color w:val="auto"/>
                <w:w w:val="93"/>
              </w:rPr>
              <w:t>10.</w:t>
            </w:r>
            <w:r>
              <w:rPr>
                <w:rFonts w:ascii="Arial" w:cs="Arial" w:eastAsia="Arial" w:hAnsi="Arial"/>
                <w:sz w:val="19"/>
                <w:szCs w:val="19"/>
                <w:u w:val="single" w:color="auto"/>
                <w:color w:val="auto"/>
                <w:w w:val="93"/>
              </w:rPr>
              <w:t>2</w:t>
            </w:r>
            <w:r>
              <w:rPr>
                <w:rFonts w:ascii="Arial" w:cs="Arial" w:eastAsia="Arial" w:hAnsi="Arial"/>
                <w:sz w:val="19"/>
                <w:szCs w:val="19"/>
                <w:color w:val="auto"/>
                <w:w w:val="93"/>
              </w:rPr>
              <w:t xml:space="preserve"> to UAL's Form 8-K filed February 22, 2024 and incorporated herein by reference)</w:t>
            </w:r>
          </w:p>
        </w:tc>
        <w:tc>
          <w:tcPr>
            <w:tcW w:w="440" w:type="dxa"/>
            <w:vAlign w:val="bottom"/>
            <w:tcBorders>
              <w:top w:val="single" w:sz="8" w:color="auto"/>
            </w:tcBorders>
            <w:gridSpan w:val="5"/>
          </w:tcPr>
          <w:p>
            <w:pPr>
              <w:spacing w:after="0"/>
              <w:rPr>
                <w:sz w:val="15"/>
                <w:szCs w:val="15"/>
                <w:color w:val="auto"/>
              </w:rPr>
            </w:pPr>
          </w:p>
        </w:tc>
        <w:tc>
          <w:tcPr>
            <w:tcW w:w="180" w:type="dxa"/>
            <w:vAlign w:val="bottom"/>
            <w:gridSpan w:val="3"/>
          </w:tcPr>
          <w:p>
            <w:pPr>
              <w:spacing w:after="0"/>
              <w:rPr>
                <w:sz w:val="15"/>
                <w:szCs w:val="15"/>
                <w:color w:val="auto"/>
              </w:rPr>
            </w:pPr>
          </w:p>
        </w:tc>
        <w:tc>
          <w:tcPr>
            <w:tcW w:w="160" w:type="dxa"/>
            <w:vAlign w:val="bottom"/>
            <w:gridSpan w:val="9"/>
          </w:tcPr>
          <w:p>
            <w:pPr>
              <w:spacing w:after="0"/>
              <w:rPr>
                <w:sz w:val="15"/>
                <w:szCs w:val="15"/>
                <w:color w:val="auto"/>
              </w:rPr>
            </w:pPr>
          </w:p>
        </w:tc>
      </w:tr>
      <w:tr>
        <w:trPr>
          <w:trHeight w:val="533"/>
        </w:trPr>
        <w:tc>
          <w:tcPr>
            <w:tcW w:w="840" w:type="dxa"/>
            <w:vAlign w:val="bottom"/>
          </w:tcPr>
          <w:p>
            <w:pPr>
              <w:spacing w:after="0"/>
              <w:rPr>
                <w:sz w:val="20"/>
                <w:szCs w:val="20"/>
                <w:color w:val="auto"/>
              </w:rPr>
            </w:pPr>
            <w:r>
              <w:rPr>
                <w:rFonts w:ascii="Arial" w:cs="Arial" w:eastAsia="Arial" w:hAnsi="Arial"/>
                <w:sz w:val="19"/>
                <w:szCs w:val="19"/>
                <w:color w:val="auto"/>
              </w:rPr>
              <w:t>10.117</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140" w:type="dxa"/>
            <w:vAlign w:val="bottom"/>
            <w:tcBorders>
              <w:bottom w:val="single" w:sz="8" w:color="auto"/>
            </w:tcBorders>
            <w:gridSpan w:val="10"/>
          </w:tcPr>
          <w:p>
            <w:pPr>
              <w:spacing w:after="0"/>
              <w:rPr>
                <w:sz w:val="20"/>
                <w:szCs w:val="20"/>
                <w:color w:val="auto"/>
              </w:rPr>
            </w:pPr>
            <w:r>
              <w:rPr>
                <w:rFonts w:ascii="Arial" w:cs="Arial" w:eastAsia="Arial" w:hAnsi="Arial"/>
                <w:sz w:val="19"/>
                <w:szCs w:val="19"/>
                <w:color w:val="auto"/>
                <w:w w:val="93"/>
              </w:rPr>
              <w:t>Amendment No. 3 to Term Loan Credit and Guaranty Agreement, dated as of November 1,</w:t>
            </w:r>
          </w:p>
        </w:tc>
        <w:tc>
          <w:tcPr>
            <w:tcW w:w="420" w:type="dxa"/>
            <w:vAlign w:val="bottom"/>
            <w:gridSpan w:val="14"/>
          </w:tcPr>
          <w:p>
            <w:pPr>
              <w:spacing w:after="0"/>
              <w:rPr>
                <w:sz w:val="24"/>
                <w:szCs w:val="24"/>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560" w:type="dxa"/>
            <w:vAlign w:val="bottom"/>
            <w:gridSpan w:val="24"/>
          </w:tcPr>
          <w:p>
            <w:pPr>
              <w:spacing w:after="0" w:line="184" w:lineRule="exact"/>
              <w:rPr>
                <w:sz w:val="20"/>
                <w:szCs w:val="20"/>
                <w:color w:val="auto"/>
              </w:rPr>
            </w:pPr>
            <w:r>
              <w:rPr>
                <w:rFonts w:ascii="Arial" w:cs="Arial" w:eastAsia="Arial" w:hAnsi="Arial"/>
                <w:sz w:val="19"/>
                <w:szCs w:val="19"/>
                <w:color w:val="auto"/>
                <w:w w:val="96"/>
              </w:rPr>
              <w:t>2024, among United Airlines, Inc., United Airlines Holdings, Inc., and JPMorgan Chase Bank,</w:t>
            </w: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20" w:type="dxa"/>
            <w:vAlign w:val="bottom"/>
            <w:tcBorders>
              <w:top w:val="single" w:sz="8" w:color="auto"/>
              <w:bottom w:val="single" w:sz="8" w:color="auto"/>
            </w:tcBorders>
            <w:gridSpan w:val="3"/>
          </w:tcPr>
          <w:p>
            <w:pPr>
              <w:spacing w:after="0" w:line="174" w:lineRule="exact"/>
              <w:rPr>
                <w:sz w:val="20"/>
                <w:szCs w:val="20"/>
                <w:color w:val="auto"/>
              </w:rPr>
            </w:pPr>
            <w:r>
              <w:rPr>
                <w:rFonts w:ascii="Arial" w:cs="Arial" w:eastAsia="Arial" w:hAnsi="Arial"/>
                <w:sz w:val="19"/>
                <w:szCs w:val="19"/>
                <w:color w:val="auto"/>
                <w:w w:val="92"/>
              </w:rPr>
              <w:t>N.A., as fronting lender and as administrative agent</w:t>
            </w:r>
          </w:p>
        </w:tc>
        <w:tc>
          <w:tcPr>
            <w:tcW w:w="3420" w:type="dxa"/>
            <w:vAlign w:val="bottom"/>
            <w:tcBorders>
              <w:top w:val="single" w:sz="8" w:color="auto"/>
            </w:tcBorders>
            <w:gridSpan w:val="14"/>
          </w:tcPr>
          <w:p>
            <w:pPr>
              <w:spacing w:after="0"/>
              <w:rPr>
                <w:sz w:val="15"/>
                <w:szCs w:val="15"/>
                <w:color w:val="auto"/>
              </w:rPr>
            </w:pPr>
          </w:p>
        </w:tc>
        <w:tc>
          <w:tcPr>
            <w:tcW w:w="120" w:type="dxa"/>
            <w:vAlign w:val="bottom"/>
            <w:gridSpan w:val="7"/>
          </w:tcPr>
          <w:p>
            <w:pPr>
              <w:spacing w:after="0"/>
              <w:rPr>
                <w:sz w:val="15"/>
                <w:szCs w:val="15"/>
                <w:color w:val="auto"/>
              </w:rPr>
            </w:pPr>
          </w:p>
        </w:tc>
      </w:tr>
      <w:tr>
        <w:trPr>
          <w:trHeight w:val="503"/>
        </w:trPr>
        <w:tc>
          <w:tcPr>
            <w:tcW w:w="840" w:type="dxa"/>
            <w:vAlign w:val="bottom"/>
          </w:tcPr>
          <w:p>
            <w:pPr>
              <w:spacing w:after="0"/>
              <w:rPr>
                <w:sz w:val="20"/>
                <w:szCs w:val="20"/>
                <w:color w:val="auto"/>
              </w:rPr>
            </w:pPr>
            <w:r>
              <w:rPr>
                <w:rFonts w:ascii="Arial" w:cs="Arial" w:eastAsia="Arial" w:hAnsi="Arial"/>
                <w:sz w:val="19"/>
                <w:szCs w:val="19"/>
                <w:color w:val="auto"/>
              </w:rPr>
              <w:t>10.118</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60" w:type="dxa"/>
            <w:vAlign w:val="bottom"/>
            <w:tcBorders>
              <w:bottom w:val="single" w:sz="8" w:color="auto"/>
            </w:tcBorders>
            <w:gridSpan w:val="24"/>
          </w:tcPr>
          <w:p>
            <w:pPr>
              <w:spacing w:after="0"/>
              <w:rPr>
                <w:sz w:val="20"/>
                <w:szCs w:val="20"/>
                <w:color w:val="auto"/>
              </w:rPr>
            </w:pPr>
            <w:r>
              <w:rPr>
                <w:rFonts w:ascii="Arial" w:cs="Arial" w:eastAsia="Arial" w:hAnsi="Arial"/>
                <w:sz w:val="19"/>
                <w:szCs w:val="19"/>
                <w:color w:val="auto"/>
                <w:w w:val="93"/>
              </w:rPr>
              <w:t>Amendment No. 4 to Term Loan Credit and Guaranty Agreement, dated as of February 3, 2026,</w:t>
            </w: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560" w:type="dxa"/>
            <w:vAlign w:val="bottom"/>
            <w:gridSpan w:val="24"/>
          </w:tcPr>
          <w:p>
            <w:pPr>
              <w:spacing w:after="0" w:line="184" w:lineRule="exact"/>
              <w:rPr>
                <w:sz w:val="20"/>
                <w:szCs w:val="20"/>
                <w:color w:val="auto"/>
              </w:rPr>
            </w:pPr>
            <w:r>
              <w:rPr>
                <w:rFonts w:ascii="Arial" w:cs="Arial" w:eastAsia="Arial" w:hAnsi="Arial"/>
                <w:sz w:val="19"/>
                <w:szCs w:val="19"/>
                <w:color w:val="auto"/>
                <w:w w:val="97"/>
              </w:rPr>
              <w:t>among United Airlines, Inc., United Airlines Holdings, Inc., and JPMorgan Chase Bank, N.A.,</w:t>
            </w: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00" w:type="dxa"/>
            <w:vAlign w:val="bottom"/>
            <w:tcBorders>
              <w:top w:val="single" w:sz="8" w:color="auto"/>
            </w:tcBorders>
            <w:gridSpan w:val="15"/>
          </w:tcPr>
          <w:p>
            <w:pPr>
              <w:spacing w:after="0" w:line="174" w:lineRule="exact"/>
              <w:rPr>
                <w:sz w:val="20"/>
                <w:szCs w:val="20"/>
                <w:color w:val="auto"/>
              </w:rPr>
            </w:pPr>
            <w:r>
              <w:rPr>
                <w:rFonts w:ascii="Arial" w:cs="Arial" w:eastAsia="Arial" w:hAnsi="Arial"/>
                <w:sz w:val="19"/>
                <w:szCs w:val="19"/>
                <w:color w:val="auto"/>
              </w:rPr>
              <w:t>as fronting lender and as administrative agent</w:t>
            </w:r>
          </w:p>
        </w:tc>
        <w:tc>
          <w:tcPr>
            <w:tcW w:w="160" w:type="dxa"/>
            <w:vAlign w:val="bottom"/>
            <w:gridSpan w:val="9"/>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40" w:type="dxa"/>
            <w:vAlign w:val="bottom"/>
            <w:gridSpan w:val="2"/>
            <w:shd w:val="clear" w:color="auto" w:fill="000000"/>
          </w:tcPr>
          <w:p>
            <w:pPr>
              <w:spacing w:after="0" w:line="20" w:lineRule="exact"/>
              <w:rPr>
                <w:sz w:val="1"/>
                <w:szCs w:val="1"/>
                <w:color w:val="auto"/>
              </w:rPr>
            </w:pPr>
          </w:p>
        </w:tc>
        <w:tc>
          <w:tcPr>
            <w:tcW w:w="4020" w:type="dxa"/>
            <w:vAlign w:val="bottom"/>
            <w:gridSpan w:val="22"/>
          </w:tcPr>
          <w:p>
            <w:pPr>
              <w:spacing w:after="0" w:line="20" w:lineRule="exact"/>
              <w:rPr>
                <w:sz w:val="1"/>
                <w:szCs w:val="1"/>
                <w:color w:val="auto"/>
              </w:rPr>
            </w:pP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10.119</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60" w:type="dxa"/>
            <w:vAlign w:val="bottom"/>
            <w:tcBorders>
              <w:bottom w:val="single" w:sz="8" w:color="auto"/>
            </w:tcBorders>
            <w:gridSpan w:val="24"/>
          </w:tcPr>
          <w:p>
            <w:pPr>
              <w:spacing w:after="0"/>
              <w:rPr>
                <w:sz w:val="20"/>
                <w:szCs w:val="20"/>
                <w:color w:val="auto"/>
              </w:rPr>
            </w:pPr>
            <w:r>
              <w:rPr>
                <w:rFonts w:ascii="Arial" w:cs="Arial" w:eastAsia="Arial" w:hAnsi="Arial"/>
                <w:sz w:val="19"/>
                <w:szCs w:val="19"/>
                <w:color w:val="auto"/>
                <w:w w:val="94"/>
              </w:rPr>
              <w:t>Payroll Support Program 3 Agreement, dated as of April 29, 2021, between United Airlines, Inc.</w:t>
            </w: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560" w:type="dxa"/>
            <w:vAlign w:val="bottom"/>
            <w:gridSpan w:val="24"/>
          </w:tcPr>
          <w:p>
            <w:pPr>
              <w:spacing w:after="0" w:line="184" w:lineRule="exact"/>
              <w:rPr>
                <w:sz w:val="20"/>
                <w:szCs w:val="20"/>
                <w:color w:val="auto"/>
              </w:rPr>
            </w:pPr>
            <w:r>
              <w:rPr>
                <w:rFonts w:ascii="Arial" w:cs="Arial" w:eastAsia="Arial" w:hAnsi="Arial"/>
                <w:sz w:val="19"/>
                <w:szCs w:val="19"/>
                <w:color w:val="auto"/>
                <w:w w:val="99"/>
              </w:rPr>
              <w:t>and the United States Department of the Treasury (filed as Exhibit 10.1 to UAL's Form 8-K</w:t>
            </w: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520" w:type="dxa"/>
            <w:vAlign w:val="bottom"/>
            <w:tcBorders>
              <w:top w:val="single" w:sz="8" w:color="auto"/>
              <w:bottom w:val="single" w:sz="8" w:color="auto"/>
            </w:tcBorders>
            <w:gridSpan w:val="4"/>
          </w:tcPr>
          <w:p>
            <w:pPr>
              <w:spacing w:after="0" w:line="174" w:lineRule="exact"/>
              <w:rPr>
                <w:sz w:val="20"/>
                <w:szCs w:val="20"/>
                <w:color w:val="auto"/>
              </w:rPr>
            </w:pPr>
            <w:r>
              <w:rPr>
                <w:rFonts w:ascii="Arial" w:cs="Arial" w:eastAsia="Arial" w:hAnsi="Arial"/>
                <w:sz w:val="19"/>
                <w:szCs w:val="19"/>
                <w:color w:val="auto"/>
                <w:w w:val="93"/>
              </w:rPr>
              <w:t>filed April 30, 2021 and incorporated herein by reference)</w:t>
            </w:r>
          </w:p>
        </w:tc>
        <w:tc>
          <w:tcPr>
            <w:tcW w:w="2640" w:type="dxa"/>
            <w:vAlign w:val="bottom"/>
            <w:tcBorders>
              <w:top w:val="single" w:sz="8" w:color="auto"/>
            </w:tcBorders>
            <w:gridSpan w:val="7"/>
          </w:tcPr>
          <w:p>
            <w:pPr>
              <w:spacing w:after="0"/>
              <w:rPr>
                <w:sz w:val="15"/>
                <w:szCs w:val="15"/>
                <w:color w:val="auto"/>
              </w:rPr>
            </w:pPr>
          </w:p>
        </w:tc>
        <w:tc>
          <w:tcPr>
            <w:tcW w:w="400" w:type="dxa"/>
            <w:vAlign w:val="bottom"/>
            <w:gridSpan w:val="13"/>
          </w:tcPr>
          <w:p>
            <w:pPr>
              <w:spacing w:after="0"/>
              <w:rPr>
                <w:sz w:val="15"/>
                <w:szCs w:val="15"/>
                <w:color w:val="auto"/>
              </w:rPr>
            </w:pPr>
          </w:p>
        </w:tc>
      </w:tr>
    </w:tbl>
    <w:p>
      <w:pPr>
        <w:spacing w:after="0" w:line="200" w:lineRule="exact"/>
        <w:rPr>
          <w:sz w:val="20"/>
          <w:szCs w:val="20"/>
          <w:color w:val="auto"/>
        </w:rPr>
      </w:pPr>
    </w:p>
    <w:p>
      <w:pPr>
        <w:sectPr>
          <w:pgSz w:w="11880" w:h="15480" w:orient="portrait"/>
          <w:cols w:equalWidth="0" w:num="1">
            <w:col w:w="9640"/>
          </w:cols>
          <w:pgMar w:left="1020" w:top="615" w:right="1220" w:bottom="4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108</w:t>
      </w:r>
    </w:p>
    <w:p>
      <w:pPr>
        <w:sectPr>
          <w:pgSz w:w="11880" w:h="15480" w:orient="portrait"/>
          <w:cols w:equalWidth="0" w:num="1">
            <w:col w:w="9640"/>
          </w:cols>
          <w:pgMar w:left="1020" w:top="615" w:right="1220" w:bottom="45"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24"/>
        </w:trPr>
        <w:tc>
          <w:tcPr>
            <w:tcW w:w="840" w:type="dxa"/>
            <w:vAlign w:val="bottom"/>
          </w:tcPr>
          <w:p>
            <w:pPr>
              <w:spacing w:after="0"/>
              <w:rPr>
                <w:sz w:val="20"/>
                <w:szCs w:val="20"/>
                <w:color w:val="auto"/>
              </w:rPr>
            </w:pPr>
            <w:r>
              <w:rPr>
                <w:rFonts w:ascii="Arial" w:cs="Arial" w:eastAsia="Arial" w:hAnsi="Arial"/>
                <w:sz w:val="19"/>
                <w:szCs w:val="19"/>
                <w:color w:val="auto"/>
              </w:rPr>
              <w:t>10.120</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w w:val="96"/>
              </w:rPr>
              <w:t>Amended and Restated Revolving Credit and Guaranty Agreement, dated as of February 15,</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240" w:type="dxa"/>
            <w:vAlign w:val="bottom"/>
            <w:tcBorders>
              <w:top w:val="single" w:sz="8" w:color="auto"/>
              <w:bottom w:val="single" w:sz="8" w:color="auto"/>
            </w:tcBorders>
            <w:gridSpan w:val="20"/>
          </w:tcPr>
          <w:p>
            <w:pPr>
              <w:spacing w:after="0" w:line="184" w:lineRule="exact"/>
              <w:rPr>
                <w:sz w:val="20"/>
                <w:szCs w:val="20"/>
                <w:color w:val="auto"/>
              </w:rPr>
            </w:pPr>
            <w:r>
              <w:rPr>
                <w:rFonts w:ascii="Arial" w:cs="Arial" w:eastAsia="Arial" w:hAnsi="Arial"/>
                <w:sz w:val="19"/>
                <w:szCs w:val="19"/>
                <w:color w:val="auto"/>
                <w:w w:val="94"/>
              </w:rPr>
              <w:t>2024, among United Airlines, Inc., United Airlines Holdings, Inc., each of the several banks</w:t>
            </w:r>
          </w:p>
        </w:tc>
        <w:tc>
          <w:tcPr>
            <w:tcW w:w="300" w:type="dxa"/>
            <w:vAlign w:val="bottom"/>
            <w:tcBorders>
              <w:bottom w:val="single" w:sz="8" w:color="auto"/>
            </w:tcBorders>
            <w:gridSpan w:val="10"/>
          </w:tcPr>
          <w:p>
            <w:pPr>
              <w:spacing w:after="0" w:line="184" w:lineRule="exact"/>
              <w:rPr>
                <w:sz w:val="20"/>
                <w:szCs w:val="20"/>
                <w:color w:val="auto"/>
              </w:rPr>
            </w:pPr>
            <w:r>
              <w:rPr>
                <w:rFonts w:ascii="Arial" w:cs="Arial" w:eastAsia="Arial" w:hAnsi="Arial"/>
                <w:sz w:val="19"/>
                <w:szCs w:val="19"/>
                <w:color w:val="auto"/>
                <w:w w:val="88"/>
              </w:rPr>
              <w:t>and</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540" w:type="dxa"/>
            <w:vAlign w:val="bottom"/>
            <w:gridSpan w:val="30"/>
          </w:tcPr>
          <w:p>
            <w:pPr>
              <w:spacing w:after="0" w:line="174" w:lineRule="exact"/>
              <w:rPr>
                <w:sz w:val="20"/>
                <w:szCs w:val="20"/>
                <w:color w:val="auto"/>
              </w:rPr>
            </w:pPr>
            <w:r>
              <w:rPr>
                <w:rFonts w:ascii="Arial" w:cs="Arial" w:eastAsia="Arial" w:hAnsi="Arial"/>
                <w:sz w:val="19"/>
                <w:szCs w:val="19"/>
                <w:color w:val="auto"/>
                <w:w w:val="99"/>
              </w:rPr>
              <w:t>other financial institutions or entities from time to time party thereto, as lenders, JPMorgan</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120" w:type="dxa"/>
            <w:vAlign w:val="bottom"/>
            <w:tcBorders>
              <w:top w:val="single" w:sz="8" w:color="auto"/>
              <w:bottom w:val="single" w:sz="8" w:color="auto"/>
            </w:tcBorders>
            <w:gridSpan w:val="17"/>
          </w:tcPr>
          <w:p>
            <w:pPr>
              <w:spacing w:after="0" w:line="174" w:lineRule="exact"/>
              <w:rPr>
                <w:sz w:val="20"/>
                <w:szCs w:val="20"/>
                <w:color w:val="auto"/>
              </w:rPr>
            </w:pPr>
            <w:r>
              <w:rPr>
                <w:rFonts w:ascii="Arial" w:cs="Arial" w:eastAsia="Arial" w:hAnsi="Arial"/>
                <w:sz w:val="19"/>
                <w:szCs w:val="19"/>
                <w:color w:val="auto"/>
                <w:w w:val="93"/>
              </w:rPr>
              <w:t>Chase Bank, N.A., as administrative agent, and Wilmington Trust, National Association, as</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160" w:type="dxa"/>
            <w:vAlign w:val="bottom"/>
            <w:gridSpan w:val="19"/>
          </w:tcPr>
          <w:p>
            <w:pPr>
              <w:spacing w:after="0" w:line="174" w:lineRule="exact"/>
              <w:rPr>
                <w:sz w:val="20"/>
                <w:szCs w:val="20"/>
                <w:color w:val="auto"/>
              </w:rPr>
            </w:pPr>
            <w:r>
              <w:rPr>
                <w:rFonts w:ascii="Arial" w:cs="Arial" w:eastAsia="Arial" w:hAnsi="Arial"/>
                <w:sz w:val="19"/>
                <w:szCs w:val="19"/>
                <w:color w:val="auto"/>
                <w:w w:val="99"/>
              </w:rPr>
              <w:t>collateral trustee (filed as Exhibit 10.1 to UAL's Form 8-K filed February 22, 2024 and</w:t>
            </w: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0" w:type="dxa"/>
            <w:vAlign w:val="bottom"/>
            <w:tcBorders>
              <w:top w:val="single" w:sz="8" w:color="auto"/>
              <w:bottom w:val="single" w:sz="8" w:color="auto"/>
            </w:tcBorders>
            <w:gridSpan w:val="5"/>
          </w:tcPr>
          <w:p>
            <w:pPr>
              <w:spacing w:after="0" w:line="174" w:lineRule="exact"/>
              <w:rPr>
                <w:sz w:val="20"/>
                <w:szCs w:val="20"/>
                <w:color w:val="auto"/>
              </w:rPr>
            </w:pPr>
            <w:r>
              <w:rPr>
                <w:rFonts w:ascii="Arial" w:cs="Arial" w:eastAsia="Arial" w:hAnsi="Arial"/>
                <w:sz w:val="19"/>
                <w:szCs w:val="19"/>
                <w:color w:val="auto"/>
                <w:w w:val="91"/>
              </w:rPr>
              <w:t>incorporated herein by reference)</w:t>
            </w:r>
          </w:p>
        </w:tc>
        <w:tc>
          <w:tcPr>
            <w:tcW w:w="4220" w:type="dxa"/>
            <w:vAlign w:val="bottom"/>
            <w:tcBorders>
              <w:top w:val="single" w:sz="8" w:color="auto"/>
            </w:tcBorders>
            <w:gridSpan w:val="9"/>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2"/>
        </w:trPr>
        <w:tc>
          <w:tcPr>
            <w:tcW w:w="840" w:type="dxa"/>
            <w:vAlign w:val="bottom"/>
          </w:tcPr>
          <w:p>
            <w:pPr>
              <w:spacing w:after="0"/>
              <w:rPr>
                <w:sz w:val="20"/>
                <w:szCs w:val="20"/>
                <w:color w:val="auto"/>
              </w:rPr>
            </w:pPr>
            <w:r>
              <w:rPr>
                <w:rFonts w:ascii="Arial" w:cs="Arial" w:eastAsia="Arial" w:hAnsi="Arial"/>
                <w:sz w:val="19"/>
                <w:szCs w:val="19"/>
                <w:color w:val="auto"/>
              </w:rPr>
              <w:t>10.121</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w w:val="98"/>
              </w:rPr>
              <w:t>Increase Joinder to the Amended and Restated Revolving Credit and Guaranty Agreement,</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100" w:type="dxa"/>
            <w:vAlign w:val="bottom"/>
            <w:tcBorders>
              <w:top w:val="single" w:sz="8" w:color="auto"/>
              <w:bottom w:val="single" w:sz="8" w:color="auto"/>
            </w:tcBorders>
            <w:gridSpan w:val="16"/>
          </w:tcPr>
          <w:p>
            <w:pPr>
              <w:spacing w:after="0" w:line="184" w:lineRule="exact"/>
              <w:rPr>
                <w:sz w:val="20"/>
                <w:szCs w:val="20"/>
                <w:color w:val="auto"/>
              </w:rPr>
            </w:pPr>
            <w:r>
              <w:rPr>
                <w:rFonts w:ascii="Arial" w:cs="Arial" w:eastAsia="Arial" w:hAnsi="Arial"/>
                <w:sz w:val="19"/>
                <w:szCs w:val="19"/>
                <w:color w:val="auto"/>
                <w:w w:val="95"/>
              </w:rPr>
              <w:t>dated as of April 16, 2024, among United Airlines, Inc., United Airlines Holdings, Inc., the</w:t>
            </w:r>
          </w:p>
        </w:tc>
        <w:tc>
          <w:tcPr>
            <w:tcW w:w="40" w:type="dxa"/>
            <w:vAlign w:val="bottom"/>
            <w:tcBorders>
              <w:bottom w:val="single" w:sz="8" w:color="auto"/>
            </w:tcBorders>
            <w:gridSpan w:val="2"/>
          </w:tcPr>
          <w:p>
            <w:pPr>
              <w:spacing w:after="0"/>
              <w:rPr>
                <w:sz w:val="16"/>
                <w:szCs w:val="16"/>
                <w:color w:val="auto"/>
              </w:rPr>
            </w:pPr>
          </w:p>
        </w:tc>
        <w:tc>
          <w:tcPr>
            <w:tcW w:w="12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140" w:type="dxa"/>
            <w:vAlign w:val="bottom"/>
            <w:tcBorders>
              <w:bottom w:val="single" w:sz="8" w:color="auto"/>
            </w:tcBorders>
            <w:gridSpan w:val="18"/>
          </w:tcPr>
          <w:p>
            <w:pPr>
              <w:spacing w:after="0" w:line="174" w:lineRule="exact"/>
              <w:rPr>
                <w:sz w:val="20"/>
                <w:szCs w:val="20"/>
                <w:color w:val="auto"/>
              </w:rPr>
            </w:pPr>
            <w:r>
              <w:rPr>
                <w:rFonts w:ascii="Arial" w:cs="Arial" w:eastAsia="Arial" w:hAnsi="Arial"/>
                <w:sz w:val="19"/>
                <w:szCs w:val="19"/>
                <w:color w:val="auto"/>
                <w:w w:val="91"/>
              </w:rPr>
              <w:t>lenders party thereto, JPMorgan Chase Bank, N.A., as administrative agent, and Wilmington</w:t>
            </w:r>
          </w:p>
        </w:tc>
        <w:tc>
          <w:tcPr>
            <w:tcW w:w="120" w:type="dxa"/>
            <w:vAlign w:val="bottom"/>
            <w:tcBorders>
              <w:bottom w:val="single" w:sz="8" w:color="auto"/>
            </w:tcBorders>
            <w:gridSpan w:val="3"/>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540" w:type="dxa"/>
            <w:vAlign w:val="bottom"/>
            <w:gridSpan w:val="30"/>
          </w:tcPr>
          <w:p>
            <w:pPr>
              <w:spacing w:after="0" w:line="174" w:lineRule="exact"/>
              <w:rPr>
                <w:sz w:val="20"/>
                <w:szCs w:val="20"/>
                <w:color w:val="auto"/>
              </w:rPr>
            </w:pPr>
            <w:r>
              <w:rPr>
                <w:rFonts w:ascii="Arial" w:cs="Arial" w:eastAsia="Arial" w:hAnsi="Arial"/>
                <w:sz w:val="19"/>
                <w:szCs w:val="19"/>
                <w:color w:val="auto"/>
                <w:w w:val="96"/>
              </w:rPr>
              <w:t>Trust, National Association, as collateral trustee (filed as Exhibit 10.4 to UAL's Form 10-Q for</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60" w:type="dxa"/>
            <w:vAlign w:val="bottom"/>
            <w:tcBorders>
              <w:top w:val="single" w:sz="8" w:color="auto"/>
              <w:bottom w:val="single" w:sz="8" w:color="auto"/>
            </w:tcBorders>
            <w:gridSpan w:val="11"/>
          </w:tcPr>
          <w:p>
            <w:pPr>
              <w:spacing w:after="0" w:line="174" w:lineRule="exact"/>
              <w:rPr>
                <w:sz w:val="20"/>
                <w:szCs w:val="20"/>
                <w:color w:val="auto"/>
              </w:rPr>
            </w:pPr>
            <w:r>
              <w:rPr>
                <w:rFonts w:ascii="Arial" w:cs="Arial" w:eastAsia="Arial" w:hAnsi="Arial"/>
                <w:sz w:val="19"/>
                <w:szCs w:val="19"/>
                <w:color w:val="auto"/>
                <w:w w:val="90"/>
              </w:rPr>
              <w:t>the quarter ended June 30, 2024 and incorporated herein by reference)</w:t>
            </w:r>
          </w:p>
        </w:tc>
        <w:tc>
          <w:tcPr>
            <w:tcW w:w="1960" w:type="dxa"/>
            <w:vAlign w:val="bottom"/>
            <w:tcBorders>
              <w:top w:val="single" w:sz="8" w:color="auto"/>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840" w:type="dxa"/>
            <w:vAlign w:val="bottom"/>
          </w:tcPr>
          <w:p>
            <w:pPr>
              <w:spacing w:after="0"/>
              <w:rPr>
                <w:sz w:val="20"/>
                <w:szCs w:val="20"/>
                <w:color w:val="auto"/>
              </w:rPr>
            </w:pPr>
            <w:r>
              <w:rPr>
                <w:rFonts w:ascii="Arial" w:cs="Arial" w:eastAsia="Arial" w:hAnsi="Arial"/>
                <w:sz w:val="19"/>
                <w:szCs w:val="19"/>
                <w:color w:val="auto"/>
              </w:rPr>
              <w:t>^10.122</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w w:val="94"/>
              </w:rPr>
              <w:t>Letter Agreement No. 2401454, dated as of April 14, 2024, between The Boeing Company and</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460" w:type="dxa"/>
            <w:vAlign w:val="bottom"/>
            <w:tcBorders>
              <w:top w:val="single" w:sz="8" w:color="auto"/>
            </w:tcBorders>
            <w:gridSpan w:val="28"/>
          </w:tcPr>
          <w:p>
            <w:pPr>
              <w:spacing w:after="0" w:line="184" w:lineRule="exact"/>
              <w:rPr>
                <w:sz w:val="20"/>
                <w:szCs w:val="20"/>
                <w:color w:val="auto"/>
              </w:rPr>
            </w:pPr>
            <w:r>
              <w:rPr>
                <w:rFonts w:ascii="Arial" w:cs="Arial" w:eastAsia="Arial" w:hAnsi="Arial"/>
                <w:sz w:val="19"/>
                <w:szCs w:val="19"/>
                <w:color w:val="auto"/>
                <w:w w:val="95"/>
              </w:rPr>
              <w:t>United Airlines, Inc. (related to Purchase Agreement Nos. 03776 and 04761) (filed as Exhibit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320" w:type="dxa"/>
            <w:vAlign w:val="bottom"/>
            <w:tcBorders>
              <w:top w:val="single" w:sz="8" w:color="auto"/>
            </w:tcBorders>
            <w:gridSpan w:val="24"/>
          </w:tcPr>
          <w:p>
            <w:pPr>
              <w:spacing w:after="0" w:line="174" w:lineRule="exact"/>
              <w:rPr>
                <w:sz w:val="20"/>
                <w:szCs w:val="20"/>
                <w:color w:val="auto"/>
              </w:rPr>
            </w:pPr>
            <w:r>
              <w:rPr>
                <w:rFonts w:ascii="Arial" w:cs="Arial" w:eastAsia="Arial" w:hAnsi="Arial"/>
                <w:sz w:val="19"/>
                <w:szCs w:val="19"/>
                <w:color w:val="auto"/>
                <w:w w:val="97"/>
              </w:rPr>
              <w:t>10.</w:t>
            </w:r>
            <w:r>
              <w:rPr>
                <w:rFonts w:ascii="Arial" w:cs="Arial" w:eastAsia="Arial" w:hAnsi="Arial"/>
                <w:sz w:val="19"/>
                <w:szCs w:val="19"/>
                <w:u w:val="single" w:color="auto"/>
                <w:color w:val="auto"/>
                <w:w w:val="97"/>
              </w:rPr>
              <w:t>2</w:t>
            </w:r>
            <w:r>
              <w:rPr>
                <w:rFonts w:ascii="Arial" w:cs="Arial" w:eastAsia="Arial" w:hAnsi="Arial"/>
                <w:sz w:val="19"/>
                <w:szCs w:val="19"/>
                <w:color w:val="auto"/>
                <w:w w:val="97"/>
              </w:rPr>
              <w:t xml:space="preserve"> to UAL's Form 10-Q for the quarter ended June 30, 2024 and incorporated herein by</w:t>
            </w: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0"/>
              </w:rPr>
              <w:t>reference)</w:t>
            </w:r>
          </w:p>
        </w:tc>
        <w:tc>
          <w:tcPr>
            <w:tcW w:w="6200" w:type="dxa"/>
            <w:vAlign w:val="bottom"/>
            <w:tcBorders>
              <w:top w:val="single" w:sz="8" w:color="auto"/>
            </w:tcBorders>
            <w:gridSpan w:val="14"/>
          </w:tcPr>
          <w:p>
            <w:pPr>
              <w:spacing w:after="0"/>
              <w:rPr>
                <w:sz w:val="15"/>
                <w:szCs w:val="15"/>
                <w:color w:val="auto"/>
              </w:rPr>
            </w:pPr>
          </w:p>
        </w:tc>
        <w:tc>
          <w:tcPr>
            <w:tcW w:w="26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2"/>
        </w:trPr>
        <w:tc>
          <w:tcPr>
            <w:tcW w:w="840" w:type="dxa"/>
            <w:vAlign w:val="bottom"/>
          </w:tcPr>
          <w:p>
            <w:pPr>
              <w:spacing w:after="0"/>
              <w:rPr>
                <w:sz w:val="20"/>
                <w:szCs w:val="20"/>
                <w:color w:val="auto"/>
              </w:rPr>
            </w:pPr>
            <w:r>
              <w:rPr>
                <w:rFonts w:ascii="Arial" w:cs="Arial" w:eastAsia="Arial" w:hAnsi="Arial"/>
                <w:sz w:val="19"/>
                <w:szCs w:val="19"/>
                <w:color w:val="auto"/>
              </w:rPr>
              <w:t>^10.123</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w w:val="94"/>
              </w:rPr>
              <w:t>Letter Agreement No. 2401633, dated as of April 14, 2024, between The Boeing Company and</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240" w:type="dxa"/>
            <w:vAlign w:val="bottom"/>
          </w:tcPr>
          <w:p>
            <w:pPr>
              <w:ind w:left="240"/>
              <w:spacing w:after="0" w:line="184" w:lineRule="exact"/>
              <w:rPr>
                <w:sz w:val="20"/>
                <w:szCs w:val="20"/>
                <w:color w:val="auto"/>
              </w:rPr>
            </w:pPr>
            <w:r>
              <w:rPr>
                <w:rFonts w:ascii="Arial" w:cs="Arial" w:eastAsia="Arial" w:hAnsi="Arial"/>
                <w:sz w:val="19"/>
                <w:szCs w:val="19"/>
                <w:color w:val="auto"/>
              </w:rPr>
              <w:t>United</w:t>
            </w:r>
          </w:p>
        </w:tc>
        <w:tc>
          <w:tcPr>
            <w:tcW w:w="7460" w:type="dxa"/>
            <w:vAlign w:val="bottom"/>
            <w:tcBorders>
              <w:top w:val="single" w:sz="8" w:color="auto"/>
            </w:tcBorders>
            <w:gridSpan w:val="28"/>
          </w:tcPr>
          <w:p>
            <w:pPr>
              <w:spacing w:after="0" w:line="184" w:lineRule="exact"/>
              <w:rPr>
                <w:sz w:val="20"/>
                <w:szCs w:val="20"/>
                <w:color w:val="auto"/>
              </w:rPr>
            </w:pPr>
            <w:r>
              <w:rPr>
                <w:rFonts w:ascii="Arial" w:cs="Arial" w:eastAsia="Arial" w:hAnsi="Arial"/>
                <w:sz w:val="19"/>
                <w:szCs w:val="19"/>
                <w:color w:val="auto"/>
                <w:w w:val="95"/>
              </w:rPr>
              <w:t>United Airlines, Inc. (related to Purchase Agreement Nos. 03776 and 04761) (filed as Exhibit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320" w:type="dxa"/>
            <w:vAlign w:val="bottom"/>
            <w:tcBorders>
              <w:top w:val="single" w:sz="8" w:color="auto"/>
            </w:tcBorders>
            <w:gridSpan w:val="24"/>
          </w:tcPr>
          <w:p>
            <w:pPr>
              <w:spacing w:after="0" w:line="174" w:lineRule="exact"/>
              <w:rPr>
                <w:sz w:val="20"/>
                <w:szCs w:val="20"/>
                <w:color w:val="auto"/>
              </w:rPr>
            </w:pPr>
            <w:r>
              <w:rPr>
                <w:rFonts w:ascii="Arial" w:cs="Arial" w:eastAsia="Arial" w:hAnsi="Arial"/>
                <w:sz w:val="19"/>
                <w:szCs w:val="19"/>
                <w:color w:val="auto"/>
                <w:w w:val="97"/>
              </w:rPr>
              <w:t>10.</w:t>
            </w:r>
            <w:r>
              <w:rPr>
                <w:rFonts w:ascii="Arial" w:cs="Arial" w:eastAsia="Arial" w:hAnsi="Arial"/>
                <w:sz w:val="19"/>
                <w:szCs w:val="19"/>
                <w:u w:val="single" w:color="auto"/>
                <w:color w:val="auto"/>
                <w:w w:val="97"/>
              </w:rPr>
              <w:t>3</w:t>
            </w:r>
            <w:r>
              <w:rPr>
                <w:rFonts w:ascii="Arial" w:cs="Arial" w:eastAsia="Arial" w:hAnsi="Arial"/>
                <w:sz w:val="19"/>
                <w:szCs w:val="19"/>
                <w:color w:val="auto"/>
                <w:w w:val="97"/>
              </w:rPr>
              <w:t xml:space="preserve"> to UAL's Form 10-Q for the quarter ended June 30, 2024 and incorporated herein by</w:t>
            </w: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9"/>
                <w:szCs w:val="19"/>
                <w:color w:val="auto"/>
                <w:w w:val="90"/>
              </w:rPr>
              <w:t>reference)</w:t>
            </w:r>
          </w:p>
        </w:tc>
        <w:tc>
          <w:tcPr>
            <w:tcW w:w="6200" w:type="dxa"/>
            <w:vAlign w:val="bottom"/>
            <w:tcBorders>
              <w:top w:val="single" w:sz="8" w:color="auto"/>
            </w:tcBorders>
            <w:gridSpan w:val="14"/>
          </w:tcPr>
          <w:p>
            <w:pPr>
              <w:spacing w:after="0"/>
              <w:rPr>
                <w:sz w:val="15"/>
                <w:szCs w:val="15"/>
                <w:color w:val="auto"/>
              </w:rPr>
            </w:pPr>
          </w:p>
        </w:tc>
        <w:tc>
          <w:tcPr>
            <w:tcW w:w="26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9"/>
        </w:trPr>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40" w:type="dxa"/>
            <w:vAlign w:val="bottom"/>
            <w:gridSpan w:val="30"/>
          </w:tcPr>
          <w:p>
            <w:pPr>
              <w:spacing w:after="0"/>
              <w:rPr>
                <w:sz w:val="20"/>
                <w:szCs w:val="20"/>
                <w:color w:val="auto"/>
              </w:rPr>
            </w:pPr>
            <w:r>
              <w:rPr>
                <w:rFonts w:ascii="Arial" w:cs="Arial" w:eastAsia="Arial" w:hAnsi="Arial"/>
                <w:sz w:val="19"/>
                <w:szCs w:val="19"/>
                <w:b w:val="1"/>
                <w:bCs w:val="1"/>
                <w:color w:val="auto"/>
              </w:rPr>
              <w:t>Insider Trading Policies and Procedures</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840" w:type="dxa"/>
            <w:vAlign w:val="bottom"/>
          </w:tcPr>
          <w:p>
            <w:pPr>
              <w:spacing w:after="0"/>
              <w:rPr>
                <w:sz w:val="20"/>
                <w:szCs w:val="20"/>
                <w:color w:val="auto"/>
              </w:rPr>
            </w:pPr>
            <w:r>
              <w:rPr>
                <w:rFonts w:ascii="Arial" w:cs="Arial" w:eastAsia="Arial" w:hAnsi="Arial"/>
                <w:sz w:val="19"/>
                <w:szCs w:val="19"/>
                <w:color w:val="auto"/>
              </w:rPr>
              <w:t>19</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rPr>
              <w:t>United Airlines Holdings, Inc. Securities Trading Policy</w:t>
            </w:r>
          </w:p>
        </w:tc>
        <w:tc>
          <w:tcPr>
            <w:tcW w:w="0" w:type="dxa"/>
            <w:vAlign w:val="bottom"/>
          </w:tcPr>
          <w:p>
            <w:pPr>
              <w:spacing w:after="0"/>
              <w:rPr>
                <w:sz w:val="1"/>
                <w:szCs w:val="1"/>
                <w:color w:val="auto"/>
              </w:rPr>
            </w:pPr>
          </w:p>
        </w:tc>
      </w:tr>
      <w:tr>
        <w:trPr>
          <w:trHeight w:val="559"/>
        </w:trPr>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380" w:type="dxa"/>
            <w:vAlign w:val="bottom"/>
            <w:tcBorders>
              <w:top w:val="single" w:sz="8" w:color="auto"/>
            </w:tcBorders>
            <w:gridSpan w:val="9"/>
          </w:tcPr>
          <w:p>
            <w:pPr>
              <w:spacing w:after="0"/>
              <w:rPr>
                <w:sz w:val="20"/>
                <w:szCs w:val="20"/>
                <w:color w:val="auto"/>
              </w:rPr>
            </w:pPr>
            <w:r>
              <w:rPr>
                <w:rFonts w:ascii="Arial" w:cs="Arial" w:eastAsia="Arial" w:hAnsi="Arial"/>
                <w:sz w:val="19"/>
                <w:szCs w:val="19"/>
                <w:b w:val="1"/>
                <w:bCs w:val="1"/>
                <w:color w:val="auto"/>
              </w:rPr>
              <w:t>List of Subsidiaries</w:t>
            </w:r>
          </w:p>
        </w:tc>
        <w:tc>
          <w:tcPr>
            <w:tcW w:w="31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840" w:type="dxa"/>
            <w:vAlign w:val="bottom"/>
          </w:tcPr>
          <w:p>
            <w:pPr>
              <w:spacing w:after="0"/>
              <w:rPr>
                <w:sz w:val="20"/>
                <w:szCs w:val="20"/>
                <w:color w:val="auto"/>
              </w:rPr>
            </w:pPr>
            <w:r>
              <w:rPr>
                <w:rFonts w:ascii="Arial" w:cs="Arial" w:eastAsia="Arial" w:hAnsi="Arial"/>
                <w:sz w:val="19"/>
                <w:szCs w:val="19"/>
                <w:color w:val="auto"/>
              </w:rPr>
              <w:t>21</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5900" w:type="dxa"/>
            <w:vAlign w:val="bottom"/>
            <w:tcBorders>
              <w:bottom w:val="single" w:sz="8" w:color="auto"/>
            </w:tcBorders>
            <w:gridSpan w:val="13"/>
          </w:tcPr>
          <w:p>
            <w:pPr>
              <w:spacing w:after="0"/>
              <w:rPr>
                <w:sz w:val="20"/>
                <w:szCs w:val="20"/>
                <w:color w:val="auto"/>
              </w:rPr>
            </w:pPr>
            <w:r>
              <w:rPr>
                <w:rFonts w:ascii="Arial" w:cs="Arial" w:eastAsia="Arial" w:hAnsi="Arial"/>
                <w:sz w:val="19"/>
                <w:szCs w:val="19"/>
                <w:color w:val="auto"/>
                <w:w w:val="95"/>
              </w:rPr>
              <w:t>List of United Airlines Holdings, Inc. and United Airlines, Inc. Subsidiaries</w:t>
            </w:r>
          </w:p>
        </w:tc>
        <w:tc>
          <w:tcPr>
            <w:tcW w:w="16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1240" w:type="dxa"/>
            <w:vAlign w:val="bottom"/>
          </w:tcPr>
          <w:p>
            <w:pPr>
              <w:ind w:left="240"/>
              <w:spacing w:after="0"/>
              <w:rPr>
                <w:sz w:val="20"/>
                <w:szCs w:val="20"/>
                <w:color w:val="auto"/>
              </w:rPr>
            </w:pPr>
            <w:r>
              <w:rPr>
                <w:rFonts w:ascii="Arial" w:cs="Arial" w:eastAsia="Arial" w:hAnsi="Arial"/>
                <w:sz w:val="19"/>
                <w:szCs w:val="19"/>
                <w:color w:val="auto"/>
              </w:rPr>
              <w:t>United</w:t>
            </w:r>
          </w:p>
        </w:tc>
        <w:tc>
          <w:tcPr>
            <w:tcW w:w="7540" w:type="dxa"/>
            <w:vAlign w:val="bottom"/>
            <w:gridSpan w:val="30"/>
            <w:vMerge w:val="restart"/>
          </w:tcPr>
          <w:p>
            <w:pPr>
              <w:spacing w:after="0"/>
              <w:rPr>
                <w:sz w:val="20"/>
                <w:szCs w:val="20"/>
                <w:color w:val="auto"/>
              </w:rPr>
            </w:pPr>
            <w:r>
              <w:rPr>
                <w:rFonts w:ascii="Arial" w:cs="Arial" w:eastAsia="Arial" w:hAnsi="Arial"/>
                <w:sz w:val="19"/>
                <w:szCs w:val="19"/>
                <w:b w:val="1"/>
                <w:bCs w:val="1"/>
                <w:color w:val="auto"/>
              </w:rPr>
              <w:t>Consents of Experts and Counsel</w:t>
            </w:r>
          </w:p>
        </w:tc>
        <w:tc>
          <w:tcPr>
            <w:tcW w:w="0" w:type="dxa"/>
            <w:vAlign w:val="bottom"/>
          </w:tcPr>
          <w:p>
            <w:pPr>
              <w:spacing w:after="0"/>
              <w:rPr>
                <w:sz w:val="1"/>
                <w:szCs w:val="1"/>
                <w:color w:val="auto"/>
              </w:rPr>
            </w:pPr>
          </w:p>
        </w:tc>
      </w:tr>
      <w:tr>
        <w:trPr>
          <w:trHeight w:val="487"/>
        </w:trPr>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40" w:type="dxa"/>
            <w:vAlign w:val="bottom"/>
            <w:gridSpan w:val="30"/>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840" w:type="dxa"/>
            <w:vAlign w:val="bottom"/>
          </w:tcPr>
          <w:p>
            <w:pPr>
              <w:spacing w:after="0"/>
              <w:rPr>
                <w:sz w:val="20"/>
                <w:szCs w:val="20"/>
                <w:color w:val="auto"/>
              </w:rPr>
            </w:pPr>
            <w:r>
              <w:rPr>
                <w:rFonts w:ascii="Arial" w:cs="Arial" w:eastAsia="Arial" w:hAnsi="Arial"/>
                <w:sz w:val="19"/>
                <w:szCs w:val="19"/>
                <w:color w:val="auto"/>
              </w:rPr>
              <w:t>23.1</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w w:val="98"/>
              </w:rPr>
              <w:t>Consent of Independent Registered Public Accounting Firm (Ernst &amp; Young LLP) for United</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340" w:type="dxa"/>
            <w:vAlign w:val="bottom"/>
            <w:tcBorders>
              <w:top w:val="single" w:sz="8" w:color="auto"/>
            </w:tcBorders>
            <w:gridSpan w:val="25"/>
          </w:tcPr>
          <w:p>
            <w:pPr>
              <w:spacing w:after="0" w:line="174" w:lineRule="exact"/>
              <w:rPr>
                <w:sz w:val="20"/>
                <w:szCs w:val="20"/>
                <w:color w:val="auto"/>
              </w:rPr>
            </w:pPr>
            <w:r>
              <w:rPr>
                <w:rFonts w:ascii="Arial" w:cs="Arial" w:eastAsia="Arial" w:hAnsi="Arial"/>
                <w:sz w:val="19"/>
                <w:szCs w:val="19"/>
                <w:color w:val="auto"/>
              </w:rPr>
              <w:t>Airlines Holdings, Inc.</w:t>
            </w:r>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23.2</w:t>
            </w:r>
          </w:p>
        </w:tc>
        <w:tc>
          <w:tcPr>
            <w:tcW w:w="1240" w:type="dxa"/>
            <w:vAlign w:val="bottom"/>
          </w:tcPr>
          <w:p>
            <w:pPr>
              <w:ind w:left="240"/>
              <w:spacing w:after="0"/>
              <w:rPr>
                <w:sz w:val="20"/>
                <w:szCs w:val="20"/>
                <w:color w:val="auto"/>
              </w:rPr>
            </w:pPr>
            <w:r>
              <w:rPr>
                <w:rFonts w:ascii="Arial" w:cs="Arial" w:eastAsia="Arial" w:hAnsi="Arial"/>
                <w:sz w:val="19"/>
                <w:szCs w:val="19"/>
                <w:color w:val="auto"/>
              </w:rPr>
              <w:t>United</w:t>
            </w:r>
          </w:p>
        </w:tc>
        <w:tc>
          <w:tcPr>
            <w:tcW w:w="7540" w:type="dxa"/>
            <w:vAlign w:val="bottom"/>
            <w:gridSpan w:val="30"/>
          </w:tcPr>
          <w:p>
            <w:pPr>
              <w:spacing w:after="0"/>
              <w:rPr>
                <w:sz w:val="20"/>
                <w:szCs w:val="20"/>
                <w:color w:val="auto"/>
              </w:rPr>
            </w:pPr>
            <w:r>
              <w:rPr>
                <w:rFonts w:ascii="Arial" w:cs="Arial" w:eastAsia="Arial" w:hAnsi="Arial"/>
                <w:sz w:val="19"/>
                <w:szCs w:val="19"/>
                <w:color w:val="auto"/>
                <w:w w:val="98"/>
              </w:rPr>
              <w:t>Consent of Independent Registered Public Accounting Firm (Ernst &amp; Young LLP) for United</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340" w:type="dxa"/>
            <w:vAlign w:val="bottom"/>
            <w:tcBorders>
              <w:top w:val="single" w:sz="8" w:color="auto"/>
            </w:tcBorders>
            <w:gridSpan w:val="25"/>
          </w:tcPr>
          <w:p>
            <w:pPr>
              <w:spacing w:after="0" w:line="174" w:lineRule="exact"/>
              <w:rPr>
                <w:sz w:val="20"/>
                <w:szCs w:val="20"/>
                <w:color w:val="auto"/>
              </w:rPr>
            </w:pPr>
            <w:r>
              <w:rPr>
                <w:rFonts w:ascii="Arial" w:cs="Arial" w:eastAsia="Arial" w:hAnsi="Arial"/>
                <w:sz w:val="19"/>
                <w:szCs w:val="19"/>
                <w:color w:val="auto"/>
              </w:rPr>
              <w:t>Airlines, Inc.</w:t>
            </w:r>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40" w:type="dxa"/>
            <w:vAlign w:val="bottom"/>
            <w:gridSpan w:val="30"/>
          </w:tcPr>
          <w:p>
            <w:pPr>
              <w:spacing w:after="0"/>
              <w:rPr>
                <w:sz w:val="20"/>
                <w:szCs w:val="20"/>
                <w:color w:val="auto"/>
              </w:rPr>
            </w:pPr>
            <w:r>
              <w:rPr>
                <w:rFonts w:ascii="Arial" w:cs="Arial" w:eastAsia="Arial" w:hAnsi="Arial"/>
                <w:sz w:val="19"/>
                <w:szCs w:val="19"/>
                <w:b w:val="1"/>
                <w:bCs w:val="1"/>
                <w:color w:val="auto"/>
              </w:rPr>
              <w:t>Rule 13a-14(a)/15d-14(a) Certifications</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40" w:type="dxa"/>
            <w:vAlign w:val="bottom"/>
            <w:gridSpan w:val="7"/>
            <w:shd w:val="clear" w:color="auto" w:fill="000000"/>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840" w:type="dxa"/>
            <w:vAlign w:val="bottom"/>
          </w:tcPr>
          <w:p>
            <w:pPr>
              <w:spacing w:after="0"/>
              <w:rPr>
                <w:sz w:val="20"/>
                <w:szCs w:val="20"/>
                <w:color w:val="auto"/>
              </w:rPr>
            </w:pPr>
            <w:r>
              <w:rPr>
                <w:rFonts w:ascii="Arial" w:cs="Arial" w:eastAsia="Arial" w:hAnsi="Arial"/>
                <w:sz w:val="19"/>
                <w:szCs w:val="19"/>
                <w:color w:val="auto"/>
              </w:rPr>
              <w:t>31.1</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w w:val="96"/>
              </w:rPr>
              <w:t>Certification of the Principal Executive Officer of United Airlines Holdings, Inc. pursuant to 15</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780" w:type="dxa"/>
            <w:vAlign w:val="bottom"/>
            <w:tcBorders>
              <w:top w:val="single" w:sz="8" w:color="auto"/>
              <w:bottom w:val="single" w:sz="8" w:color="auto"/>
            </w:tcBorders>
            <w:gridSpan w:val="12"/>
          </w:tcPr>
          <w:p>
            <w:pPr>
              <w:spacing w:after="0" w:line="174" w:lineRule="exact"/>
              <w:rPr>
                <w:sz w:val="20"/>
                <w:szCs w:val="20"/>
                <w:color w:val="auto"/>
              </w:rPr>
            </w:pPr>
            <w:r>
              <w:rPr>
                <w:rFonts w:ascii="Arial" w:cs="Arial" w:eastAsia="Arial" w:hAnsi="Arial"/>
                <w:sz w:val="19"/>
                <w:szCs w:val="19"/>
                <w:color w:val="auto"/>
                <w:w w:val="93"/>
              </w:rPr>
              <w:t>U.S.C. 78m(a) or 78o(d) (Section 302 of the Sarbanes-Oxley Act of 2002)</w:t>
            </w:r>
          </w:p>
        </w:tc>
        <w:tc>
          <w:tcPr>
            <w:tcW w:w="1700" w:type="dxa"/>
            <w:vAlign w:val="bottom"/>
            <w:tcBorders>
              <w:top w:val="single" w:sz="8" w:color="auto"/>
            </w:tcBorders>
            <w:gridSpan w:val="17"/>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31.2</w:t>
            </w:r>
          </w:p>
        </w:tc>
        <w:tc>
          <w:tcPr>
            <w:tcW w:w="1240" w:type="dxa"/>
            <w:vAlign w:val="bottom"/>
          </w:tcPr>
          <w:p>
            <w:pPr>
              <w:ind w:left="240"/>
              <w:spacing w:after="0"/>
              <w:rPr>
                <w:sz w:val="20"/>
                <w:szCs w:val="20"/>
                <w:color w:val="auto"/>
              </w:rPr>
            </w:pPr>
            <w:r>
              <w:rPr>
                <w:rFonts w:ascii="Arial" w:cs="Arial" w:eastAsia="Arial" w:hAnsi="Arial"/>
                <w:sz w:val="19"/>
                <w:szCs w:val="19"/>
                <w:color w:val="auto"/>
              </w:rPr>
              <w:t>UAL</w:t>
            </w:r>
          </w:p>
        </w:tc>
        <w:tc>
          <w:tcPr>
            <w:tcW w:w="7540" w:type="dxa"/>
            <w:vAlign w:val="bottom"/>
            <w:gridSpan w:val="30"/>
          </w:tcPr>
          <w:p>
            <w:pPr>
              <w:spacing w:after="0"/>
              <w:rPr>
                <w:sz w:val="20"/>
                <w:szCs w:val="20"/>
                <w:color w:val="auto"/>
              </w:rPr>
            </w:pPr>
            <w:r>
              <w:rPr>
                <w:rFonts w:ascii="Arial" w:cs="Arial" w:eastAsia="Arial" w:hAnsi="Arial"/>
                <w:sz w:val="19"/>
                <w:szCs w:val="19"/>
                <w:color w:val="auto"/>
                <w:w w:val="97"/>
              </w:rPr>
              <w:t>Certification of the Principal Financial Officer of United Airlines Holdings, Inc. pursuant to 15</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780" w:type="dxa"/>
            <w:vAlign w:val="bottom"/>
            <w:tcBorders>
              <w:top w:val="single" w:sz="8" w:color="auto"/>
              <w:bottom w:val="single" w:sz="8" w:color="auto"/>
            </w:tcBorders>
            <w:gridSpan w:val="12"/>
          </w:tcPr>
          <w:p>
            <w:pPr>
              <w:spacing w:after="0" w:line="174" w:lineRule="exact"/>
              <w:rPr>
                <w:sz w:val="20"/>
                <w:szCs w:val="20"/>
                <w:color w:val="auto"/>
              </w:rPr>
            </w:pPr>
            <w:r>
              <w:rPr>
                <w:rFonts w:ascii="Arial" w:cs="Arial" w:eastAsia="Arial" w:hAnsi="Arial"/>
                <w:sz w:val="19"/>
                <w:szCs w:val="19"/>
                <w:color w:val="auto"/>
                <w:w w:val="93"/>
              </w:rPr>
              <w:t>U.S.C. 78m(a) or 78o(d) (Section 302 of the Sarbanes-Oxley Act of 2002)</w:t>
            </w:r>
          </w:p>
        </w:tc>
        <w:tc>
          <w:tcPr>
            <w:tcW w:w="1660" w:type="dxa"/>
            <w:vAlign w:val="bottom"/>
            <w:tcBorders>
              <w:top w:val="single" w:sz="8" w:color="auto"/>
            </w:tcBorders>
            <w:gridSpan w:val="15"/>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31.3</w:t>
            </w:r>
          </w:p>
        </w:tc>
        <w:tc>
          <w:tcPr>
            <w:tcW w:w="1240" w:type="dxa"/>
            <w:vAlign w:val="bottom"/>
          </w:tcPr>
          <w:p>
            <w:pPr>
              <w:ind w:left="240"/>
              <w:spacing w:after="0"/>
              <w:rPr>
                <w:sz w:val="20"/>
                <w:szCs w:val="20"/>
                <w:color w:val="auto"/>
              </w:rPr>
            </w:pPr>
            <w:r>
              <w:rPr>
                <w:rFonts w:ascii="Arial" w:cs="Arial" w:eastAsia="Arial" w:hAnsi="Arial"/>
                <w:sz w:val="19"/>
                <w:szCs w:val="19"/>
                <w:color w:val="auto"/>
              </w:rPr>
              <w:t>United</w:t>
            </w:r>
          </w:p>
        </w:tc>
        <w:tc>
          <w:tcPr>
            <w:tcW w:w="7540" w:type="dxa"/>
            <w:vAlign w:val="bottom"/>
            <w:gridSpan w:val="30"/>
          </w:tcPr>
          <w:p>
            <w:pPr>
              <w:spacing w:after="0"/>
              <w:rPr>
                <w:sz w:val="20"/>
                <w:szCs w:val="20"/>
                <w:color w:val="auto"/>
              </w:rPr>
            </w:pPr>
            <w:r>
              <w:rPr>
                <w:rFonts w:ascii="Arial" w:cs="Arial" w:eastAsia="Arial" w:hAnsi="Arial"/>
                <w:sz w:val="19"/>
                <w:szCs w:val="19"/>
                <w:color w:val="auto"/>
                <w:w w:val="99"/>
              </w:rPr>
              <w:t>Certification of the Principal Executive Officer of United Airlines, Inc. pursuant to 15 U.S.C.</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300" w:type="dxa"/>
            <w:vAlign w:val="bottom"/>
            <w:tcBorders>
              <w:top w:val="single" w:sz="8" w:color="auto"/>
            </w:tcBorders>
            <w:gridSpan w:val="23"/>
          </w:tcPr>
          <w:p>
            <w:pPr>
              <w:spacing w:after="0" w:line="174" w:lineRule="exact"/>
              <w:rPr>
                <w:sz w:val="20"/>
                <w:szCs w:val="20"/>
                <w:color w:val="auto"/>
              </w:rPr>
            </w:pPr>
            <w:r>
              <w:rPr>
                <w:rFonts w:ascii="Arial" w:cs="Arial" w:eastAsia="Arial" w:hAnsi="Arial"/>
                <w:sz w:val="19"/>
                <w:szCs w:val="19"/>
                <w:color w:val="auto"/>
              </w:rPr>
              <w:t>78m(a) or 78o(d) (Section 302 of the Sarbanes-Oxley Act of 2002)</w:t>
            </w:r>
          </w:p>
        </w:tc>
        <w:tc>
          <w:tcPr>
            <w:tcW w:w="2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0" w:type="dxa"/>
            <w:vAlign w:val="bottom"/>
            <w:gridSpan w:val="10"/>
            <w:shd w:val="clear" w:color="auto" w:fill="000000"/>
          </w:tcPr>
          <w:p>
            <w:pPr>
              <w:spacing w:after="0" w:line="20" w:lineRule="exact"/>
              <w:rPr>
                <w:sz w:val="1"/>
                <w:szCs w:val="1"/>
                <w:color w:val="auto"/>
              </w:rPr>
            </w:pPr>
          </w:p>
        </w:tc>
        <w:tc>
          <w:tcPr>
            <w:tcW w:w="2060" w:type="dxa"/>
            <w:vAlign w:val="bottom"/>
            <w:gridSpan w:val="11"/>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40" w:type="dxa"/>
            <w:vAlign w:val="bottom"/>
          </w:tcPr>
          <w:p>
            <w:pPr>
              <w:spacing w:after="0"/>
              <w:rPr>
                <w:sz w:val="20"/>
                <w:szCs w:val="20"/>
                <w:color w:val="auto"/>
              </w:rPr>
            </w:pPr>
            <w:r>
              <w:rPr>
                <w:rFonts w:ascii="Arial" w:cs="Arial" w:eastAsia="Arial" w:hAnsi="Arial"/>
                <w:sz w:val="19"/>
                <w:szCs w:val="19"/>
                <w:color w:val="auto"/>
              </w:rPr>
              <w:t>31.4</w:t>
            </w:r>
          </w:p>
        </w:tc>
        <w:tc>
          <w:tcPr>
            <w:tcW w:w="1240" w:type="dxa"/>
            <w:vAlign w:val="bottom"/>
          </w:tcPr>
          <w:p>
            <w:pPr>
              <w:ind w:left="240"/>
              <w:spacing w:after="0"/>
              <w:rPr>
                <w:sz w:val="20"/>
                <w:szCs w:val="20"/>
                <w:color w:val="auto"/>
              </w:rPr>
            </w:pPr>
            <w:r>
              <w:rPr>
                <w:rFonts w:ascii="Arial" w:cs="Arial" w:eastAsia="Arial" w:hAnsi="Arial"/>
                <w:sz w:val="19"/>
                <w:szCs w:val="19"/>
                <w:color w:val="auto"/>
              </w:rPr>
              <w:t>United</w:t>
            </w:r>
          </w:p>
        </w:tc>
        <w:tc>
          <w:tcPr>
            <w:tcW w:w="7540" w:type="dxa"/>
            <w:vAlign w:val="bottom"/>
            <w:gridSpan w:val="30"/>
          </w:tcPr>
          <w:p>
            <w:pPr>
              <w:spacing w:after="0"/>
              <w:rPr>
                <w:sz w:val="20"/>
                <w:szCs w:val="20"/>
                <w:color w:val="auto"/>
              </w:rPr>
            </w:pPr>
            <w:r>
              <w:rPr>
                <w:rFonts w:ascii="Arial" w:cs="Arial" w:eastAsia="Arial" w:hAnsi="Arial"/>
                <w:sz w:val="19"/>
                <w:szCs w:val="19"/>
                <w:color w:val="auto"/>
              </w:rPr>
              <w:t>Certification of the Principal Financial Officer of United Airlines, Inc. pursuant to 15 U.S.C.</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60" w:type="dxa"/>
            <w:vAlign w:val="bottom"/>
            <w:tcBorders>
              <w:top w:val="single" w:sz="8" w:color="auto"/>
            </w:tcBorders>
            <w:gridSpan w:val="21"/>
          </w:tcPr>
          <w:p>
            <w:pPr>
              <w:spacing w:after="0" w:line="174" w:lineRule="exact"/>
              <w:rPr>
                <w:sz w:val="20"/>
                <w:szCs w:val="20"/>
                <w:color w:val="auto"/>
              </w:rPr>
            </w:pPr>
            <w:r>
              <w:rPr>
                <w:rFonts w:ascii="Arial" w:cs="Arial" w:eastAsia="Arial" w:hAnsi="Arial"/>
                <w:sz w:val="19"/>
                <w:szCs w:val="19"/>
                <w:color w:val="auto"/>
              </w:rPr>
              <w:t>78m(a) or 78o(d) (Section 302 of the Sarbanes-Oxley Act of 2002)</w:t>
            </w:r>
          </w:p>
        </w:tc>
        <w:tc>
          <w:tcPr>
            <w:tcW w:w="2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620"/>
          </w:cols>
          <w:pgMar w:left="1020" w:top="613" w:right="1240" w:bottom="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109</w:t>
      </w:r>
    </w:p>
    <w:p>
      <w:pPr>
        <w:sectPr>
          <w:pgSz w:w="11880" w:h="15480" w:orient="portrait"/>
          <w:cols w:equalWidth="0" w:num="1">
            <w:col w:w="9620"/>
          </w:cols>
          <w:pgMar w:left="1020" w:top="613" w:right="1240" w:bottom="44" w:gutter="0" w:footer="0" w:header="0"/>
          <w:type w:val="continuous"/>
        </w:sectPr>
      </w:pPr>
    </w:p>
    <w:bookmarkStart w:id="111" w:name="page112"/>
    <w:bookmarkEnd w:id="111"/>
    <w:tbl>
      <w:tblPr>
        <w:tblLayout w:type="fixed"/>
        <w:tblInd w:w="14" w:type="dxa"/>
        <w:tblCellMar>
          <w:top w:w="0" w:type="dxa"/>
          <w:left w:w="0" w:type="dxa"/>
          <w:bottom w:w="0" w:type="dxa"/>
          <w:right w:w="0" w:type="dxa"/>
        </w:tblCellMar>
      </w:tblPr>
      <w:tr>
        <w:trPr>
          <w:trHeight w:val="218"/>
        </w:trPr>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80" w:type="dxa"/>
            <w:vAlign w:val="bottom"/>
            <w:gridSpan w:val="9"/>
          </w:tcPr>
          <w:p>
            <w:pPr>
              <w:spacing w:after="0"/>
              <w:rPr>
                <w:sz w:val="20"/>
                <w:szCs w:val="20"/>
                <w:color w:val="auto"/>
              </w:rPr>
            </w:pPr>
            <w:r>
              <w:rPr>
                <w:rFonts w:ascii="Arial" w:cs="Arial" w:eastAsia="Arial" w:hAnsi="Arial"/>
                <w:sz w:val="19"/>
                <w:szCs w:val="19"/>
                <w:b w:val="1"/>
                <w:bCs w:val="1"/>
                <w:color w:val="auto"/>
              </w:rPr>
              <w:t>Section 1350 Certifications</w:t>
            </w:r>
          </w:p>
        </w:tc>
      </w:tr>
      <w:tr>
        <w:trPr>
          <w:trHeight w:val="20"/>
        </w:trPr>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6"/>
        </w:trPr>
        <w:tc>
          <w:tcPr>
            <w:tcW w:w="700" w:type="dxa"/>
            <w:vAlign w:val="bottom"/>
          </w:tcPr>
          <w:p>
            <w:pPr>
              <w:spacing w:after="0"/>
              <w:rPr>
                <w:sz w:val="20"/>
                <w:szCs w:val="20"/>
                <w:color w:val="auto"/>
              </w:rPr>
            </w:pPr>
            <w:r>
              <w:rPr>
                <w:rFonts w:ascii="Arial" w:cs="Arial" w:eastAsia="Arial" w:hAnsi="Arial"/>
                <w:sz w:val="19"/>
                <w:szCs w:val="19"/>
                <w:color w:val="auto"/>
              </w:rPr>
              <w:t>32.1</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80" w:type="dxa"/>
            <w:vAlign w:val="bottom"/>
            <w:gridSpan w:val="9"/>
          </w:tcPr>
          <w:p>
            <w:pPr>
              <w:spacing w:after="0"/>
              <w:rPr>
                <w:sz w:val="20"/>
                <w:szCs w:val="20"/>
                <w:color w:val="auto"/>
              </w:rPr>
            </w:pPr>
            <w:r>
              <w:rPr>
                <w:rFonts w:ascii="Arial" w:cs="Arial" w:eastAsia="Arial" w:hAnsi="Arial"/>
                <w:sz w:val="19"/>
                <w:szCs w:val="19"/>
                <w:color w:val="auto"/>
              </w:rPr>
              <w:t>Certification of the Chief Executive Officer and Chief Financial Officer of United Airlines</w:t>
            </w: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80" w:type="dxa"/>
            <w:vAlign w:val="bottom"/>
            <w:tcBorders>
              <w:top w:val="single" w:sz="8" w:color="auto"/>
              <w:bottom w:val="single" w:sz="8" w:color="auto"/>
            </w:tcBorders>
            <w:gridSpan w:val="6"/>
          </w:tcPr>
          <w:p>
            <w:pPr>
              <w:spacing w:after="0" w:line="174" w:lineRule="exact"/>
              <w:rPr>
                <w:sz w:val="20"/>
                <w:szCs w:val="20"/>
                <w:color w:val="auto"/>
              </w:rPr>
            </w:pPr>
            <w:r>
              <w:rPr>
                <w:rFonts w:ascii="Arial" w:cs="Arial" w:eastAsia="Arial" w:hAnsi="Arial"/>
                <w:sz w:val="19"/>
                <w:szCs w:val="19"/>
                <w:color w:val="auto"/>
                <w:w w:val="92"/>
              </w:rPr>
              <w:t>Holdings, Inc. pursuant to 18 U.S.C. 1350 (Section 906 of the Sarbanes-Oxley Act of 2002)</w:t>
            </w:r>
          </w:p>
        </w:tc>
        <w:tc>
          <w:tcPr>
            <w:tcW w:w="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14"/>
        </w:trPr>
        <w:tc>
          <w:tcPr>
            <w:tcW w:w="700" w:type="dxa"/>
            <w:vAlign w:val="bottom"/>
          </w:tcPr>
          <w:p>
            <w:pPr>
              <w:spacing w:after="0"/>
              <w:rPr>
                <w:sz w:val="20"/>
                <w:szCs w:val="20"/>
                <w:color w:val="auto"/>
              </w:rPr>
            </w:pPr>
            <w:r>
              <w:rPr>
                <w:rFonts w:ascii="Arial" w:cs="Arial" w:eastAsia="Arial" w:hAnsi="Arial"/>
                <w:sz w:val="19"/>
                <w:szCs w:val="19"/>
                <w:color w:val="auto"/>
              </w:rPr>
              <w:t>32.2</w:t>
            </w:r>
          </w:p>
        </w:tc>
        <w:tc>
          <w:tcPr>
            <w:tcW w:w="1380" w:type="dxa"/>
            <w:vAlign w:val="bottom"/>
          </w:tcPr>
          <w:p>
            <w:pPr>
              <w:ind w:left="380"/>
              <w:spacing w:after="0"/>
              <w:rPr>
                <w:sz w:val="20"/>
                <w:szCs w:val="20"/>
                <w:color w:val="auto"/>
              </w:rPr>
            </w:pPr>
            <w:r>
              <w:rPr>
                <w:rFonts w:ascii="Arial" w:cs="Arial" w:eastAsia="Arial" w:hAnsi="Arial"/>
                <w:sz w:val="19"/>
                <w:szCs w:val="19"/>
                <w:color w:val="auto"/>
              </w:rPr>
              <w:t>United</w:t>
            </w:r>
          </w:p>
        </w:tc>
        <w:tc>
          <w:tcPr>
            <w:tcW w:w="7480" w:type="dxa"/>
            <w:vAlign w:val="bottom"/>
            <w:tcBorders>
              <w:bottom w:val="single" w:sz="8" w:color="auto"/>
            </w:tcBorders>
            <w:gridSpan w:val="9"/>
          </w:tcPr>
          <w:p>
            <w:pPr>
              <w:spacing w:after="0"/>
              <w:rPr>
                <w:sz w:val="20"/>
                <w:szCs w:val="20"/>
                <w:color w:val="auto"/>
              </w:rPr>
            </w:pPr>
            <w:r>
              <w:rPr>
                <w:rFonts w:ascii="Arial" w:cs="Arial" w:eastAsia="Arial" w:hAnsi="Arial"/>
                <w:sz w:val="19"/>
                <w:szCs w:val="19"/>
                <w:color w:val="auto"/>
                <w:w w:val="96"/>
              </w:rPr>
              <w:t>Certification of the Chief Executive Officer and Chief Financial Officer of United Airlines, Inc.</w:t>
            </w: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480" w:type="dxa"/>
            <w:vAlign w:val="bottom"/>
            <w:gridSpan w:val="9"/>
          </w:tcPr>
          <w:p>
            <w:pPr>
              <w:spacing w:after="0" w:line="174" w:lineRule="exact"/>
              <w:rPr>
                <w:sz w:val="20"/>
                <w:szCs w:val="20"/>
                <w:color w:val="auto"/>
              </w:rPr>
            </w:pPr>
            <w:r>
              <w:rPr>
                <w:rFonts w:ascii="Arial" w:cs="Arial" w:eastAsia="Arial" w:hAnsi="Arial"/>
                <w:sz w:val="19"/>
                <w:szCs w:val="19"/>
                <w:color w:val="auto"/>
              </w:rPr>
              <w:t>pursuant to 18 U.S.C. 1350 (Section 906 of the Sarbanes-Oxley Act of 2002)</w:t>
            </w:r>
          </w:p>
        </w:tc>
      </w:tr>
      <w:tr>
        <w:trPr>
          <w:trHeight w:val="511"/>
        </w:trPr>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9"/>
                <w:szCs w:val="19"/>
                <w:b w:val="1"/>
                <w:bCs w:val="1"/>
                <w:color w:val="auto"/>
                <w:w w:val="91"/>
              </w:rPr>
              <w:t>Policy Relating to Recovery of Erroneously Awarded Compensation</w:t>
            </w:r>
          </w:p>
        </w:tc>
        <w:tc>
          <w:tcPr>
            <w:tcW w:w="340" w:type="dxa"/>
            <w:vAlign w:val="bottom"/>
            <w:tcBorders>
              <w:top w:val="single" w:sz="8" w:color="auto"/>
            </w:tcBorders>
          </w:tcPr>
          <w:p>
            <w:pPr>
              <w:spacing w:after="0"/>
              <w:rPr>
                <w:sz w:val="24"/>
                <w:szCs w:val="24"/>
                <w:color w:val="auto"/>
              </w:rPr>
            </w:pPr>
          </w:p>
        </w:tc>
        <w:tc>
          <w:tcPr>
            <w:tcW w:w="1500" w:type="dxa"/>
            <w:vAlign w:val="bottom"/>
            <w:gridSpan w:val="5"/>
          </w:tcPr>
          <w:p>
            <w:pPr>
              <w:spacing w:after="0"/>
              <w:rPr>
                <w:sz w:val="24"/>
                <w:szCs w:val="24"/>
                <w:color w:val="auto"/>
              </w:rPr>
            </w:pPr>
          </w:p>
        </w:tc>
      </w:tr>
      <w:tr>
        <w:trPr>
          <w:trHeight w:val="536"/>
        </w:trPr>
        <w:tc>
          <w:tcPr>
            <w:tcW w:w="700" w:type="dxa"/>
            <w:vAlign w:val="bottom"/>
          </w:tcPr>
          <w:p>
            <w:pPr>
              <w:spacing w:after="0"/>
              <w:rPr>
                <w:sz w:val="20"/>
                <w:szCs w:val="20"/>
                <w:color w:val="auto"/>
              </w:rPr>
            </w:pPr>
            <w:r>
              <w:rPr>
                <w:rFonts w:ascii="Arial" w:cs="Arial" w:eastAsia="Arial" w:hAnsi="Arial"/>
                <w:sz w:val="19"/>
                <w:szCs w:val="19"/>
                <w:color w:val="auto"/>
              </w:rPr>
              <w:t>97</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80" w:type="dxa"/>
            <w:vAlign w:val="bottom"/>
            <w:gridSpan w:val="9"/>
          </w:tcPr>
          <w:p>
            <w:pPr>
              <w:spacing w:after="0"/>
              <w:rPr>
                <w:sz w:val="20"/>
                <w:szCs w:val="20"/>
                <w:color w:val="auto"/>
              </w:rPr>
            </w:pPr>
            <w:r>
              <w:rPr>
                <w:rFonts w:ascii="Arial" w:cs="Arial" w:eastAsia="Arial" w:hAnsi="Arial"/>
                <w:sz w:val="19"/>
                <w:szCs w:val="19"/>
                <w:color w:val="auto"/>
                <w:w w:val="97"/>
              </w:rPr>
              <w:t>United Airlines Holdings, Inc. Compensation Clawback Policy (filed as Exhibit 97.1 to UAL's</w:t>
            </w:r>
          </w:p>
        </w:tc>
      </w:tr>
      <w:tr>
        <w:trPr>
          <w:trHeight w:val="174"/>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380" w:type="dxa"/>
            <w:vAlign w:val="bottom"/>
            <w:tcBorders>
              <w:top w:val="single" w:sz="8" w:color="auto"/>
            </w:tcBorders>
            <w:gridSpan w:val="8"/>
          </w:tcPr>
          <w:p>
            <w:pPr>
              <w:spacing w:after="0" w:line="174" w:lineRule="exact"/>
              <w:rPr>
                <w:sz w:val="20"/>
                <w:szCs w:val="20"/>
                <w:color w:val="auto"/>
              </w:rPr>
            </w:pPr>
            <w:r>
              <w:rPr>
                <w:rFonts w:ascii="Arial" w:cs="Arial" w:eastAsia="Arial" w:hAnsi="Arial"/>
                <w:sz w:val="19"/>
                <w:szCs w:val="19"/>
                <w:color w:val="auto"/>
                <w:w w:val="98"/>
              </w:rPr>
              <w:t>Form 10-K for the year ended December 31, 2023 and incorporated herein by reference)</w:t>
            </w:r>
          </w:p>
        </w:tc>
        <w:tc>
          <w:tcPr>
            <w:tcW w:w="100" w:type="dxa"/>
            <w:vAlign w:val="bottom"/>
          </w:tcPr>
          <w:p>
            <w:pPr>
              <w:spacing w:after="0"/>
              <w:rPr>
                <w:sz w:val="15"/>
                <w:szCs w:val="15"/>
                <w:color w:val="auto"/>
              </w:rPr>
            </w:pPr>
          </w:p>
        </w:tc>
      </w:tr>
      <w:tr>
        <w:trPr>
          <w:trHeight w:val="511"/>
        </w:trPr>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60" w:type="dxa"/>
            <w:vAlign w:val="bottom"/>
            <w:tcBorders>
              <w:top w:val="single" w:sz="8" w:color="auto"/>
            </w:tcBorders>
            <w:gridSpan w:val="5"/>
          </w:tcPr>
          <w:p>
            <w:pPr>
              <w:spacing w:after="0"/>
              <w:rPr>
                <w:sz w:val="20"/>
                <w:szCs w:val="20"/>
                <w:color w:val="auto"/>
              </w:rPr>
            </w:pPr>
            <w:r>
              <w:rPr>
                <w:rFonts w:ascii="Arial" w:cs="Arial" w:eastAsia="Arial" w:hAnsi="Arial"/>
                <w:sz w:val="19"/>
                <w:szCs w:val="19"/>
                <w:b w:val="1"/>
                <w:bCs w:val="1"/>
                <w:color w:val="auto"/>
              </w:rPr>
              <w:t>Interactive Data File</w:t>
            </w:r>
          </w:p>
        </w:tc>
        <w:tc>
          <w:tcPr>
            <w:tcW w:w="620" w:type="dxa"/>
            <w:vAlign w:val="bottom"/>
            <w:gridSpan w:val="4"/>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r>
      <w:tr>
        <w:trPr>
          <w:trHeight w:val="520"/>
        </w:trPr>
        <w:tc>
          <w:tcPr>
            <w:tcW w:w="700" w:type="dxa"/>
            <w:vAlign w:val="bottom"/>
          </w:tcPr>
          <w:p>
            <w:pPr>
              <w:spacing w:after="0"/>
              <w:rPr>
                <w:sz w:val="20"/>
                <w:szCs w:val="20"/>
                <w:color w:val="auto"/>
              </w:rPr>
            </w:pPr>
            <w:r>
              <w:rPr>
                <w:rFonts w:ascii="Arial" w:cs="Arial" w:eastAsia="Arial" w:hAnsi="Arial"/>
                <w:sz w:val="19"/>
                <w:szCs w:val="19"/>
                <w:color w:val="auto"/>
              </w:rPr>
              <w:t>101</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80" w:type="dxa"/>
            <w:vAlign w:val="bottom"/>
            <w:gridSpan w:val="9"/>
          </w:tcPr>
          <w:p>
            <w:pPr>
              <w:spacing w:after="0"/>
              <w:rPr>
                <w:sz w:val="20"/>
                <w:szCs w:val="20"/>
                <w:color w:val="auto"/>
              </w:rPr>
            </w:pPr>
            <w:r>
              <w:rPr>
                <w:rFonts w:ascii="Arial" w:cs="Arial" w:eastAsia="Arial" w:hAnsi="Arial"/>
                <w:sz w:val="19"/>
                <w:szCs w:val="19"/>
                <w:color w:val="auto"/>
                <w:w w:val="97"/>
              </w:rPr>
              <w:t>The following financial statements from the combined Annual Report of UAL and United on</w:t>
            </w:r>
          </w:p>
        </w:tc>
      </w:tr>
      <w:tr>
        <w:trPr>
          <w:trHeight w:val="194"/>
        </w:trPr>
        <w:tc>
          <w:tcPr>
            <w:tcW w:w="700" w:type="dxa"/>
            <w:vAlign w:val="bottom"/>
          </w:tcPr>
          <w:p>
            <w:pPr>
              <w:spacing w:after="0"/>
              <w:rPr>
                <w:sz w:val="16"/>
                <w:szCs w:val="16"/>
                <w:color w:val="auto"/>
              </w:rPr>
            </w:pPr>
          </w:p>
        </w:tc>
        <w:tc>
          <w:tcPr>
            <w:tcW w:w="1380" w:type="dxa"/>
            <w:vAlign w:val="bottom"/>
          </w:tcPr>
          <w:p>
            <w:pPr>
              <w:ind w:left="380"/>
              <w:spacing w:after="0" w:line="194" w:lineRule="exact"/>
              <w:rPr>
                <w:sz w:val="20"/>
                <w:szCs w:val="20"/>
                <w:color w:val="auto"/>
              </w:rPr>
            </w:pPr>
            <w:r>
              <w:rPr>
                <w:rFonts w:ascii="Arial" w:cs="Arial" w:eastAsia="Arial" w:hAnsi="Arial"/>
                <w:sz w:val="19"/>
                <w:szCs w:val="19"/>
                <w:color w:val="auto"/>
              </w:rPr>
              <w:t>United</w:t>
            </w:r>
          </w:p>
        </w:tc>
        <w:tc>
          <w:tcPr>
            <w:tcW w:w="7480" w:type="dxa"/>
            <w:vAlign w:val="bottom"/>
            <w:gridSpan w:val="9"/>
          </w:tcPr>
          <w:p>
            <w:pPr>
              <w:spacing w:after="0" w:line="194" w:lineRule="exact"/>
              <w:rPr>
                <w:sz w:val="20"/>
                <w:szCs w:val="20"/>
                <w:color w:val="auto"/>
              </w:rPr>
            </w:pPr>
            <w:r>
              <w:rPr>
                <w:rFonts w:ascii="Arial" w:cs="Arial" w:eastAsia="Arial" w:hAnsi="Arial"/>
                <w:sz w:val="19"/>
                <w:szCs w:val="19"/>
                <w:color w:val="auto"/>
                <w:w w:val="94"/>
              </w:rPr>
              <w:t>Form 10-K for the year ended December 31, 2025, formatted in Inline XBRL: (i) Statements of</w:t>
            </w:r>
          </w:p>
        </w:tc>
      </w:tr>
      <w:tr>
        <w:trPr>
          <w:trHeight w:val="194"/>
        </w:trPr>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480" w:type="dxa"/>
            <w:vAlign w:val="bottom"/>
            <w:gridSpan w:val="9"/>
          </w:tcPr>
          <w:p>
            <w:pPr>
              <w:spacing w:after="0" w:line="194" w:lineRule="exact"/>
              <w:rPr>
                <w:sz w:val="20"/>
                <w:szCs w:val="20"/>
                <w:color w:val="auto"/>
              </w:rPr>
            </w:pPr>
            <w:r>
              <w:rPr>
                <w:rFonts w:ascii="Arial" w:cs="Arial" w:eastAsia="Arial" w:hAnsi="Arial"/>
                <w:sz w:val="19"/>
                <w:szCs w:val="19"/>
                <w:color w:val="auto"/>
                <w:w w:val="95"/>
              </w:rPr>
              <w:t>Consolidated Operations, (ii) Statements of Consolidated Comprehensive Income (Loss), (iii)</w:t>
            </w:r>
          </w:p>
        </w:tc>
      </w:tr>
      <w:tr>
        <w:trPr>
          <w:trHeight w:val="194"/>
        </w:trPr>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480" w:type="dxa"/>
            <w:vAlign w:val="bottom"/>
            <w:gridSpan w:val="9"/>
          </w:tcPr>
          <w:p>
            <w:pPr>
              <w:spacing w:after="0" w:line="194" w:lineRule="exact"/>
              <w:rPr>
                <w:sz w:val="20"/>
                <w:szCs w:val="20"/>
                <w:color w:val="auto"/>
              </w:rPr>
            </w:pPr>
            <w:r>
              <w:rPr>
                <w:rFonts w:ascii="Arial" w:cs="Arial" w:eastAsia="Arial" w:hAnsi="Arial"/>
                <w:sz w:val="19"/>
                <w:szCs w:val="19"/>
                <w:color w:val="auto"/>
                <w:w w:val="95"/>
              </w:rPr>
              <w:t>Consolidated Balance Sheets, (iv) Statements of Consolidated Cash Flows, (v) Statements of</w:t>
            </w:r>
          </w:p>
        </w:tc>
      </w:tr>
      <w:tr>
        <w:trPr>
          <w:trHeight w:val="194"/>
        </w:trPr>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480" w:type="dxa"/>
            <w:vAlign w:val="bottom"/>
            <w:gridSpan w:val="9"/>
          </w:tcPr>
          <w:p>
            <w:pPr>
              <w:spacing w:after="0" w:line="194" w:lineRule="exact"/>
              <w:rPr>
                <w:sz w:val="20"/>
                <w:szCs w:val="20"/>
                <w:color w:val="auto"/>
              </w:rPr>
            </w:pPr>
            <w:r>
              <w:rPr>
                <w:rFonts w:ascii="Arial" w:cs="Arial" w:eastAsia="Arial" w:hAnsi="Arial"/>
                <w:sz w:val="19"/>
                <w:szCs w:val="19"/>
                <w:color w:val="auto"/>
                <w:w w:val="94"/>
              </w:rPr>
              <w:t>Consolidated Stockholders' Equity (Deficit) and (vi) Combined Notes to Consolidated Financial</w:t>
            </w:r>
          </w:p>
        </w:tc>
      </w:tr>
      <w:tr>
        <w:trPr>
          <w:trHeight w:val="253"/>
        </w:trPr>
        <w:tc>
          <w:tcPr>
            <w:tcW w:w="7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480" w:type="dxa"/>
            <w:vAlign w:val="bottom"/>
            <w:gridSpan w:val="9"/>
          </w:tcPr>
          <w:p>
            <w:pPr>
              <w:spacing w:after="0"/>
              <w:rPr>
                <w:sz w:val="20"/>
                <w:szCs w:val="20"/>
                <w:color w:val="auto"/>
              </w:rPr>
            </w:pPr>
            <w:r>
              <w:rPr>
                <w:rFonts w:ascii="Arial" w:cs="Arial" w:eastAsia="Arial" w:hAnsi="Arial"/>
                <w:sz w:val="19"/>
                <w:szCs w:val="19"/>
                <w:color w:val="auto"/>
              </w:rPr>
              <w:t>Statements, tagged as blocks of text and including detailed tags.</w:t>
            </w:r>
          </w:p>
        </w:tc>
      </w:tr>
      <w:tr>
        <w:trPr>
          <w:trHeight w:val="484"/>
        </w:trPr>
        <w:tc>
          <w:tcPr>
            <w:tcW w:w="700" w:type="dxa"/>
            <w:vAlign w:val="bottom"/>
          </w:tcPr>
          <w:p>
            <w:pPr>
              <w:spacing w:after="0"/>
              <w:rPr>
                <w:sz w:val="20"/>
                <w:szCs w:val="20"/>
                <w:color w:val="auto"/>
              </w:rPr>
            </w:pPr>
            <w:r>
              <w:rPr>
                <w:rFonts w:ascii="Arial" w:cs="Arial" w:eastAsia="Arial" w:hAnsi="Arial"/>
                <w:sz w:val="19"/>
                <w:szCs w:val="19"/>
                <w:color w:val="auto"/>
              </w:rPr>
              <w:t>104</w:t>
            </w:r>
          </w:p>
        </w:tc>
        <w:tc>
          <w:tcPr>
            <w:tcW w:w="1380" w:type="dxa"/>
            <w:vAlign w:val="bottom"/>
          </w:tcPr>
          <w:p>
            <w:pPr>
              <w:ind w:left="380"/>
              <w:spacing w:after="0"/>
              <w:rPr>
                <w:sz w:val="20"/>
                <w:szCs w:val="20"/>
                <w:color w:val="auto"/>
              </w:rPr>
            </w:pPr>
            <w:r>
              <w:rPr>
                <w:rFonts w:ascii="Arial" w:cs="Arial" w:eastAsia="Arial" w:hAnsi="Arial"/>
                <w:sz w:val="19"/>
                <w:szCs w:val="19"/>
                <w:color w:val="auto"/>
              </w:rPr>
              <w:t>UAL</w:t>
            </w:r>
          </w:p>
        </w:tc>
        <w:tc>
          <w:tcPr>
            <w:tcW w:w="7480" w:type="dxa"/>
            <w:vAlign w:val="bottom"/>
            <w:gridSpan w:val="9"/>
          </w:tcPr>
          <w:p>
            <w:pPr>
              <w:spacing w:after="0"/>
              <w:rPr>
                <w:sz w:val="20"/>
                <w:szCs w:val="20"/>
                <w:color w:val="auto"/>
              </w:rPr>
            </w:pPr>
            <w:r>
              <w:rPr>
                <w:rFonts w:ascii="Arial" w:cs="Arial" w:eastAsia="Arial" w:hAnsi="Arial"/>
                <w:sz w:val="19"/>
                <w:szCs w:val="19"/>
                <w:color w:val="auto"/>
                <w:w w:val="95"/>
              </w:rPr>
              <w:t>Cover Page Interactive Data File - the cover page XBRL tags are embedded within the Inline</w:t>
            </w:r>
          </w:p>
        </w:tc>
      </w:tr>
      <w:tr>
        <w:trPr>
          <w:trHeight w:val="253"/>
        </w:trPr>
        <w:tc>
          <w:tcPr>
            <w:tcW w:w="700" w:type="dxa"/>
            <w:vAlign w:val="bottom"/>
          </w:tcPr>
          <w:p>
            <w:pPr>
              <w:spacing w:after="0"/>
              <w:rPr>
                <w:sz w:val="22"/>
                <w:szCs w:val="22"/>
                <w:color w:val="auto"/>
              </w:rPr>
            </w:pPr>
          </w:p>
        </w:tc>
        <w:tc>
          <w:tcPr>
            <w:tcW w:w="1380" w:type="dxa"/>
            <w:vAlign w:val="bottom"/>
          </w:tcPr>
          <w:p>
            <w:pPr>
              <w:ind w:left="380"/>
              <w:spacing w:after="0"/>
              <w:rPr>
                <w:sz w:val="20"/>
                <w:szCs w:val="20"/>
                <w:color w:val="auto"/>
              </w:rPr>
            </w:pPr>
            <w:r>
              <w:rPr>
                <w:rFonts w:ascii="Arial" w:cs="Arial" w:eastAsia="Arial" w:hAnsi="Arial"/>
                <w:sz w:val="19"/>
                <w:szCs w:val="19"/>
                <w:color w:val="auto"/>
              </w:rPr>
              <w:t>United</w:t>
            </w:r>
          </w:p>
        </w:tc>
        <w:tc>
          <w:tcPr>
            <w:tcW w:w="7480" w:type="dxa"/>
            <w:vAlign w:val="bottom"/>
            <w:gridSpan w:val="9"/>
          </w:tcPr>
          <w:p>
            <w:pPr>
              <w:spacing w:after="0"/>
              <w:rPr>
                <w:sz w:val="20"/>
                <w:szCs w:val="20"/>
                <w:color w:val="auto"/>
              </w:rPr>
            </w:pPr>
            <w:r>
              <w:rPr>
                <w:rFonts w:ascii="Arial" w:cs="Arial" w:eastAsia="Arial" w:hAnsi="Arial"/>
                <w:sz w:val="19"/>
                <w:szCs w:val="19"/>
                <w:color w:val="auto"/>
              </w:rPr>
              <w:t>XBRL document</w:t>
            </w:r>
          </w:p>
        </w:tc>
      </w:tr>
    </w:tbl>
    <w:p>
      <w:pPr>
        <w:spacing w:after="0" w:line="200" w:lineRule="exact"/>
        <w:rPr>
          <w:sz w:val="20"/>
          <w:szCs w:val="20"/>
          <w:color w:val="auto"/>
        </w:rPr>
      </w:pPr>
    </w:p>
    <w:p>
      <w:pPr>
        <w:spacing w:after="0" w:line="358" w:lineRule="exact"/>
        <w:rPr>
          <w:sz w:val="20"/>
          <w:szCs w:val="20"/>
          <w:color w:val="auto"/>
        </w:rPr>
      </w:pPr>
    </w:p>
    <w:p>
      <w:pPr>
        <w:ind w:left="434" w:hanging="434"/>
        <w:spacing w:after="0" w:line="270" w:lineRule="auto"/>
        <w:tabs>
          <w:tab w:leader="none" w:pos="434"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Indicates management contract or compensatory plan or arrangement. Pursuant to Item 601(b)(10), United is permitted to omit certain compensation-related exhibits from this report and therefore only UAL is identified as the registrant for purposes of those items.</w:t>
      </w:r>
    </w:p>
    <w:p>
      <w:pPr>
        <w:ind w:left="434" w:hanging="434"/>
        <w:spacing w:after="0"/>
        <w:tabs>
          <w:tab w:leader="none" w:pos="434" w:val="left"/>
        </w:tabs>
        <w:numPr>
          <w:ilvl w:val="0"/>
          <w:numId w:val="39"/>
        </w:numPr>
        <w:rPr>
          <w:rFonts w:ascii="Arial" w:cs="Arial" w:eastAsia="Arial" w:hAnsi="Arial"/>
          <w:sz w:val="19"/>
          <w:szCs w:val="19"/>
          <w:color w:val="auto"/>
        </w:rPr>
      </w:pPr>
      <w:r>
        <w:rPr>
          <w:rFonts w:ascii="Arial" w:cs="Arial" w:eastAsia="Arial" w:hAnsi="Arial"/>
          <w:sz w:val="19"/>
          <w:szCs w:val="19"/>
          <w:color w:val="auto"/>
        </w:rPr>
        <w:t>Portions of the referenced exhibit have been omitted pursuant to Item 601(b) of Regulation S-K.</w:t>
      </w:r>
    </w:p>
    <w:p>
      <w:pPr>
        <w:spacing w:after="0" w:line="53" w:lineRule="exact"/>
        <w:rPr>
          <w:sz w:val="20"/>
          <w:szCs w:val="20"/>
          <w:color w:val="auto"/>
        </w:rPr>
      </w:pPr>
    </w:p>
    <w:p>
      <w:pPr>
        <w:ind w:left="434" w:right="560" w:hanging="434"/>
        <w:spacing w:after="0" w:line="294" w:lineRule="auto"/>
        <w:tabs>
          <w:tab w:leader="none" w:pos="434" w:val="left"/>
        </w:tabs>
        <w:numPr>
          <w:ilvl w:val="0"/>
          <w:numId w:val="40"/>
        </w:numPr>
        <w:rPr>
          <w:rFonts w:ascii="Arial" w:cs="Arial" w:eastAsia="Arial" w:hAnsi="Arial"/>
          <w:sz w:val="19"/>
          <w:szCs w:val="19"/>
          <w:color w:val="auto"/>
        </w:rPr>
      </w:pPr>
      <w:r>
        <w:rPr>
          <w:rFonts w:ascii="Arial" w:cs="Arial" w:eastAsia="Arial" w:hAnsi="Arial"/>
          <w:sz w:val="19"/>
          <w:szCs w:val="19"/>
          <w:color w:val="auto"/>
        </w:rPr>
        <w:t>Exhibits and schedules have been omitted pursuant to Item 601(a)(5) of Regulation S-K and will be furnished on a supplemental basis to the Securities and Exchange Commission upon request.</w:t>
      </w:r>
    </w:p>
    <w:p>
      <w:pPr>
        <w:sectPr>
          <w:pgSz w:w="11880" w:h="15480" w:orient="portrait"/>
          <w:cols w:equalWidth="0" w:num="1">
            <w:col w:w="9874"/>
          </w:cols>
          <w:pgMar w:left="1006" w:top="626" w:right="1000" w:bottom="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110</w:t>
      </w:r>
    </w:p>
    <w:p>
      <w:pPr>
        <w:sectPr>
          <w:pgSz w:w="11880" w:h="15480" w:orient="portrait"/>
          <w:cols w:equalWidth="0" w:num="1">
            <w:col w:w="9874"/>
          </w:cols>
          <w:pgMar w:left="1006" w:top="626" w:right="1000" w:bottom="44" w:gutter="0" w:footer="0" w:header="0"/>
          <w:type w:val="continuous"/>
        </w:sectPr>
      </w:pPr>
    </w:p>
    <w:bookmarkStart w:id="112" w:name="page113"/>
    <w:bookmarkEnd w:id="112"/>
    <w:p>
      <w:pPr>
        <w:jc w:val="center"/>
        <w:ind w:right="-39"/>
        <w:spacing w:after="0"/>
        <w:rPr>
          <w:sz w:val="20"/>
          <w:szCs w:val="20"/>
          <w:color w:val="auto"/>
        </w:rPr>
      </w:pPr>
      <w:r>
        <w:rPr>
          <w:rFonts w:ascii="Arial" w:cs="Arial" w:eastAsia="Arial" w:hAnsi="Arial"/>
          <w:sz w:val="19"/>
          <w:szCs w:val="19"/>
          <w:b w:val="1"/>
          <w:bCs w:val="1"/>
          <w:color w:val="auto"/>
        </w:rPr>
        <w:t>SIGNATURES</w:t>
      </w:r>
    </w:p>
    <w:p>
      <w:pPr>
        <w:spacing w:after="0" w:line="196"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Pursuant to the requirements of Section 13 or 15(d) of the Securities Exchange Act of 1934, each registrant has duly caused this report to be signed on its behalf by the undersigned, thereunto duly authorized.</w:t>
      </w:r>
    </w:p>
    <w:p>
      <w:pPr>
        <w:spacing w:after="0" w:line="317"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UNITED AIRLINES HOLDINGS, INC.</w:t>
      </w:r>
    </w:p>
    <w:p>
      <w:pPr>
        <w:ind w:left="5180"/>
        <w:spacing w:after="0" w:line="213" w:lineRule="auto"/>
        <w:rPr>
          <w:sz w:val="20"/>
          <w:szCs w:val="20"/>
          <w:color w:val="auto"/>
        </w:rPr>
      </w:pPr>
      <w:r>
        <w:rPr>
          <w:rFonts w:ascii="Arial" w:cs="Arial" w:eastAsia="Arial" w:hAnsi="Arial"/>
          <w:sz w:val="19"/>
          <w:szCs w:val="19"/>
          <w:color w:val="auto"/>
        </w:rPr>
        <w:t>UNITED AIRLINES, INC.</w:t>
      </w:r>
    </w:p>
    <w:p>
      <w:pPr>
        <w:ind w:left="5180"/>
        <w:spacing w:after="0"/>
        <w:rPr>
          <w:sz w:val="20"/>
          <w:szCs w:val="20"/>
          <w:color w:val="auto"/>
        </w:rPr>
      </w:pPr>
      <w:r>
        <w:rPr>
          <w:rFonts w:ascii="Arial" w:cs="Arial" w:eastAsia="Arial" w:hAnsi="Arial"/>
          <w:sz w:val="19"/>
          <w:szCs w:val="19"/>
          <w:color w:val="auto"/>
        </w:rPr>
        <w:t>(Registrants)</w:t>
      </w:r>
    </w:p>
    <w:p>
      <w:pPr>
        <w:spacing w:after="0" w:line="200" w:lineRule="exact"/>
        <w:rPr>
          <w:sz w:val="20"/>
          <w:szCs w:val="20"/>
          <w:color w:val="auto"/>
        </w:rPr>
      </w:pPr>
    </w:p>
    <w:p>
      <w:pPr>
        <w:spacing w:after="0" w:line="353" w:lineRule="exact"/>
        <w:rPr>
          <w:sz w:val="20"/>
          <w:szCs w:val="20"/>
          <w:color w:val="auto"/>
        </w:rPr>
      </w:pPr>
    </w:p>
    <w:p>
      <w:pPr>
        <w:ind w:left="4640"/>
        <w:spacing w:after="0"/>
        <w:tabs>
          <w:tab w:leader="none" w:pos="5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9"/>
          <w:szCs w:val="19"/>
          <w:color w:val="auto"/>
        </w:rPr>
        <w:t>/s/ Michael Leskinen</w:t>
      </w:r>
    </w:p>
    <w:p>
      <w:pPr>
        <w:spacing w:after="0" w:line="38"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Michael Leskinen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3254375</wp:posOffset>
                </wp:positionH>
                <wp:positionV relativeFrom="paragraph">
                  <wp:posOffset>-132080</wp:posOffset>
                </wp:positionV>
                <wp:extent cx="3030855"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8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25pt,-10.3999pt" to="494.9pt,-10.3999pt" o:allowincell="f" strokecolor="#000000" strokeweight="0.97pt"/>
            </w:pict>
          </mc:Fallback>
        </mc:AlternateContent>
      </w:r>
    </w:p>
    <w:p>
      <w:pPr>
        <w:spacing w:after="0" w:line="87"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Executive Vice President and Chief Financial Officer</w:t>
      </w:r>
    </w:p>
    <w:p>
      <w:pPr>
        <w:spacing w:after="0" w:line="364" w:lineRule="exact"/>
        <w:rPr>
          <w:sz w:val="20"/>
          <w:szCs w:val="20"/>
          <w:color w:val="auto"/>
        </w:rPr>
      </w:pPr>
    </w:p>
    <w:p>
      <w:pPr>
        <w:ind w:left="4460"/>
        <w:spacing w:after="0"/>
        <w:tabs>
          <w:tab w:leader="none" w:pos="516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February 12, 2026</w:t>
      </w:r>
    </w:p>
    <w:p>
      <w:pPr>
        <w:spacing w:after="0" w:line="200" w:lineRule="exact"/>
        <w:rPr>
          <w:sz w:val="20"/>
          <w:szCs w:val="20"/>
          <w:color w:val="auto"/>
        </w:rPr>
      </w:pPr>
    </w:p>
    <w:p>
      <w:pPr>
        <w:spacing w:after="0" w:line="341" w:lineRule="exact"/>
        <w:rPr>
          <w:sz w:val="20"/>
          <w:szCs w:val="20"/>
          <w:color w:val="auto"/>
        </w:rPr>
      </w:pPr>
    </w:p>
    <w:p>
      <w:pPr>
        <w:ind w:right="580"/>
        <w:spacing w:after="0" w:line="294"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United Airlines Holdings, Inc. and in the capacities and on the date indicated.</w:t>
      </w:r>
    </w:p>
    <w:p>
      <w:pPr>
        <w:spacing w:after="0" w:line="200" w:lineRule="exact"/>
        <w:rPr>
          <w:sz w:val="20"/>
          <w:szCs w:val="20"/>
          <w:color w:val="auto"/>
        </w:rPr>
      </w:pPr>
    </w:p>
    <w:p>
      <w:pPr>
        <w:spacing w:after="0" w:line="224" w:lineRule="exact"/>
        <w:rPr>
          <w:sz w:val="20"/>
          <w:szCs w:val="20"/>
          <w:color w:val="auto"/>
        </w:rPr>
      </w:pPr>
    </w:p>
    <w:p>
      <w:pPr>
        <w:ind w:left="100"/>
        <w:spacing w:after="0"/>
        <w:tabs>
          <w:tab w:leader="none" w:pos="3620" w:val="left"/>
        </w:tabs>
        <w:rPr>
          <w:sz w:val="20"/>
          <w:szCs w:val="20"/>
          <w:color w:val="auto"/>
        </w:rPr>
      </w:pPr>
      <w:r>
        <w:rPr>
          <w:rFonts w:ascii="Arial" w:cs="Arial" w:eastAsia="Arial" w:hAnsi="Arial"/>
          <w:sz w:val="19"/>
          <w:szCs w:val="19"/>
          <w:color w:val="auto"/>
        </w:rPr>
        <w:t>Signature</w:t>
      </w:r>
      <w:r>
        <w:rPr>
          <w:sz w:val="20"/>
          <w:szCs w:val="20"/>
          <w:color w:val="auto"/>
        </w:rPr>
        <w:tab/>
      </w:r>
      <w:r>
        <w:rPr>
          <w:rFonts w:ascii="Arial" w:cs="Arial" w:eastAsia="Arial" w:hAnsi="Arial"/>
          <w:sz w:val="19"/>
          <w:szCs w:val="19"/>
          <w:color w:val="auto"/>
        </w:rPr>
        <w:t>Capacity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29845</wp:posOffset>
                </wp:positionV>
                <wp:extent cx="2098040"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804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pt,2.35pt" to="167.5pt,2.35pt" o:allowincell="f" strokecolor="#000000" strokeweight="0.97pt"/>
            </w:pict>
          </mc:Fallback>
        </mc:AlternateContent>
        <mc:AlternateContent>
          <mc:Choice Requires="wps">
            <w:drawing>
              <wp:anchor simplePos="0" relativeHeight="251657728" behindDoc="1" locked="0" layoutInCell="0" allowOverlap="1">
                <wp:simplePos x="0" y="0"/>
                <wp:positionH relativeFrom="column">
                  <wp:posOffset>2284095</wp:posOffset>
                </wp:positionH>
                <wp:positionV relativeFrom="paragraph">
                  <wp:posOffset>29845</wp:posOffset>
                </wp:positionV>
                <wp:extent cx="2106930"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693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85pt,2.35pt" to="345.75pt,2.35pt" o:allowincell="f" strokecolor="#000000" strokeweight="0.97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J. Scott Kirby</w:t>
            </w:r>
          </w:p>
        </w:tc>
        <w:tc>
          <w:tcPr>
            <w:tcW w:w="3060" w:type="dxa"/>
            <w:vAlign w:val="bottom"/>
          </w:tcPr>
          <w:p>
            <w:pPr>
              <w:ind w:left="280"/>
              <w:spacing w:after="0"/>
              <w:rPr>
                <w:sz w:val="20"/>
                <w:szCs w:val="20"/>
                <w:color w:val="auto"/>
              </w:rPr>
            </w:pPr>
            <w:r>
              <w:rPr>
                <w:rFonts w:ascii="Arial" w:cs="Arial" w:eastAsia="Arial" w:hAnsi="Arial"/>
                <w:sz w:val="19"/>
                <w:szCs w:val="19"/>
                <w:color w:val="auto"/>
              </w:rPr>
              <w:t>Chief Executive Officer, Director</w:t>
            </w:r>
          </w:p>
        </w:tc>
        <w:tc>
          <w:tcPr>
            <w:tcW w:w="0" w:type="dxa"/>
            <w:vAlign w:val="bottom"/>
          </w:tcPr>
          <w:p>
            <w:pPr>
              <w:spacing w:after="0"/>
              <w:rPr>
                <w:sz w:val="1"/>
                <w:szCs w:val="1"/>
                <w:color w:val="auto"/>
              </w:rPr>
            </w:pPr>
          </w:p>
        </w:tc>
      </w:tr>
      <w:tr>
        <w:trPr>
          <w:trHeight w:val="269"/>
        </w:trPr>
        <w:tc>
          <w:tcPr>
            <w:tcW w:w="3320" w:type="dxa"/>
            <w:vAlign w:val="bottom"/>
          </w:tcPr>
          <w:p>
            <w:pPr>
              <w:ind w:left="60"/>
              <w:spacing w:after="0"/>
              <w:rPr>
                <w:sz w:val="20"/>
                <w:szCs w:val="20"/>
                <w:color w:val="auto"/>
              </w:rPr>
            </w:pPr>
            <w:r>
              <w:rPr>
                <w:rFonts w:ascii="Arial" w:cs="Arial" w:eastAsia="Arial" w:hAnsi="Arial"/>
                <w:sz w:val="19"/>
                <w:szCs w:val="19"/>
                <w:color w:val="auto"/>
              </w:rPr>
              <w:t>J. Scott Kirby</w:t>
            </w:r>
          </w:p>
        </w:tc>
        <w:tc>
          <w:tcPr>
            <w:tcW w:w="3060" w:type="dxa"/>
            <w:vAlign w:val="bottom"/>
          </w:tcPr>
          <w:p>
            <w:pPr>
              <w:ind w:left="280"/>
              <w:spacing w:after="0"/>
              <w:rPr>
                <w:sz w:val="20"/>
                <w:szCs w:val="20"/>
                <w:color w:val="auto"/>
              </w:rPr>
            </w:pPr>
            <w:r>
              <w:rPr>
                <w:rFonts w:ascii="Arial" w:cs="Arial" w:eastAsia="Arial" w:hAnsi="Arial"/>
                <w:sz w:val="19"/>
                <w:szCs w:val="19"/>
                <w:color w:val="auto"/>
              </w:rPr>
              <w:t>(Principal Executive Officer)</w:t>
            </w:r>
          </w:p>
        </w:tc>
        <w:tc>
          <w:tcPr>
            <w:tcW w:w="0" w:type="dxa"/>
            <w:vAlign w:val="bottom"/>
          </w:tcPr>
          <w:p>
            <w:pPr>
              <w:spacing w:after="0"/>
              <w:rPr>
                <w:sz w:val="1"/>
                <w:szCs w:val="1"/>
                <w:color w:val="auto"/>
              </w:rPr>
            </w:pPr>
          </w:p>
        </w:tc>
      </w:tr>
      <w:tr>
        <w:trPr>
          <w:trHeight w:val="519"/>
        </w:trPr>
        <w:tc>
          <w:tcPr>
            <w:tcW w:w="3320" w:type="dxa"/>
            <w:vAlign w:val="bottom"/>
            <w:vMerge w:val="restart"/>
          </w:tcPr>
          <w:p>
            <w:pPr>
              <w:ind w:left="60"/>
              <w:spacing w:after="0"/>
              <w:rPr>
                <w:sz w:val="20"/>
                <w:szCs w:val="20"/>
                <w:color w:val="auto"/>
              </w:rPr>
            </w:pPr>
            <w:r>
              <w:rPr>
                <w:rFonts w:ascii="Arial" w:cs="Arial" w:eastAsia="Arial" w:hAnsi="Arial"/>
                <w:sz w:val="19"/>
                <w:szCs w:val="19"/>
                <w:color w:val="auto"/>
              </w:rPr>
              <w:t>/s/ Michael Leskinen</w:t>
            </w:r>
          </w:p>
        </w:tc>
        <w:tc>
          <w:tcPr>
            <w:tcW w:w="3060" w:type="dxa"/>
            <w:vAlign w:val="bottom"/>
          </w:tcPr>
          <w:p>
            <w:pPr>
              <w:ind w:left="280"/>
              <w:spacing w:after="0"/>
              <w:rPr>
                <w:sz w:val="20"/>
                <w:szCs w:val="20"/>
                <w:color w:val="auto"/>
              </w:rPr>
            </w:pPr>
            <w:r>
              <w:rPr>
                <w:rFonts w:ascii="Arial" w:cs="Arial" w:eastAsia="Arial" w:hAnsi="Arial"/>
                <w:sz w:val="19"/>
                <w:szCs w:val="19"/>
                <w:color w:val="auto"/>
                <w:w w:val="92"/>
              </w:rPr>
              <w:t>Executive Vice President and Chief</w:t>
            </w:r>
          </w:p>
        </w:tc>
        <w:tc>
          <w:tcPr>
            <w:tcW w:w="0" w:type="dxa"/>
            <w:vAlign w:val="bottom"/>
          </w:tcPr>
          <w:p>
            <w:pPr>
              <w:spacing w:after="0"/>
              <w:rPr>
                <w:sz w:val="1"/>
                <w:szCs w:val="1"/>
                <w:color w:val="auto"/>
              </w:rPr>
            </w:pPr>
          </w:p>
        </w:tc>
      </w:tr>
      <w:tr>
        <w:trPr>
          <w:trHeight w:val="260"/>
        </w:trPr>
        <w:tc>
          <w:tcPr>
            <w:tcW w:w="3320" w:type="dxa"/>
            <w:vAlign w:val="bottom"/>
            <w:tcBorders>
              <w:bottom w:val="single" w:sz="8" w:color="auto"/>
            </w:tcBorders>
            <w:vMerge w:val="continue"/>
          </w:tcPr>
          <w:p>
            <w:pPr>
              <w:spacing w:after="0"/>
              <w:rPr>
                <w:sz w:val="22"/>
                <w:szCs w:val="22"/>
                <w:color w:val="auto"/>
              </w:rPr>
            </w:pPr>
          </w:p>
        </w:tc>
        <w:tc>
          <w:tcPr>
            <w:tcW w:w="3060" w:type="dxa"/>
            <w:vAlign w:val="bottom"/>
          </w:tcPr>
          <w:p>
            <w:pPr>
              <w:ind w:left="280"/>
              <w:spacing w:after="0"/>
              <w:rPr>
                <w:sz w:val="20"/>
                <w:szCs w:val="20"/>
                <w:color w:val="auto"/>
              </w:rPr>
            </w:pPr>
            <w:r>
              <w:rPr>
                <w:rFonts w:ascii="Arial" w:cs="Arial" w:eastAsia="Arial" w:hAnsi="Arial"/>
                <w:sz w:val="19"/>
                <w:szCs w:val="19"/>
                <w:color w:val="auto"/>
              </w:rPr>
              <w:t>Financial Officer</w:t>
            </w:r>
          </w:p>
        </w:tc>
        <w:tc>
          <w:tcPr>
            <w:tcW w:w="0" w:type="dxa"/>
            <w:vAlign w:val="bottom"/>
          </w:tcPr>
          <w:p>
            <w:pPr>
              <w:spacing w:after="0"/>
              <w:rPr>
                <w:sz w:val="1"/>
                <w:szCs w:val="1"/>
                <w:color w:val="auto"/>
              </w:rPr>
            </w:pPr>
          </w:p>
        </w:tc>
      </w:tr>
      <w:tr>
        <w:trPr>
          <w:trHeight w:val="269"/>
        </w:trPr>
        <w:tc>
          <w:tcPr>
            <w:tcW w:w="3320" w:type="dxa"/>
            <w:vAlign w:val="bottom"/>
          </w:tcPr>
          <w:p>
            <w:pPr>
              <w:ind w:left="60"/>
              <w:spacing w:after="0"/>
              <w:rPr>
                <w:sz w:val="20"/>
                <w:szCs w:val="20"/>
                <w:color w:val="auto"/>
              </w:rPr>
            </w:pPr>
            <w:r>
              <w:rPr>
                <w:rFonts w:ascii="Arial" w:cs="Arial" w:eastAsia="Arial" w:hAnsi="Arial"/>
                <w:sz w:val="19"/>
                <w:szCs w:val="19"/>
                <w:color w:val="auto"/>
              </w:rPr>
              <w:t>Michael Leskinen</w:t>
            </w:r>
          </w:p>
        </w:tc>
        <w:tc>
          <w:tcPr>
            <w:tcW w:w="3060" w:type="dxa"/>
            <w:vAlign w:val="bottom"/>
          </w:tcPr>
          <w:p>
            <w:pPr>
              <w:ind w:left="280"/>
              <w:spacing w:after="0"/>
              <w:rPr>
                <w:sz w:val="20"/>
                <w:szCs w:val="20"/>
                <w:color w:val="auto"/>
              </w:rPr>
            </w:pPr>
            <w:r>
              <w:rPr>
                <w:rFonts w:ascii="Arial" w:cs="Arial" w:eastAsia="Arial" w:hAnsi="Arial"/>
                <w:sz w:val="19"/>
                <w:szCs w:val="19"/>
                <w:color w:val="auto"/>
              </w:rPr>
              <w:t>(Principal Financial Officer)</w:t>
            </w:r>
          </w:p>
        </w:tc>
        <w:tc>
          <w:tcPr>
            <w:tcW w:w="0" w:type="dxa"/>
            <w:vAlign w:val="bottom"/>
          </w:tcPr>
          <w:p>
            <w:pPr>
              <w:spacing w:after="0"/>
              <w:rPr>
                <w:sz w:val="1"/>
                <w:szCs w:val="1"/>
                <w:color w:val="auto"/>
              </w:rPr>
            </w:pPr>
          </w:p>
        </w:tc>
      </w:tr>
      <w:tr>
        <w:trPr>
          <w:trHeight w:val="774"/>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Brigitte Bokemeier</w:t>
            </w:r>
          </w:p>
        </w:tc>
        <w:tc>
          <w:tcPr>
            <w:tcW w:w="3060" w:type="dxa"/>
            <w:vAlign w:val="bottom"/>
          </w:tcPr>
          <w:p>
            <w:pPr>
              <w:ind w:left="280"/>
              <w:spacing w:after="0"/>
              <w:rPr>
                <w:sz w:val="20"/>
                <w:szCs w:val="20"/>
                <w:color w:val="auto"/>
              </w:rPr>
            </w:pPr>
            <w:r>
              <w:rPr>
                <w:rFonts w:ascii="Arial" w:cs="Arial" w:eastAsia="Arial" w:hAnsi="Arial"/>
                <w:sz w:val="19"/>
                <w:szCs w:val="19"/>
                <w:color w:val="auto"/>
              </w:rPr>
              <w:t>Vice President and Controller</w:t>
            </w:r>
          </w:p>
        </w:tc>
        <w:tc>
          <w:tcPr>
            <w:tcW w:w="0" w:type="dxa"/>
            <w:vAlign w:val="bottom"/>
          </w:tcPr>
          <w:p>
            <w:pPr>
              <w:spacing w:after="0"/>
              <w:rPr>
                <w:sz w:val="1"/>
                <w:szCs w:val="1"/>
                <w:color w:val="auto"/>
              </w:rPr>
            </w:pPr>
          </w:p>
        </w:tc>
      </w:tr>
      <w:tr>
        <w:trPr>
          <w:trHeight w:val="269"/>
        </w:trPr>
        <w:tc>
          <w:tcPr>
            <w:tcW w:w="3320" w:type="dxa"/>
            <w:vAlign w:val="bottom"/>
          </w:tcPr>
          <w:p>
            <w:pPr>
              <w:ind w:left="60"/>
              <w:spacing w:after="0"/>
              <w:rPr>
                <w:sz w:val="20"/>
                <w:szCs w:val="20"/>
                <w:color w:val="auto"/>
              </w:rPr>
            </w:pPr>
            <w:r>
              <w:rPr>
                <w:rFonts w:ascii="Arial" w:cs="Arial" w:eastAsia="Arial" w:hAnsi="Arial"/>
                <w:sz w:val="19"/>
                <w:szCs w:val="19"/>
                <w:color w:val="auto"/>
              </w:rPr>
              <w:t>Brigitte Bokemeier</w:t>
            </w:r>
          </w:p>
        </w:tc>
        <w:tc>
          <w:tcPr>
            <w:tcW w:w="3060" w:type="dxa"/>
            <w:vAlign w:val="bottom"/>
          </w:tcPr>
          <w:p>
            <w:pPr>
              <w:ind w:left="280"/>
              <w:spacing w:after="0"/>
              <w:rPr>
                <w:sz w:val="20"/>
                <w:szCs w:val="20"/>
                <w:color w:val="auto"/>
              </w:rPr>
            </w:pPr>
            <w:r>
              <w:rPr>
                <w:rFonts w:ascii="Arial" w:cs="Arial" w:eastAsia="Arial" w:hAnsi="Arial"/>
                <w:sz w:val="19"/>
                <w:szCs w:val="19"/>
                <w:color w:val="auto"/>
              </w:rPr>
              <w:t>(Principal Accounting Officer)</w:t>
            </w:r>
          </w:p>
        </w:tc>
        <w:tc>
          <w:tcPr>
            <w:tcW w:w="0" w:type="dxa"/>
            <w:vAlign w:val="bottom"/>
          </w:tcPr>
          <w:p>
            <w:pPr>
              <w:spacing w:after="0"/>
              <w:rPr>
                <w:sz w:val="1"/>
                <w:szCs w:val="1"/>
                <w:color w:val="auto"/>
              </w:rPr>
            </w:pPr>
          </w:p>
        </w:tc>
      </w:tr>
      <w:tr>
        <w:trPr>
          <w:trHeight w:val="774"/>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Rosalind G. Brewer</w:t>
            </w:r>
          </w:p>
        </w:tc>
        <w:tc>
          <w:tcPr>
            <w:tcW w:w="3060" w:type="dxa"/>
            <w:vAlign w:val="bottom"/>
          </w:tcPr>
          <w:p>
            <w:pPr>
              <w:ind w:left="280"/>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269"/>
        </w:trPr>
        <w:tc>
          <w:tcPr>
            <w:tcW w:w="3320" w:type="dxa"/>
            <w:vAlign w:val="bottom"/>
          </w:tcPr>
          <w:p>
            <w:pPr>
              <w:ind w:left="60"/>
              <w:spacing w:after="0"/>
              <w:rPr>
                <w:sz w:val="20"/>
                <w:szCs w:val="20"/>
                <w:color w:val="auto"/>
              </w:rPr>
            </w:pPr>
            <w:r>
              <w:rPr>
                <w:rFonts w:ascii="Arial" w:cs="Arial" w:eastAsia="Arial" w:hAnsi="Arial"/>
                <w:sz w:val="19"/>
                <w:szCs w:val="19"/>
                <w:color w:val="auto"/>
              </w:rPr>
              <w:t>Rosalind G. Brewer</w:t>
            </w: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4"/>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Michelle Freyre</w:t>
            </w:r>
          </w:p>
        </w:tc>
        <w:tc>
          <w:tcPr>
            <w:tcW w:w="3060" w:type="dxa"/>
            <w:vAlign w:val="bottom"/>
          </w:tcPr>
          <w:p>
            <w:pPr>
              <w:ind w:left="280"/>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269"/>
        </w:trPr>
        <w:tc>
          <w:tcPr>
            <w:tcW w:w="3320" w:type="dxa"/>
            <w:vAlign w:val="bottom"/>
          </w:tcPr>
          <w:p>
            <w:pPr>
              <w:ind w:left="60"/>
              <w:spacing w:after="0"/>
              <w:rPr>
                <w:sz w:val="20"/>
                <w:szCs w:val="20"/>
                <w:color w:val="auto"/>
              </w:rPr>
            </w:pPr>
            <w:r>
              <w:rPr>
                <w:rFonts w:ascii="Arial" w:cs="Arial" w:eastAsia="Arial" w:hAnsi="Arial"/>
                <w:sz w:val="19"/>
                <w:szCs w:val="19"/>
                <w:color w:val="auto"/>
              </w:rPr>
              <w:t>Michelle Freyre</w:t>
            </w: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4"/>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Matthew Friend</w:t>
            </w:r>
          </w:p>
        </w:tc>
        <w:tc>
          <w:tcPr>
            <w:tcW w:w="3060" w:type="dxa"/>
            <w:vAlign w:val="bottom"/>
          </w:tcPr>
          <w:p>
            <w:pPr>
              <w:ind w:left="280"/>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269"/>
        </w:trPr>
        <w:tc>
          <w:tcPr>
            <w:tcW w:w="3320" w:type="dxa"/>
            <w:vAlign w:val="bottom"/>
          </w:tcPr>
          <w:p>
            <w:pPr>
              <w:ind w:left="60"/>
              <w:spacing w:after="0"/>
              <w:rPr>
                <w:sz w:val="20"/>
                <w:szCs w:val="20"/>
                <w:color w:val="auto"/>
              </w:rPr>
            </w:pPr>
            <w:r>
              <w:rPr>
                <w:rFonts w:ascii="Arial" w:cs="Arial" w:eastAsia="Arial" w:hAnsi="Arial"/>
                <w:sz w:val="19"/>
                <w:szCs w:val="19"/>
                <w:color w:val="auto"/>
              </w:rPr>
              <w:t>Matthew Friend</w:t>
            </w: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4"/>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Barney Harford</w:t>
            </w:r>
          </w:p>
        </w:tc>
        <w:tc>
          <w:tcPr>
            <w:tcW w:w="3060" w:type="dxa"/>
            <w:vAlign w:val="bottom"/>
          </w:tcPr>
          <w:p>
            <w:pPr>
              <w:ind w:left="280"/>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269"/>
        </w:trPr>
        <w:tc>
          <w:tcPr>
            <w:tcW w:w="3320" w:type="dxa"/>
            <w:vAlign w:val="bottom"/>
          </w:tcPr>
          <w:p>
            <w:pPr>
              <w:ind w:left="60"/>
              <w:spacing w:after="0"/>
              <w:rPr>
                <w:sz w:val="20"/>
                <w:szCs w:val="20"/>
                <w:color w:val="auto"/>
              </w:rPr>
            </w:pPr>
            <w:r>
              <w:rPr>
                <w:rFonts w:ascii="Arial" w:cs="Arial" w:eastAsia="Arial" w:hAnsi="Arial"/>
                <w:sz w:val="19"/>
                <w:szCs w:val="19"/>
                <w:color w:val="auto"/>
              </w:rPr>
              <w:t>Barney Harford</w:t>
            </w: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20"/>
          </w:cols>
          <w:pgMar w:left="960" w:top="579" w:right="1000" w:bottom="45"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111</w:t>
      </w:r>
    </w:p>
    <w:p>
      <w:pPr>
        <w:sectPr>
          <w:pgSz w:w="11880" w:h="15480" w:orient="portrait"/>
          <w:cols w:equalWidth="0" w:num="1">
            <w:col w:w="9920"/>
          </w:cols>
          <w:pgMar w:left="960" w:top="579" w:right="1000" w:bottom="45"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56"/>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Michele J. Hooper</w:t>
            </w:r>
          </w:p>
        </w:tc>
        <w:tc>
          <w:tcPr>
            <w:tcW w:w="940" w:type="dxa"/>
            <w:vAlign w:val="bottom"/>
          </w:tcPr>
          <w:p>
            <w:pPr>
              <w:ind w:left="280"/>
              <w:spacing w:after="0"/>
              <w:rPr>
                <w:sz w:val="20"/>
                <w:szCs w:val="20"/>
                <w:color w:val="auto"/>
              </w:rPr>
            </w:pPr>
            <w:r>
              <w:rPr>
                <w:rFonts w:ascii="Arial" w:cs="Arial" w:eastAsia="Arial" w:hAnsi="Arial"/>
                <w:sz w:val="19"/>
                <w:szCs w:val="19"/>
                <w:color w:val="auto"/>
                <w:w w:val="96"/>
              </w:rPr>
              <w:t>Director</w:t>
            </w:r>
          </w:p>
        </w:tc>
      </w:tr>
      <w:tr>
        <w:trPr>
          <w:trHeight w:val="269"/>
        </w:trPr>
        <w:tc>
          <w:tcPr>
            <w:tcW w:w="3320" w:type="dxa"/>
            <w:vAlign w:val="bottom"/>
          </w:tcPr>
          <w:p>
            <w:pPr>
              <w:ind w:left="60"/>
              <w:spacing w:after="0"/>
              <w:rPr>
                <w:sz w:val="20"/>
                <w:szCs w:val="20"/>
                <w:color w:val="auto"/>
              </w:rPr>
            </w:pPr>
            <w:r>
              <w:rPr>
                <w:rFonts w:ascii="Arial" w:cs="Arial" w:eastAsia="Arial" w:hAnsi="Arial"/>
                <w:sz w:val="19"/>
                <w:szCs w:val="19"/>
                <w:color w:val="auto"/>
              </w:rPr>
              <w:t>Michele J. Hooper</w:t>
            </w:r>
          </w:p>
        </w:tc>
        <w:tc>
          <w:tcPr>
            <w:tcW w:w="940" w:type="dxa"/>
            <w:vAlign w:val="bottom"/>
          </w:tcPr>
          <w:p>
            <w:pPr>
              <w:spacing w:after="0"/>
              <w:rPr>
                <w:sz w:val="23"/>
                <w:szCs w:val="23"/>
                <w:color w:val="auto"/>
              </w:rPr>
            </w:pPr>
          </w:p>
        </w:tc>
      </w:tr>
      <w:tr>
        <w:trPr>
          <w:trHeight w:val="774"/>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Walter Isaacson</w:t>
            </w:r>
          </w:p>
        </w:tc>
        <w:tc>
          <w:tcPr>
            <w:tcW w:w="940" w:type="dxa"/>
            <w:vAlign w:val="bottom"/>
          </w:tcPr>
          <w:p>
            <w:pPr>
              <w:ind w:left="280"/>
              <w:spacing w:after="0"/>
              <w:rPr>
                <w:sz w:val="20"/>
                <w:szCs w:val="20"/>
                <w:color w:val="auto"/>
              </w:rPr>
            </w:pPr>
            <w:r>
              <w:rPr>
                <w:rFonts w:ascii="Arial" w:cs="Arial" w:eastAsia="Arial" w:hAnsi="Arial"/>
                <w:sz w:val="19"/>
                <w:szCs w:val="19"/>
                <w:color w:val="auto"/>
                <w:w w:val="96"/>
              </w:rPr>
              <w:t>Director</w:t>
            </w:r>
          </w:p>
        </w:tc>
      </w:tr>
      <w:tr>
        <w:trPr>
          <w:trHeight w:val="269"/>
        </w:trPr>
        <w:tc>
          <w:tcPr>
            <w:tcW w:w="3320" w:type="dxa"/>
            <w:vAlign w:val="bottom"/>
          </w:tcPr>
          <w:p>
            <w:pPr>
              <w:ind w:left="60"/>
              <w:spacing w:after="0"/>
              <w:rPr>
                <w:sz w:val="20"/>
                <w:szCs w:val="20"/>
                <w:color w:val="auto"/>
              </w:rPr>
            </w:pPr>
            <w:r>
              <w:rPr>
                <w:rFonts w:ascii="Arial" w:cs="Arial" w:eastAsia="Arial" w:hAnsi="Arial"/>
                <w:sz w:val="19"/>
                <w:szCs w:val="19"/>
                <w:color w:val="auto"/>
              </w:rPr>
              <w:t>Walter Isaacson</w:t>
            </w:r>
          </w:p>
        </w:tc>
        <w:tc>
          <w:tcPr>
            <w:tcW w:w="940" w:type="dxa"/>
            <w:vAlign w:val="bottom"/>
          </w:tcPr>
          <w:p>
            <w:pPr>
              <w:spacing w:after="0"/>
              <w:rPr>
                <w:sz w:val="23"/>
                <w:szCs w:val="23"/>
                <w:color w:val="auto"/>
              </w:rPr>
            </w:pPr>
          </w:p>
        </w:tc>
      </w:tr>
      <w:tr>
        <w:trPr>
          <w:trHeight w:val="774"/>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Richard Johnsen</w:t>
            </w:r>
          </w:p>
        </w:tc>
        <w:tc>
          <w:tcPr>
            <w:tcW w:w="940" w:type="dxa"/>
            <w:vAlign w:val="bottom"/>
          </w:tcPr>
          <w:p>
            <w:pPr>
              <w:ind w:left="280"/>
              <w:spacing w:after="0"/>
              <w:rPr>
                <w:sz w:val="20"/>
                <w:szCs w:val="20"/>
                <w:color w:val="auto"/>
              </w:rPr>
            </w:pPr>
            <w:r>
              <w:rPr>
                <w:rFonts w:ascii="Arial" w:cs="Arial" w:eastAsia="Arial" w:hAnsi="Arial"/>
                <w:sz w:val="19"/>
                <w:szCs w:val="19"/>
                <w:color w:val="auto"/>
                <w:w w:val="96"/>
              </w:rPr>
              <w:t>Director</w:t>
            </w:r>
          </w:p>
        </w:tc>
      </w:tr>
      <w:tr>
        <w:trPr>
          <w:trHeight w:val="269"/>
        </w:trPr>
        <w:tc>
          <w:tcPr>
            <w:tcW w:w="3320" w:type="dxa"/>
            <w:vAlign w:val="bottom"/>
          </w:tcPr>
          <w:p>
            <w:pPr>
              <w:ind w:left="60"/>
              <w:spacing w:after="0"/>
              <w:rPr>
                <w:sz w:val="20"/>
                <w:szCs w:val="20"/>
                <w:color w:val="auto"/>
              </w:rPr>
            </w:pPr>
            <w:r>
              <w:rPr>
                <w:rFonts w:ascii="Arial" w:cs="Arial" w:eastAsia="Arial" w:hAnsi="Arial"/>
                <w:sz w:val="19"/>
                <w:szCs w:val="19"/>
                <w:color w:val="auto"/>
              </w:rPr>
              <w:t>Richard Johnsen</w:t>
            </w:r>
          </w:p>
        </w:tc>
        <w:tc>
          <w:tcPr>
            <w:tcW w:w="940" w:type="dxa"/>
            <w:vAlign w:val="bottom"/>
          </w:tcPr>
          <w:p>
            <w:pPr>
              <w:spacing w:after="0"/>
              <w:rPr>
                <w:sz w:val="23"/>
                <w:szCs w:val="23"/>
                <w:color w:val="auto"/>
              </w:rPr>
            </w:pPr>
          </w:p>
        </w:tc>
      </w:tr>
      <w:tr>
        <w:trPr>
          <w:trHeight w:val="774"/>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Brian Noyes</w:t>
            </w:r>
          </w:p>
        </w:tc>
        <w:tc>
          <w:tcPr>
            <w:tcW w:w="940" w:type="dxa"/>
            <w:vAlign w:val="bottom"/>
          </w:tcPr>
          <w:p>
            <w:pPr>
              <w:ind w:left="280"/>
              <w:spacing w:after="0"/>
              <w:rPr>
                <w:sz w:val="20"/>
                <w:szCs w:val="20"/>
                <w:color w:val="auto"/>
              </w:rPr>
            </w:pPr>
            <w:r>
              <w:rPr>
                <w:rFonts w:ascii="Arial" w:cs="Arial" w:eastAsia="Arial" w:hAnsi="Arial"/>
                <w:sz w:val="19"/>
                <w:szCs w:val="19"/>
                <w:color w:val="auto"/>
                <w:w w:val="96"/>
              </w:rPr>
              <w:t>Director</w:t>
            </w:r>
          </w:p>
        </w:tc>
      </w:tr>
      <w:tr>
        <w:trPr>
          <w:trHeight w:val="269"/>
        </w:trPr>
        <w:tc>
          <w:tcPr>
            <w:tcW w:w="3320" w:type="dxa"/>
            <w:vAlign w:val="bottom"/>
          </w:tcPr>
          <w:p>
            <w:pPr>
              <w:ind w:left="60"/>
              <w:spacing w:after="0"/>
              <w:rPr>
                <w:sz w:val="20"/>
                <w:szCs w:val="20"/>
                <w:color w:val="auto"/>
              </w:rPr>
            </w:pPr>
            <w:r>
              <w:rPr>
                <w:rFonts w:ascii="Arial" w:cs="Arial" w:eastAsia="Arial" w:hAnsi="Arial"/>
                <w:sz w:val="19"/>
                <w:szCs w:val="19"/>
                <w:color w:val="auto"/>
              </w:rPr>
              <w:t>Brian Noyes</w:t>
            </w:r>
          </w:p>
        </w:tc>
        <w:tc>
          <w:tcPr>
            <w:tcW w:w="940" w:type="dxa"/>
            <w:vAlign w:val="bottom"/>
          </w:tcPr>
          <w:p>
            <w:pPr>
              <w:spacing w:after="0"/>
              <w:rPr>
                <w:sz w:val="23"/>
                <w:szCs w:val="23"/>
                <w:color w:val="auto"/>
              </w:rPr>
            </w:pPr>
          </w:p>
        </w:tc>
      </w:tr>
      <w:tr>
        <w:trPr>
          <w:trHeight w:val="774"/>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Edward M. Philip</w:t>
            </w:r>
          </w:p>
        </w:tc>
        <w:tc>
          <w:tcPr>
            <w:tcW w:w="940" w:type="dxa"/>
            <w:vAlign w:val="bottom"/>
          </w:tcPr>
          <w:p>
            <w:pPr>
              <w:ind w:left="280"/>
              <w:spacing w:after="0"/>
              <w:rPr>
                <w:sz w:val="20"/>
                <w:szCs w:val="20"/>
                <w:color w:val="auto"/>
              </w:rPr>
            </w:pPr>
            <w:r>
              <w:rPr>
                <w:rFonts w:ascii="Arial" w:cs="Arial" w:eastAsia="Arial" w:hAnsi="Arial"/>
                <w:sz w:val="19"/>
                <w:szCs w:val="19"/>
                <w:color w:val="auto"/>
                <w:w w:val="96"/>
              </w:rPr>
              <w:t>Director</w:t>
            </w:r>
          </w:p>
        </w:tc>
      </w:tr>
      <w:tr>
        <w:trPr>
          <w:trHeight w:val="269"/>
        </w:trPr>
        <w:tc>
          <w:tcPr>
            <w:tcW w:w="3320" w:type="dxa"/>
            <w:vAlign w:val="bottom"/>
          </w:tcPr>
          <w:p>
            <w:pPr>
              <w:ind w:left="60"/>
              <w:spacing w:after="0"/>
              <w:rPr>
                <w:sz w:val="20"/>
                <w:szCs w:val="20"/>
                <w:color w:val="auto"/>
              </w:rPr>
            </w:pPr>
            <w:r>
              <w:rPr>
                <w:rFonts w:ascii="Arial" w:cs="Arial" w:eastAsia="Arial" w:hAnsi="Arial"/>
                <w:sz w:val="19"/>
                <w:szCs w:val="19"/>
                <w:color w:val="auto"/>
              </w:rPr>
              <w:t>Edward M. Philip</w:t>
            </w:r>
          </w:p>
        </w:tc>
        <w:tc>
          <w:tcPr>
            <w:tcW w:w="940" w:type="dxa"/>
            <w:vAlign w:val="bottom"/>
          </w:tcPr>
          <w:p>
            <w:pPr>
              <w:spacing w:after="0"/>
              <w:rPr>
                <w:sz w:val="23"/>
                <w:szCs w:val="23"/>
                <w:color w:val="auto"/>
              </w:rPr>
            </w:pPr>
          </w:p>
        </w:tc>
      </w:tr>
      <w:tr>
        <w:trPr>
          <w:trHeight w:val="774"/>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Edward L. Shapiro</w:t>
            </w:r>
          </w:p>
        </w:tc>
        <w:tc>
          <w:tcPr>
            <w:tcW w:w="940" w:type="dxa"/>
            <w:vAlign w:val="bottom"/>
          </w:tcPr>
          <w:p>
            <w:pPr>
              <w:ind w:left="280"/>
              <w:spacing w:after="0"/>
              <w:rPr>
                <w:sz w:val="20"/>
                <w:szCs w:val="20"/>
                <w:color w:val="auto"/>
              </w:rPr>
            </w:pPr>
            <w:r>
              <w:rPr>
                <w:rFonts w:ascii="Arial" w:cs="Arial" w:eastAsia="Arial" w:hAnsi="Arial"/>
                <w:sz w:val="19"/>
                <w:szCs w:val="19"/>
                <w:color w:val="auto"/>
                <w:w w:val="96"/>
              </w:rPr>
              <w:t>Director</w:t>
            </w:r>
          </w:p>
        </w:tc>
      </w:tr>
      <w:tr>
        <w:trPr>
          <w:trHeight w:val="269"/>
        </w:trPr>
        <w:tc>
          <w:tcPr>
            <w:tcW w:w="3320" w:type="dxa"/>
            <w:vAlign w:val="bottom"/>
          </w:tcPr>
          <w:p>
            <w:pPr>
              <w:ind w:left="60"/>
              <w:spacing w:after="0"/>
              <w:rPr>
                <w:sz w:val="20"/>
                <w:szCs w:val="20"/>
                <w:color w:val="auto"/>
              </w:rPr>
            </w:pPr>
            <w:r>
              <w:rPr>
                <w:rFonts w:ascii="Arial" w:cs="Arial" w:eastAsia="Arial" w:hAnsi="Arial"/>
                <w:sz w:val="19"/>
                <w:szCs w:val="19"/>
                <w:color w:val="auto"/>
              </w:rPr>
              <w:t>Edward L. Shapiro</w:t>
            </w:r>
          </w:p>
        </w:tc>
        <w:tc>
          <w:tcPr>
            <w:tcW w:w="940" w:type="dxa"/>
            <w:vAlign w:val="bottom"/>
          </w:tcPr>
          <w:p>
            <w:pPr>
              <w:spacing w:after="0"/>
              <w:rPr>
                <w:sz w:val="23"/>
                <w:szCs w:val="23"/>
                <w:color w:val="auto"/>
              </w:rPr>
            </w:pPr>
          </w:p>
        </w:tc>
      </w:tr>
      <w:tr>
        <w:trPr>
          <w:trHeight w:val="774"/>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Laysha Ward</w:t>
            </w:r>
          </w:p>
        </w:tc>
        <w:tc>
          <w:tcPr>
            <w:tcW w:w="940" w:type="dxa"/>
            <w:vAlign w:val="bottom"/>
          </w:tcPr>
          <w:p>
            <w:pPr>
              <w:ind w:left="280"/>
              <w:spacing w:after="0"/>
              <w:rPr>
                <w:sz w:val="20"/>
                <w:szCs w:val="20"/>
                <w:color w:val="auto"/>
              </w:rPr>
            </w:pPr>
            <w:r>
              <w:rPr>
                <w:rFonts w:ascii="Arial" w:cs="Arial" w:eastAsia="Arial" w:hAnsi="Arial"/>
                <w:sz w:val="19"/>
                <w:szCs w:val="19"/>
                <w:color w:val="auto"/>
                <w:w w:val="96"/>
              </w:rPr>
              <w:t>Director</w:t>
            </w:r>
          </w:p>
        </w:tc>
      </w:tr>
      <w:tr>
        <w:trPr>
          <w:trHeight w:val="269"/>
        </w:trPr>
        <w:tc>
          <w:tcPr>
            <w:tcW w:w="3320" w:type="dxa"/>
            <w:vAlign w:val="bottom"/>
          </w:tcPr>
          <w:p>
            <w:pPr>
              <w:ind w:left="60"/>
              <w:spacing w:after="0"/>
              <w:rPr>
                <w:sz w:val="20"/>
                <w:szCs w:val="20"/>
                <w:color w:val="auto"/>
              </w:rPr>
            </w:pPr>
            <w:r>
              <w:rPr>
                <w:rFonts w:ascii="Arial" w:cs="Arial" w:eastAsia="Arial" w:hAnsi="Arial"/>
                <w:sz w:val="19"/>
                <w:szCs w:val="19"/>
                <w:color w:val="auto"/>
              </w:rPr>
              <w:t>Laysha Ward</w:t>
            </w:r>
          </w:p>
        </w:tc>
        <w:tc>
          <w:tcPr>
            <w:tcW w:w="940" w:type="dxa"/>
            <w:vAlign w:val="bottom"/>
          </w:tcPr>
          <w:p>
            <w:pPr>
              <w:spacing w:after="0"/>
              <w:rPr>
                <w:sz w:val="23"/>
                <w:szCs w:val="23"/>
                <w:color w:val="auto"/>
              </w:rPr>
            </w:pPr>
          </w:p>
        </w:tc>
      </w:tr>
      <w:tr>
        <w:trPr>
          <w:trHeight w:val="774"/>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James M. Whitehurst</w:t>
            </w:r>
          </w:p>
        </w:tc>
        <w:tc>
          <w:tcPr>
            <w:tcW w:w="940" w:type="dxa"/>
            <w:vAlign w:val="bottom"/>
          </w:tcPr>
          <w:p>
            <w:pPr>
              <w:ind w:left="280"/>
              <w:spacing w:after="0"/>
              <w:rPr>
                <w:sz w:val="20"/>
                <w:szCs w:val="20"/>
                <w:color w:val="auto"/>
              </w:rPr>
            </w:pPr>
            <w:r>
              <w:rPr>
                <w:rFonts w:ascii="Arial" w:cs="Arial" w:eastAsia="Arial" w:hAnsi="Arial"/>
                <w:sz w:val="19"/>
                <w:szCs w:val="19"/>
                <w:color w:val="auto"/>
                <w:w w:val="96"/>
              </w:rPr>
              <w:t>Director</w:t>
            </w:r>
          </w:p>
        </w:tc>
      </w:tr>
      <w:tr>
        <w:trPr>
          <w:trHeight w:val="269"/>
        </w:trPr>
        <w:tc>
          <w:tcPr>
            <w:tcW w:w="3320" w:type="dxa"/>
            <w:vAlign w:val="bottom"/>
          </w:tcPr>
          <w:p>
            <w:pPr>
              <w:ind w:left="60"/>
              <w:spacing w:after="0"/>
              <w:rPr>
                <w:sz w:val="20"/>
                <w:szCs w:val="20"/>
                <w:color w:val="auto"/>
              </w:rPr>
            </w:pPr>
            <w:r>
              <w:rPr>
                <w:rFonts w:ascii="Arial" w:cs="Arial" w:eastAsia="Arial" w:hAnsi="Arial"/>
                <w:sz w:val="19"/>
                <w:szCs w:val="19"/>
                <w:color w:val="auto"/>
              </w:rPr>
              <w:t>James M. Whitehurst</w:t>
            </w:r>
          </w:p>
        </w:tc>
        <w:tc>
          <w:tcPr>
            <w:tcW w:w="940" w:type="dxa"/>
            <w:vAlign w:val="bottom"/>
          </w:tcPr>
          <w:p>
            <w:pPr>
              <w:spacing w:after="0"/>
              <w:rPr>
                <w:sz w:val="23"/>
                <w:szCs w:val="23"/>
                <w:color w:val="auto"/>
              </w:rPr>
            </w:pPr>
          </w:p>
        </w:tc>
      </w:tr>
      <w:tr>
        <w:trPr>
          <w:trHeight w:val="889"/>
        </w:trPr>
        <w:tc>
          <w:tcPr>
            <w:tcW w:w="3320" w:type="dxa"/>
            <w:vAlign w:val="bottom"/>
          </w:tcPr>
          <w:p>
            <w:pPr>
              <w:ind w:left="20"/>
              <w:spacing w:after="0"/>
              <w:rPr>
                <w:sz w:val="20"/>
                <w:szCs w:val="20"/>
                <w:color w:val="auto"/>
              </w:rPr>
            </w:pPr>
            <w:r>
              <w:rPr>
                <w:rFonts w:ascii="Arial" w:cs="Arial" w:eastAsia="Arial" w:hAnsi="Arial"/>
                <w:sz w:val="19"/>
                <w:szCs w:val="19"/>
                <w:color w:val="auto"/>
              </w:rPr>
              <w:t>Date:   February 12, 2026</w:t>
            </w:r>
          </w:p>
        </w:tc>
        <w:tc>
          <w:tcPr>
            <w:tcW w:w="940" w:type="dxa"/>
            <w:vAlign w:val="bottom"/>
          </w:tcPr>
          <w:p>
            <w:pPr>
              <w:spacing w:after="0"/>
              <w:rPr>
                <w:sz w:val="24"/>
                <w:szCs w:val="24"/>
                <w:color w:val="auto"/>
              </w:rPr>
            </w:pPr>
          </w:p>
        </w:tc>
      </w:tr>
    </w:tbl>
    <w:p>
      <w:pPr>
        <w:spacing w:after="0" w:line="200" w:lineRule="exact"/>
        <w:rPr>
          <w:sz w:val="20"/>
          <w:szCs w:val="20"/>
          <w:color w:val="auto"/>
        </w:rPr>
      </w:pPr>
    </w:p>
    <w:p>
      <w:pPr>
        <w:sectPr>
          <w:pgSz w:w="11880" w:h="15480" w:orient="portrait"/>
          <w:cols w:equalWidth="0" w:num="1">
            <w:col w:w="9440"/>
          </w:cols>
          <w:pgMar w:left="1000" w:top="861" w:right="1440" w:bottom="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112</w:t>
      </w:r>
    </w:p>
    <w:p>
      <w:pPr>
        <w:sectPr>
          <w:pgSz w:w="11880" w:h="15480" w:orient="portrait"/>
          <w:cols w:equalWidth="0" w:num="1">
            <w:col w:w="9440"/>
          </w:cols>
          <w:pgMar w:left="1000" w:top="861" w:right="1440" w:bottom="45" w:gutter="0" w:footer="0" w:header="0"/>
          <w:type w:val="continuous"/>
        </w:sectPr>
      </w:pPr>
    </w:p>
    <w:bookmarkStart w:id="114" w:name="page115"/>
    <w:bookmarkEnd w:id="114"/>
    <w:p>
      <w:pPr>
        <w:ind w:right="140"/>
        <w:spacing w:after="0" w:line="294"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United Airlines, Inc. and in the capacities and on the date indicated.</w:t>
      </w:r>
    </w:p>
    <w:p>
      <w:pPr>
        <w:spacing w:after="0" w:line="249" w:lineRule="exact"/>
        <w:rPr>
          <w:sz w:val="20"/>
          <w:szCs w:val="20"/>
          <w:color w:val="auto"/>
        </w:rPr>
      </w:pPr>
    </w:p>
    <w:p>
      <w:pPr>
        <w:ind w:left="60"/>
        <w:spacing w:after="0"/>
        <w:tabs>
          <w:tab w:leader="none" w:pos="3620" w:val="left"/>
        </w:tabs>
        <w:rPr>
          <w:sz w:val="20"/>
          <w:szCs w:val="20"/>
          <w:color w:val="auto"/>
        </w:rPr>
      </w:pPr>
      <w:r>
        <w:rPr>
          <w:rFonts w:ascii="Arial" w:cs="Arial" w:eastAsia="Arial" w:hAnsi="Arial"/>
          <w:sz w:val="19"/>
          <w:szCs w:val="19"/>
          <w:color w:val="auto"/>
        </w:rPr>
        <w:t>Signature</w:t>
      </w:r>
      <w:r>
        <w:rPr>
          <w:sz w:val="20"/>
          <w:szCs w:val="20"/>
          <w:color w:val="auto"/>
        </w:rPr>
        <w:tab/>
      </w:r>
      <w:r>
        <w:rPr>
          <w:rFonts w:ascii="Arial" w:cs="Arial" w:eastAsia="Arial" w:hAnsi="Arial"/>
          <w:sz w:val="19"/>
          <w:szCs w:val="19"/>
          <w:color w:val="auto"/>
        </w:rPr>
        <w:t>Capacity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29845</wp:posOffset>
                </wp:positionV>
                <wp:extent cx="2098040"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804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2.35pt" to="165.3pt,2.35pt" o:allowincell="f" strokecolor="#000000" strokeweight="0.97pt"/>
            </w:pict>
          </mc:Fallback>
        </mc:AlternateContent>
        <mc:AlternateContent>
          <mc:Choice Requires="wps">
            <w:drawing>
              <wp:anchor simplePos="0" relativeHeight="251657728" behindDoc="1" locked="0" layoutInCell="0" allowOverlap="1">
                <wp:simplePos x="0" y="0"/>
                <wp:positionH relativeFrom="column">
                  <wp:posOffset>2274570</wp:posOffset>
                </wp:positionH>
                <wp:positionV relativeFrom="paragraph">
                  <wp:posOffset>29845</wp:posOffset>
                </wp:positionV>
                <wp:extent cx="2106930"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693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1pt,2.35pt" to="345pt,2.35pt" o:allowincell="f" strokecolor="#000000" strokeweight="0.97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J. Scott Kirby</w:t>
            </w:r>
          </w:p>
        </w:tc>
        <w:tc>
          <w:tcPr>
            <w:tcW w:w="3100" w:type="dxa"/>
            <w:vAlign w:val="bottom"/>
          </w:tcPr>
          <w:p>
            <w:pPr>
              <w:ind w:left="340"/>
              <w:spacing w:after="0"/>
              <w:rPr>
                <w:sz w:val="20"/>
                <w:szCs w:val="20"/>
                <w:color w:val="auto"/>
              </w:rPr>
            </w:pPr>
            <w:r>
              <w:rPr>
                <w:rFonts w:ascii="Arial" w:cs="Arial" w:eastAsia="Arial" w:hAnsi="Arial"/>
                <w:sz w:val="19"/>
                <w:szCs w:val="19"/>
                <w:color w:val="auto"/>
              </w:rPr>
              <w:t>Chief Executive Officer, Director</w:t>
            </w:r>
          </w:p>
        </w:tc>
        <w:tc>
          <w:tcPr>
            <w:tcW w:w="0" w:type="dxa"/>
            <w:vAlign w:val="bottom"/>
          </w:tcPr>
          <w:p>
            <w:pPr>
              <w:spacing w:after="0"/>
              <w:rPr>
                <w:sz w:val="1"/>
                <w:szCs w:val="1"/>
                <w:color w:val="auto"/>
              </w:rPr>
            </w:pPr>
          </w:p>
        </w:tc>
      </w:tr>
      <w:tr>
        <w:trPr>
          <w:trHeight w:val="269"/>
        </w:trPr>
        <w:tc>
          <w:tcPr>
            <w:tcW w:w="3300" w:type="dxa"/>
            <w:vAlign w:val="bottom"/>
          </w:tcPr>
          <w:p>
            <w:pPr>
              <w:ind w:left="60"/>
              <w:spacing w:after="0"/>
              <w:rPr>
                <w:sz w:val="20"/>
                <w:szCs w:val="20"/>
                <w:color w:val="auto"/>
              </w:rPr>
            </w:pPr>
            <w:r>
              <w:rPr>
                <w:rFonts w:ascii="Arial" w:cs="Arial" w:eastAsia="Arial" w:hAnsi="Arial"/>
                <w:sz w:val="19"/>
                <w:szCs w:val="19"/>
                <w:color w:val="auto"/>
              </w:rPr>
              <w:t>J. Scott Kirby</w:t>
            </w:r>
          </w:p>
        </w:tc>
        <w:tc>
          <w:tcPr>
            <w:tcW w:w="3100" w:type="dxa"/>
            <w:vAlign w:val="bottom"/>
          </w:tcPr>
          <w:p>
            <w:pPr>
              <w:ind w:left="340"/>
              <w:spacing w:after="0"/>
              <w:rPr>
                <w:sz w:val="20"/>
                <w:szCs w:val="20"/>
                <w:color w:val="auto"/>
              </w:rPr>
            </w:pPr>
            <w:r>
              <w:rPr>
                <w:rFonts w:ascii="Arial" w:cs="Arial" w:eastAsia="Arial" w:hAnsi="Arial"/>
                <w:sz w:val="19"/>
                <w:szCs w:val="19"/>
                <w:color w:val="auto"/>
              </w:rPr>
              <w:t>(Principal Executive Officer)</w:t>
            </w:r>
          </w:p>
        </w:tc>
        <w:tc>
          <w:tcPr>
            <w:tcW w:w="0" w:type="dxa"/>
            <w:vAlign w:val="bottom"/>
          </w:tcPr>
          <w:p>
            <w:pPr>
              <w:spacing w:after="0"/>
              <w:rPr>
                <w:sz w:val="1"/>
                <w:szCs w:val="1"/>
                <w:color w:val="auto"/>
              </w:rPr>
            </w:pPr>
          </w:p>
        </w:tc>
      </w:tr>
      <w:tr>
        <w:trPr>
          <w:trHeight w:val="519"/>
        </w:trPr>
        <w:tc>
          <w:tcPr>
            <w:tcW w:w="3300" w:type="dxa"/>
            <w:vAlign w:val="bottom"/>
            <w:vMerge w:val="restart"/>
          </w:tcPr>
          <w:p>
            <w:pPr>
              <w:ind w:left="60"/>
              <w:spacing w:after="0"/>
              <w:rPr>
                <w:sz w:val="20"/>
                <w:szCs w:val="20"/>
                <w:color w:val="auto"/>
              </w:rPr>
            </w:pPr>
            <w:r>
              <w:rPr>
                <w:rFonts w:ascii="Arial" w:cs="Arial" w:eastAsia="Arial" w:hAnsi="Arial"/>
                <w:sz w:val="19"/>
                <w:szCs w:val="19"/>
                <w:color w:val="auto"/>
              </w:rPr>
              <w:t>/s/ Michael Leskinen</w:t>
            </w:r>
          </w:p>
        </w:tc>
        <w:tc>
          <w:tcPr>
            <w:tcW w:w="3100" w:type="dxa"/>
            <w:vAlign w:val="bottom"/>
          </w:tcPr>
          <w:p>
            <w:pPr>
              <w:ind w:left="340"/>
              <w:spacing w:after="0"/>
              <w:rPr>
                <w:sz w:val="20"/>
                <w:szCs w:val="20"/>
                <w:color w:val="auto"/>
              </w:rPr>
            </w:pPr>
            <w:r>
              <w:rPr>
                <w:rFonts w:ascii="Arial" w:cs="Arial" w:eastAsia="Arial" w:hAnsi="Arial"/>
                <w:sz w:val="19"/>
                <w:szCs w:val="19"/>
                <w:color w:val="auto"/>
                <w:w w:val="92"/>
              </w:rPr>
              <w:t>Executive Vice President and Chief</w:t>
            </w:r>
          </w:p>
        </w:tc>
        <w:tc>
          <w:tcPr>
            <w:tcW w:w="0" w:type="dxa"/>
            <w:vAlign w:val="bottom"/>
          </w:tcPr>
          <w:p>
            <w:pPr>
              <w:spacing w:after="0"/>
              <w:rPr>
                <w:sz w:val="1"/>
                <w:szCs w:val="1"/>
                <w:color w:val="auto"/>
              </w:rPr>
            </w:pPr>
          </w:p>
        </w:tc>
      </w:tr>
      <w:tr>
        <w:trPr>
          <w:trHeight w:val="260"/>
        </w:trPr>
        <w:tc>
          <w:tcPr>
            <w:tcW w:w="3300" w:type="dxa"/>
            <w:vAlign w:val="bottom"/>
            <w:tcBorders>
              <w:bottom w:val="single" w:sz="8" w:color="auto"/>
            </w:tcBorders>
            <w:vMerge w:val="continue"/>
          </w:tcPr>
          <w:p>
            <w:pPr>
              <w:spacing w:after="0"/>
              <w:rPr>
                <w:sz w:val="22"/>
                <w:szCs w:val="22"/>
                <w:color w:val="auto"/>
              </w:rPr>
            </w:pPr>
          </w:p>
        </w:tc>
        <w:tc>
          <w:tcPr>
            <w:tcW w:w="3100" w:type="dxa"/>
            <w:vAlign w:val="bottom"/>
          </w:tcPr>
          <w:p>
            <w:pPr>
              <w:ind w:left="340"/>
              <w:spacing w:after="0"/>
              <w:rPr>
                <w:sz w:val="20"/>
                <w:szCs w:val="20"/>
                <w:color w:val="auto"/>
              </w:rPr>
            </w:pPr>
            <w:r>
              <w:rPr>
                <w:rFonts w:ascii="Arial" w:cs="Arial" w:eastAsia="Arial" w:hAnsi="Arial"/>
                <w:sz w:val="19"/>
                <w:szCs w:val="19"/>
                <w:color w:val="auto"/>
              </w:rPr>
              <w:t>Financial Officer, Director</w:t>
            </w:r>
          </w:p>
        </w:tc>
        <w:tc>
          <w:tcPr>
            <w:tcW w:w="0" w:type="dxa"/>
            <w:vAlign w:val="bottom"/>
          </w:tcPr>
          <w:p>
            <w:pPr>
              <w:spacing w:after="0"/>
              <w:rPr>
                <w:sz w:val="1"/>
                <w:szCs w:val="1"/>
                <w:color w:val="auto"/>
              </w:rPr>
            </w:pPr>
          </w:p>
        </w:tc>
      </w:tr>
      <w:tr>
        <w:trPr>
          <w:trHeight w:val="269"/>
        </w:trPr>
        <w:tc>
          <w:tcPr>
            <w:tcW w:w="3300" w:type="dxa"/>
            <w:vAlign w:val="bottom"/>
          </w:tcPr>
          <w:p>
            <w:pPr>
              <w:ind w:left="60"/>
              <w:spacing w:after="0"/>
              <w:rPr>
                <w:sz w:val="20"/>
                <w:szCs w:val="20"/>
                <w:color w:val="auto"/>
              </w:rPr>
            </w:pPr>
            <w:r>
              <w:rPr>
                <w:rFonts w:ascii="Arial" w:cs="Arial" w:eastAsia="Arial" w:hAnsi="Arial"/>
                <w:sz w:val="19"/>
                <w:szCs w:val="19"/>
                <w:color w:val="auto"/>
              </w:rPr>
              <w:t>Michael Leskinen</w:t>
            </w:r>
          </w:p>
        </w:tc>
        <w:tc>
          <w:tcPr>
            <w:tcW w:w="3100" w:type="dxa"/>
            <w:vAlign w:val="bottom"/>
          </w:tcPr>
          <w:p>
            <w:pPr>
              <w:ind w:left="340"/>
              <w:spacing w:after="0"/>
              <w:rPr>
                <w:sz w:val="20"/>
                <w:szCs w:val="20"/>
                <w:color w:val="auto"/>
              </w:rPr>
            </w:pPr>
            <w:r>
              <w:rPr>
                <w:rFonts w:ascii="Arial" w:cs="Arial" w:eastAsia="Arial" w:hAnsi="Arial"/>
                <w:sz w:val="19"/>
                <w:szCs w:val="19"/>
                <w:color w:val="auto"/>
              </w:rPr>
              <w:t>(Principal Financial Officer)</w:t>
            </w:r>
          </w:p>
        </w:tc>
        <w:tc>
          <w:tcPr>
            <w:tcW w:w="0" w:type="dxa"/>
            <w:vAlign w:val="bottom"/>
          </w:tcPr>
          <w:p>
            <w:pPr>
              <w:spacing w:after="0"/>
              <w:rPr>
                <w:sz w:val="1"/>
                <w:szCs w:val="1"/>
                <w:color w:val="auto"/>
              </w:rPr>
            </w:pPr>
          </w:p>
        </w:tc>
      </w:tr>
      <w:tr>
        <w:trPr>
          <w:trHeight w:val="774"/>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Brigitte Bokemeier</w:t>
            </w:r>
          </w:p>
        </w:tc>
        <w:tc>
          <w:tcPr>
            <w:tcW w:w="3100" w:type="dxa"/>
            <w:vAlign w:val="bottom"/>
          </w:tcPr>
          <w:p>
            <w:pPr>
              <w:ind w:left="340"/>
              <w:spacing w:after="0"/>
              <w:rPr>
                <w:sz w:val="20"/>
                <w:szCs w:val="20"/>
                <w:color w:val="auto"/>
              </w:rPr>
            </w:pPr>
            <w:r>
              <w:rPr>
                <w:rFonts w:ascii="Arial" w:cs="Arial" w:eastAsia="Arial" w:hAnsi="Arial"/>
                <w:sz w:val="19"/>
                <w:szCs w:val="19"/>
                <w:color w:val="auto"/>
              </w:rPr>
              <w:t>Vice President and Controller</w:t>
            </w:r>
          </w:p>
        </w:tc>
        <w:tc>
          <w:tcPr>
            <w:tcW w:w="0" w:type="dxa"/>
            <w:vAlign w:val="bottom"/>
          </w:tcPr>
          <w:p>
            <w:pPr>
              <w:spacing w:after="0"/>
              <w:rPr>
                <w:sz w:val="1"/>
                <w:szCs w:val="1"/>
                <w:color w:val="auto"/>
              </w:rPr>
            </w:pPr>
          </w:p>
        </w:tc>
      </w:tr>
      <w:tr>
        <w:trPr>
          <w:trHeight w:val="269"/>
        </w:trPr>
        <w:tc>
          <w:tcPr>
            <w:tcW w:w="3300" w:type="dxa"/>
            <w:vAlign w:val="bottom"/>
          </w:tcPr>
          <w:p>
            <w:pPr>
              <w:ind w:left="60"/>
              <w:spacing w:after="0"/>
              <w:rPr>
                <w:sz w:val="20"/>
                <w:szCs w:val="20"/>
                <w:color w:val="auto"/>
              </w:rPr>
            </w:pPr>
            <w:r>
              <w:rPr>
                <w:rFonts w:ascii="Arial" w:cs="Arial" w:eastAsia="Arial" w:hAnsi="Arial"/>
                <w:sz w:val="19"/>
                <w:szCs w:val="19"/>
                <w:color w:val="auto"/>
              </w:rPr>
              <w:t>Brigitte Bokemeier</w:t>
            </w:r>
          </w:p>
        </w:tc>
        <w:tc>
          <w:tcPr>
            <w:tcW w:w="3100" w:type="dxa"/>
            <w:vAlign w:val="bottom"/>
          </w:tcPr>
          <w:p>
            <w:pPr>
              <w:ind w:left="340"/>
              <w:spacing w:after="0"/>
              <w:rPr>
                <w:sz w:val="20"/>
                <w:szCs w:val="20"/>
                <w:color w:val="auto"/>
              </w:rPr>
            </w:pPr>
            <w:r>
              <w:rPr>
                <w:rFonts w:ascii="Arial" w:cs="Arial" w:eastAsia="Arial" w:hAnsi="Arial"/>
                <w:sz w:val="19"/>
                <w:szCs w:val="19"/>
                <w:color w:val="auto"/>
              </w:rPr>
              <w:t>(Principal Accounting Officer)</w:t>
            </w:r>
          </w:p>
        </w:tc>
        <w:tc>
          <w:tcPr>
            <w:tcW w:w="0" w:type="dxa"/>
            <w:vAlign w:val="bottom"/>
          </w:tcPr>
          <w:p>
            <w:pPr>
              <w:spacing w:after="0"/>
              <w:rPr>
                <w:sz w:val="1"/>
                <w:szCs w:val="1"/>
                <w:color w:val="auto"/>
              </w:rPr>
            </w:pPr>
          </w:p>
        </w:tc>
      </w:tr>
      <w:tr>
        <w:trPr>
          <w:trHeight w:val="774"/>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/s/ Brett J. Hart</w:t>
            </w:r>
          </w:p>
        </w:tc>
        <w:tc>
          <w:tcPr>
            <w:tcW w:w="3100" w:type="dxa"/>
            <w:vAlign w:val="bottom"/>
          </w:tcPr>
          <w:p>
            <w:pPr>
              <w:ind w:left="340"/>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269"/>
        </w:trPr>
        <w:tc>
          <w:tcPr>
            <w:tcW w:w="3300" w:type="dxa"/>
            <w:vAlign w:val="bottom"/>
          </w:tcPr>
          <w:p>
            <w:pPr>
              <w:ind w:left="60"/>
              <w:spacing w:after="0"/>
              <w:rPr>
                <w:sz w:val="20"/>
                <w:szCs w:val="20"/>
                <w:color w:val="auto"/>
              </w:rPr>
            </w:pPr>
            <w:r>
              <w:rPr>
                <w:rFonts w:ascii="Arial" w:cs="Arial" w:eastAsia="Arial" w:hAnsi="Arial"/>
                <w:sz w:val="19"/>
                <w:szCs w:val="19"/>
                <w:color w:val="auto"/>
              </w:rPr>
              <w:t>Brett J. Hart</w:t>
            </w: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5"/>
        </w:trPr>
        <w:tc>
          <w:tcPr>
            <w:tcW w:w="3300" w:type="dxa"/>
            <w:vAlign w:val="bottom"/>
          </w:tcPr>
          <w:p>
            <w:pPr>
              <w:ind w:left="60"/>
              <w:spacing w:after="0"/>
              <w:rPr>
                <w:sz w:val="20"/>
                <w:szCs w:val="20"/>
                <w:color w:val="auto"/>
              </w:rPr>
            </w:pPr>
            <w:r>
              <w:rPr>
                <w:rFonts w:ascii="Arial" w:cs="Arial" w:eastAsia="Arial" w:hAnsi="Arial"/>
                <w:sz w:val="19"/>
                <w:szCs w:val="19"/>
                <w:color w:val="auto"/>
              </w:rPr>
              <w:t>Date:   February 12, 2026</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480"/>
          </w:cols>
          <w:pgMar w:left="960" w:top="819" w:right="1440" w:bottom="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113</w:t>
      </w:r>
    </w:p>
    <w:p>
      <w:pPr>
        <w:sectPr>
          <w:pgSz w:w="11880" w:h="15480" w:orient="portrait"/>
          <w:cols w:equalWidth="0" w:num="1">
            <w:col w:w="9480"/>
          </w:cols>
          <w:pgMar w:left="960" w:top="819" w:right="1440" w:bottom="45" w:gutter="0" w:footer="0" w:header="0"/>
          <w:type w:val="continuous"/>
        </w:sectPr>
      </w:pPr>
    </w:p>
    <w:bookmarkStart w:id="115" w:name="page116"/>
    <w:bookmarkEnd w:id="115"/>
    <w:p>
      <w:pPr>
        <w:spacing w:after="0"/>
        <w:rPr>
          <w:sz w:val="20"/>
          <w:szCs w:val="20"/>
          <w:color w:val="auto"/>
        </w:rPr>
      </w:pPr>
      <w:r>
        <w:rPr>
          <w:rFonts w:ascii="Arial" w:cs="Arial" w:eastAsia="Arial" w:hAnsi="Arial"/>
          <w:sz w:val="29"/>
          <w:szCs w:val="29"/>
          <w:color w:val="auto"/>
        </w:rPr>
        <w:t>United Airlines Holdings, Inc. | Board of Directors*</w:t>
      </w:r>
    </w:p>
    <w:p>
      <w:pPr>
        <w:sectPr>
          <w:pgSz w:w="11880" w:h="15480" w:orient="portrait"/>
          <w:cols w:equalWidth="0" w:num="1">
            <w:col w:w="9820"/>
          </w:cols>
          <w:pgMar w:left="1260" w:top="1237" w:right="8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Rosalind Brewer</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Former Chief Executive Oﬃcer,</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Walgreens Boots Alliance, Inc.;</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Interim President, Spelman College</w:t>
      </w:r>
    </w:p>
    <w:p>
      <w:pPr>
        <w:spacing w:after="0" w:line="14" w:lineRule="exact"/>
        <w:rPr>
          <w:sz w:val="20"/>
          <w:szCs w:val="20"/>
          <w:color w:val="auto"/>
        </w:rPr>
      </w:pPr>
    </w:p>
    <w:p>
      <w:pPr>
        <w:ind w:left="720" w:right="1920"/>
        <w:spacing w:after="0" w:line="348" w:lineRule="auto"/>
        <w:rPr>
          <w:sz w:val="20"/>
          <w:szCs w:val="20"/>
          <w:color w:val="auto"/>
        </w:rPr>
      </w:pPr>
      <w:r>
        <w:rPr>
          <w:rFonts w:ascii="Arial" w:cs="Arial" w:eastAsia="Arial" w:hAnsi="Arial"/>
          <w:sz w:val="17"/>
          <w:szCs w:val="17"/>
          <w:i w:val="1"/>
          <w:iCs w:val="1"/>
          <w:color w:val="auto"/>
        </w:rPr>
        <w:t>Compensation Committee Finance Committee</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Michelle Freyre</w:t>
      </w:r>
    </w:p>
    <w:p>
      <w:pPr>
        <w:spacing w:after="0" w:line="17" w:lineRule="exact"/>
        <w:rPr>
          <w:sz w:val="20"/>
          <w:szCs w:val="20"/>
          <w:color w:val="auto"/>
        </w:rPr>
      </w:pPr>
    </w:p>
    <w:p>
      <w:pPr>
        <w:ind w:right="600"/>
        <w:spacing w:after="0" w:line="284" w:lineRule="auto"/>
        <w:rPr>
          <w:sz w:val="20"/>
          <w:szCs w:val="20"/>
          <w:color w:val="auto"/>
        </w:rPr>
      </w:pPr>
      <w:r>
        <w:rPr>
          <w:rFonts w:ascii="Arial" w:cs="Arial" w:eastAsia="Arial" w:hAnsi="Arial"/>
          <w:sz w:val="17"/>
          <w:szCs w:val="17"/>
          <w:color w:val="auto"/>
        </w:rPr>
        <w:t>Global Brand President, Clinique and Dermatological Brands, The Estée Lauder Companies, Inc.</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Finance Committee</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Public Responsibility Committee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Matthew Friend</w:t>
      </w:r>
    </w:p>
    <w:p>
      <w:pPr>
        <w:spacing w:after="0" w:line="17" w:lineRule="exact"/>
        <w:rPr>
          <w:sz w:val="20"/>
          <w:szCs w:val="20"/>
          <w:color w:val="auto"/>
        </w:rPr>
      </w:pPr>
    </w:p>
    <w:p>
      <w:pPr>
        <w:ind w:right="640"/>
        <w:spacing w:after="0" w:line="254" w:lineRule="auto"/>
        <w:rPr>
          <w:sz w:val="20"/>
          <w:szCs w:val="20"/>
          <w:color w:val="auto"/>
        </w:rPr>
      </w:pPr>
      <w:r>
        <w:rPr>
          <w:rFonts w:ascii="Arial" w:cs="Arial" w:eastAsia="Arial" w:hAnsi="Arial"/>
          <w:sz w:val="19"/>
          <w:szCs w:val="19"/>
          <w:color w:val="auto"/>
        </w:rPr>
        <w:t>Execu tive Vice President and Chief Financial Oﬃcer, NIKE, Inc.</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Audit Committee</w:t>
      </w:r>
    </w:p>
    <w:p>
      <w:pPr>
        <w:spacing w:after="0" w:line="14" w:lineRule="exact"/>
        <w:rPr>
          <w:sz w:val="20"/>
          <w:szCs w:val="20"/>
          <w:color w:val="auto"/>
        </w:rPr>
      </w:pPr>
    </w:p>
    <w:p>
      <w:pPr>
        <w:ind w:left="720" w:right="1920"/>
        <w:spacing w:after="0" w:line="345" w:lineRule="auto"/>
        <w:rPr>
          <w:sz w:val="20"/>
          <w:szCs w:val="20"/>
          <w:color w:val="auto"/>
        </w:rPr>
      </w:pPr>
      <w:r>
        <w:rPr>
          <w:rFonts w:ascii="Arial" w:cs="Arial" w:eastAsia="Arial" w:hAnsi="Arial"/>
          <w:sz w:val="17"/>
          <w:szCs w:val="17"/>
          <w:i w:val="1"/>
          <w:iCs w:val="1"/>
          <w:color w:val="auto"/>
        </w:rPr>
        <w:t>Compensation Committee Finance Committee</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Barney Harford</w:t>
      </w:r>
    </w:p>
    <w:p>
      <w:pPr>
        <w:spacing w:after="0" w:line="14" w:lineRule="exact"/>
        <w:rPr>
          <w:sz w:val="20"/>
          <w:szCs w:val="20"/>
          <w:color w:val="auto"/>
        </w:rPr>
      </w:pPr>
    </w:p>
    <w:p>
      <w:pPr>
        <w:ind w:right="300"/>
        <w:spacing w:after="0" w:line="285" w:lineRule="auto"/>
        <w:rPr>
          <w:sz w:val="20"/>
          <w:szCs w:val="20"/>
          <w:color w:val="auto"/>
        </w:rPr>
      </w:pPr>
      <w:r>
        <w:rPr>
          <w:rFonts w:ascii="Arial" w:cs="Arial" w:eastAsia="Arial" w:hAnsi="Arial"/>
          <w:sz w:val="17"/>
          <w:szCs w:val="17"/>
          <w:color w:val="auto"/>
        </w:rPr>
        <w:t>Former Chief Operating Oﬃcer, Uber Technologies, Inc.; Former Chief Executive Oﬃcer, Orbitz Worldwide, Inc.</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Audit Committee</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Finance Committee</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Public Responsibility Committee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Michele J. Hooper</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President and CEO, The Directors’ Council</w:t>
      </w:r>
    </w:p>
    <w:p>
      <w:pPr>
        <w:spacing w:after="0" w:line="12" w:lineRule="exact"/>
        <w:rPr>
          <w:sz w:val="20"/>
          <w:szCs w:val="20"/>
          <w:color w:val="auto"/>
        </w:rPr>
      </w:pPr>
    </w:p>
    <w:p>
      <w:pPr>
        <w:ind w:left="720" w:right="2060"/>
        <w:spacing w:after="0" w:line="285" w:lineRule="auto"/>
        <w:rPr>
          <w:sz w:val="20"/>
          <w:szCs w:val="20"/>
          <w:color w:val="auto"/>
        </w:rPr>
      </w:pPr>
      <w:r>
        <w:rPr>
          <w:rFonts w:ascii="Arial" w:cs="Arial" w:eastAsia="Arial" w:hAnsi="Arial"/>
          <w:sz w:val="17"/>
          <w:szCs w:val="17"/>
          <w:i w:val="1"/>
          <w:iCs w:val="1"/>
          <w:color w:val="auto"/>
        </w:rPr>
        <w:t>Audit Committee (Chair) Executive Committee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Nominating/Governance Committee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Walter Isaacson</w:t>
      </w:r>
    </w:p>
    <w:p>
      <w:pPr>
        <w:spacing w:after="0" w:line="14" w:lineRule="exact"/>
        <w:rPr>
          <w:sz w:val="20"/>
          <w:szCs w:val="20"/>
          <w:color w:val="auto"/>
        </w:rPr>
      </w:pPr>
    </w:p>
    <w:p>
      <w:pPr>
        <w:ind w:right="1000"/>
        <w:spacing w:after="0" w:line="285" w:lineRule="auto"/>
        <w:rPr>
          <w:sz w:val="20"/>
          <w:szCs w:val="20"/>
          <w:color w:val="auto"/>
        </w:rPr>
      </w:pPr>
      <w:r>
        <w:rPr>
          <w:rFonts w:ascii="Arial" w:cs="Arial" w:eastAsia="Arial" w:hAnsi="Arial"/>
          <w:sz w:val="17"/>
          <w:szCs w:val="17"/>
          <w:color w:val="auto"/>
        </w:rPr>
        <w:t>Professor of History, Tulane University; Advisory Partner, Perella Weinberg Partners LP</w:t>
      </w:r>
    </w:p>
    <w:p>
      <w:pPr>
        <w:spacing w:after="0" w:line="1" w:lineRule="exact"/>
        <w:rPr>
          <w:sz w:val="20"/>
          <w:szCs w:val="20"/>
          <w:color w:val="auto"/>
        </w:rPr>
      </w:pPr>
    </w:p>
    <w:p>
      <w:pPr>
        <w:ind w:left="720" w:right="920"/>
        <w:spacing w:after="0" w:line="254" w:lineRule="auto"/>
        <w:rPr>
          <w:sz w:val="20"/>
          <w:szCs w:val="20"/>
          <w:color w:val="auto"/>
        </w:rPr>
      </w:pPr>
      <w:r>
        <w:rPr>
          <w:rFonts w:ascii="Arial" w:cs="Arial" w:eastAsia="Arial" w:hAnsi="Arial"/>
          <w:sz w:val="19"/>
          <w:szCs w:val="19"/>
          <w:i w:val="1"/>
          <w:iCs w:val="1"/>
          <w:color w:val="auto"/>
        </w:rPr>
        <w:t>Public Responsibility Committee (Chair) Executive Committee</w:t>
      </w:r>
    </w:p>
    <w:p>
      <w:pPr>
        <w:ind w:left="360"/>
        <w:spacing w:after="0"/>
        <w:rPr>
          <w:sz w:val="20"/>
          <w:szCs w:val="20"/>
          <w:color w:val="auto"/>
        </w:rPr>
      </w:pPr>
      <w:r>
        <w:rPr>
          <w:rFonts w:ascii="Arial" w:cs="Arial" w:eastAsia="Arial" w:hAnsi="Arial"/>
          <w:sz w:val="19"/>
          <w:szCs w:val="19"/>
          <w:i w:val="1"/>
          <w:iCs w:val="1"/>
          <w:color w:val="auto"/>
        </w:rPr>
        <w:t>Nominating/Governance Committee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Richard Johnsen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Air Transport Territory General Vice President, IAM Union</w:t>
      </w:r>
    </w:p>
    <w:p>
      <w:pPr>
        <w:spacing w:after="0" w:line="37"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Public Responsibility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Scott Kirby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Oﬃcer, United Airlines Holdings, Inc.</w:t>
      </w:r>
    </w:p>
    <w:p>
      <w:pPr>
        <w:spacing w:after="0" w:line="26" w:lineRule="exact"/>
        <w:rPr>
          <w:sz w:val="20"/>
          <w:szCs w:val="20"/>
          <w:color w:val="auto"/>
        </w:rPr>
      </w:pPr>
    </w:p>
    <w:p>
      <w:pPr>
        <w:ind w:left="720" w:right="2140"/>
        <w:spacing w:after="0" w:line="385" w:lineRule="auto"/>
        <w:rPr>
          <w:sz w:val="20"/>
          <w:szCs w:val="20"/>
          <w:color w:val="auto"/>
        </w:rPr>
      </w:pPr>
      <w:r>
        <w:rPr>
          <w:rFonts w:ascii="Arial" w:cs="Arial" w:eastAsia="Arial" w:hAnsi="Arial"/>
          <w:sz w:val="16"/>
          <w:szCs w:val="16"/>
          <w:i w:val="1"/>
          <w:iCs w:val="1"/>
          <w:color w:val="auto"/>
        </w:rPr>
        <w:t>Executive Committee Finance Committee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Brian Noyes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Chair, United Airlines Master Executive Council, ALPA</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Public Responsibility Committee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Edward M. Philip</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Former Chief Operating Oﬃcer, Partners in Health</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Executive Committee (Chair)</w:t>
      </w:r>
    </w:p>
    <w:p>
      <w:pPr>
        <w:spacing w:after="0" w:line="14" w:lineRule="exact"/>
        <w:rPr>
          <w:sz w:val="20"/>
          <w:szCs w:val="20"/>
          <w:color w:val="auto"/>
        </w:rPr>
      </w:pPr>
    </w:p>
    <w:p>
      <w:pPr>
        <w:ind w:left="720" w:right="380"/>
        <w:spacing w:after="0" w:line="283" w:lineRule="auto"/>
        <w:rPr>
          <w:sz w:val="20"/>
          <w:szCs w:val="20"/>
          <w:color w:val="auto"/>
        </w:rPr>
      </w:pPr>
      <w:r>
        <w:rPr>
          <w:rFonts w:ascii="Arial" w:cs="Arial" w:eastAsia="Arial" w:hAnsi="Arial"/>
          <w:sz w:val="19"/>
          <w:szCs w:val="19"/>
          <w:i w:val="1"/>
          <w:iCs w:val="1"/>
          <w:color w:val="auto"/>
        </w:rPr>
        <w:t>Nominating/Governance Committee (Chair) Audit Committee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Edward L. Shapiro</w:t>
      </w:r>
    </w:p>
    <w:p>
      <w:pPr>
        <w:spacing w:after="0" w:line="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Former Managing Partner, PAR Capital Management, Inc.; Managing Trustee, The Shapiro Foundation</w:t>
      </w:r>
    </w:p>
    <w:p>
      <w:pPr>
        <w:spacing w:after="0" w:line="1" w:lineRule="exact"/>
        <w:rPr>
          <w:sz w:val="20"/>
          <w:szCs w:val="20"/>
          <w:color w:val="auto"/>
        </w:rPr>
      </w:pPr>
    </w:p>
    <w:p>
      <w:pPr>
        <w:jc w:val="both"/>
        <w:ind w:left="720" w:right="1700"/>
        <w:spacing w:after="0" w:line="344" w:lineRule="auto"/>
        <w:rPr>
          <w:sz w:val="20"/>
          <w:szCs w:val="20"/>
          <w:color w:val="auto"/>
        </w:rPr>
      </w:pPr>
      <w:r>
        <w:rPr>
          <w:rFonts w:ascii="Arial" w:cs="Arial" w:eastAsia="Arial" w:hAnsi="Arial"/>
          <w:sz w:val="16"/>
          <w:szCs w:val="16"/>
          <w:i w:val="1"/>
          <w:iCs w:val="1"/>
          <w:color w:val="auto"/>
        </w:rPr>
        <w:t>Finance Committee (Chair) Compensation Committee Executive Committee</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Laysha Ward</w:t>
      </w:r>
    </w:p>
    <w:p>
      <w:pPr>
        <w:spacing w:after="0" w:line="1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Former Executive Vice President and Chief External Engagement Oﬃcer, Target Corporation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Audit Committee</w:t>
      </w:r>
    </w:p>
    <w:p>
      <w:pPr>
        <w:spacing w:after="0" w:line="11" w:lineRule="exact"/>
        <w:rPr>
          <w:sz w:val="20"/>
          <w:szCs w:val="20"/>
          <w:color w:val="auto"/>
        </w:rPr>
      </w:pPr>
    </w:p>
    <w:p>
      <w:pPr>
        <w:ind w:left="720" w:right="960"/>
        <w:spacing w:after="0" w:line="348" w:lineRule="auto"/>
        <w:rPr>
          <w:sz w:val="20"/>
          <w:szCs w:val="20"/>
          <w:color w:val="auto"/>
        </w:rPr>
      </w:pPr>
      <w:r>
        <w:rPr>
          <w:rFonts w:ascii="Arial" w:cs="Arial" w:eastAsia="Arial" w:hAnsi="Arial"/>
          <w:sz w:val="17"/>
          <w:szCs w:val="17"/>
          <w:i w:val="1"/>
          <w:iCs w:val="1"/>
          <w:color w:val="auto"/>
        </w:rPr>
        <w:t>Nominating/Governance Committee Public Responsibility Committee</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James M. Whitehurst</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Managing Director, Silver Lake;</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Executive Chairman, Qualtrics, LLC</w:t>
      </w:r>
    </w:p>
    <w:p>
      <w:pPr>
        <w:spacing w:after="0" w:line="12" w:lineRule="exact"/>
        <w:rPr>
          <w:sz w:val="20"/>
          <w:szCs w:val="20"/>
          <w:color w:val="auto"/>
        </w:rPr>
      </w:pPr>
    </w:p>
    <w:p>
      <w:pPr>
        <w:ind w:left="720" w:right="1180"/>
        <w:spacing w:after="0" w:line="255" w:lineRule="auto"/>
        <w:rPr>
          <w:sz w:val="20"/>
          <w:szCs w:val="20"/>
          <w:color w:val="auto"/>
        </w:rPr>
      </w:pPr>
      <w:r>
        <w:rPr>
          <w:rFonts w:ascii="Arial" w:cs="Arial" w:eastAsia="Arial" w:hAnsi="Arial"/>
          <w:sz w:val="19"/>
          <w:szCs w:val="19"/>
          <w:i w:val="1"/>
          <w:iCs w:val="1"/>
          <w:color w:val="auto"/>
        </w:rPr>
        <w:t>Compensation Committee (Chair) Executive Committee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Nominating/Governance Committee</w:t>
      </w:r>
    </w:p>
    <w:p>
      <w:pPr>
        <w:spacing w:after="0" w:line="1181" w:lineRule="exact"/>
        <w:rPr>
          <w:sz w:val="20"/>
          <w:szCs w:val="20"/>
          <w:color w:val="auto"/>
        </w:rPr>
      </w:pPr>
    </w:p>
    <w:p>
      <w:pPr>
        <w:sectPr>
          <w:pgSz w:w="11880" w:h="15480" w:orient="portrait"/>
          <w:cols w:equalWidth="0" w:num="2">
            <w:col w:w="4640" w:space="720"/>
            <w:col w:w="4460"/>
          </w:cols>
          <w:pgMar w:left="1260" w:top="1237" w:right="800" w:bottom="2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Board of Directors and Committee memberships as of April 7, 2026</w:t>
      </w:r>
    </w:p>
    <w:p>
      <w:pPr>
        <w:sectPr>
          <w:pgSz w:w="11880" w:h="15480" w:orient="portrait"/>
          <w:cols w:equalWidth="0" w:num="1">
            <w:col w:w="9820"/>
          </w:cols>
          <w:pgMar w:left="1260" w:top="1237" w:right="800" w:bottom="24" w:gutter="0" w:footer="0" w:header="0"/>
          <w:type w:val="continuous"/>
        </w:sectPr>
      </w:pPr>
    </w:p>
    <w:bookmarkStart w:id="116" w:name="page117"/>
    <w:bookmarkEnd w:id="116"/>
    <w:p>
      <w:pPr>
        <w:spacing w:after="0"/>
        <w:rPr>
          <w:sz w:val="20"/>
          <w:szCs w:val="20"/>
          <w:color w:val="auto"/>
        </w:rPr>
      </w:pPr>
      <w:r>
        <w:rPr>
          <w:rFonts w:ascii="Arial" w:cs="Arial" w:eastAsia="Arial" w:hAnsi="Arial"/>
          <w:sz w:val="29"/>
          <w:szCs w:val="29"/>
          <w:color w:val="auto"/>
        </w:rPr>
        <w:t>United Airlines Holdings, Inc. | Leadership Team</w:t>
      </w:r>
    </w:p>
    <w:p>
      <w:pPr>
        <w:sectPr>
          <w:pgSz w:w="11880" w:h="15480" w:orient="portrait"/>
          <w:cols w:equalWidth="0" w:num="1">
            <w:col w:w="9300"/>
          </w:cols>
          <w:pgMar w:left="1260" w:top="1237" w:right="13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Scott Kirby</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Chief Executive Oﬃcer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Theresa (Terri) Fariello</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Executive Vice President of Government</w:t>
      </w:r>
    </w:p>
    <w:p>
      <w:pPr>
        <w:spacing w:after="0" w:line="51" w:lineRule="exact"/>
        <w:rPr>
          <w:sz w:val="20"/>
          <w:szCs w:val="20"/>
          <w:color w:val="auto"/>
        </w:rPr>
      </w:pPr>
    </w:p>
    <w:p>
      <w:pPr>
        <w:spacing w:after="0"/>
        <w:rPr>
          <w:sz w:val="20"/>
          <w:szCs w:val="20"/>
          <w:color w:val="auto"/>
        </w:rPr>
      </w:pPr>
      <w:r>
        <w:rPr>
          <w:rFonts w:ascii="Arial" w:cs="Arial" w:eastAsia="Arial" w:hAnsi="Arial"/>
          <w:sz w:val="24"/>
          <w:szCs w:val="24"/>
          <w:color w:val="auto"/>
        </w:rPr>
        <w:t>Aﬀairs and Global Public Policy</w:t>
      </w:r>
    </w:p>
    <w:p>
      <w:pPr>
        <w:spacing w:after="0" w:line="200" w:lineRule="exact"/>
        <w:rPr>
          <w:sz w:val="20"/>
          <w:szCs w:val="20"/>
          <w:color w:val="auto"/>
        </w:rPr>
      </w:pPr>
    </w:p>
    <w:p>
      <w:pPr>
        <w:sectPr>
          <w:pgSz w:w="11880" w:h="15480" w:orient="portrait"/>
          <w:cols w:equalWidth="0" w:num="2">
            <w:col w:w="4320" w:space="720"/>
            <w:col w:w="4260"/>
          </w:cols>
          <w:pgMar w:left="1260" w:top="1237" w:right="1320"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Brett J. Hart</w:t>
      </w:r>
    </w:p>
    <w:p>
      <w:pPr>
        <w:spacing w:after="0" w:line="66" w:lineRule="exact"/>
        <w:rPr>
          <w:sz w:val="20"/>
          <w:szCs w:val="20"/>
          <w:color w:val="auto"/>
        </w:rPr>
      </w:pPr>
    </w:p>
    <w:p>
      <w:pPr>
        <w:spacing w:after="0"/>
        <w:rPr>
          <w:sz w:val="20"/>
          <w:szCs w:val="20"/>
          <w:color w:val="auto"/>
        </w:rPr>
      </w:pPr>
      <w:r>
        <w:rPr>
          <w:rFonts w:ascii="Arial" w:cs="Arial" w:eastAsia="Arial" w:hAnsi="Arial"/>
          <w:sz w:val="24"/>
          <w:szCs w:val="24"/>
          <w:color w:val="auto"/>
        </w:rPr>
        <w:t>President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Kate Gebo</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Executive Vice President, Human Resources</w:t>
      </w:r>
    </w:p>
    <w:p>
      <w:pPr>
        <w:spacing w:after="0" w:line="51" w:lineRule="exact"/>
        <w:rPr>
          <w:sz w:val="20"/>
          <w:szCs w:val="20"/>
          <w:color w:val="auto"/>
        </w:rPr>
      </w:pPr>
    </w:p>
    <w:p>
      <w:pPr>
        <w:spacing w:after="0"/>
        <w:rPr>
          <w:sz w:val="20"/>
          <w:szCs w:val="20"/>
          <w:color w:val="auto"/>
        </w:rPr>
      </w:pPr>
      <w:r>
        <w:rPr>
          <w:rFonts w:ascii="Arial" w:cs="Arial" w:eastAsia="Arial" w:hAnsi="Arial"/>
          <w:sz w:val="24"/>
          <w:szCs w:val="24"/>
          <w:color w:val="auto"/>
        </w:rPr>
        <w:t>and Labor Relations</w:t>
      </w:r>
    </w:p>
    <w:p>
      <w:pPr>
        <w:spacing w:after="0" w:line="200" w:lineRule="exact"/>
        <w:rPr>
          <w:sz w:val="20"/>
          <w:szCs w:val="20"/>
          <w:color w:val="auto"/>
        </w:rPr>
      </w:pPr>
    </w:p>
    <w:p>
      <w:pPr>
        <w:sectPr>
          <w:pgSz w:w="11880" w:h="15480" w:orient="portrait"/>
          <w:cols w:equalWidth="0" w:num="2">
            <w:col w:w="4320" w:space="720"/>
            <w:col w:w="4260"/>
          </w:cols>
          <w:pgMar w:left="1260" w:top="1237" w:right="1320"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Josh Earnest</w:t>
      </w:r>
    </w:p>
    <w:p>
      <w:pPr>
        <w:spacing w:after="0" w:line="20" w:lineRule="exact"/>
        <w:rPr>
          <w:sz w:val="20"/>
          <w:szCs w:val="20"/>
          <w:color w:val="auto"/>
        </w:rPr>
      </w:pPr>
    </w:p>
    <w:p>
      <w:pPr>
        <w:spacing w:after="0"/>
        <w:rPr>
          <w:sz w:val="20"/>
          <w:szCs w:val="20"/>
          <w:color w:val="auto"/>
        </w:rPr>
      </w:pPr>
      <w:r>
        <w:rPr>
          <w:rFonts w:ascii="Arial" w:cs="Arial" w:eastAsia="Arial" w:hAnsi="Arial"/>
          <w:sz w:val="24"/>
          <w:szCs w:val="24"/>
          <w:color w:val="auto"/>
        </w:rPr>
        <w:t>Executive Vice President of</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Communications and Advertising</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Michael (Mike) Leskinen</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Executive Vice President and</w:t>
      </w:r>
    </w:p>
    <w:p>
      <w:pPr>
        <w:spacing w:after="0" w:line="51" w:lineRule="exact"/>
        <w:rPr>
          <w:sz w:val="20"/>
          <w:szCs w:val="20"/>
          <w:color w:val="auto"/>
        </w:rPr>
      </w:pPr>
    </w:p>
    <w:p>
      <w:pPr>
        <w:spacing w:after="0"/>
        <w:rPr>
          <w:sz w:val="20"/>
          <w:szCs w:val="20"/>
          <w:color w:val="auto"/>
        </w:rPr>
      </w:pPr>
      <w:r>
        <w:rPr>
          <w:rFonts w:ascii="Arial" w:cs="Arial" w:eastAsia="Arial" w:hAnsi="Arial"/>
          <w:sz w:val="24"/>
          <w:szCs w:val="24"/>
          <w:color w:val="auto"/>
        </w:rPr>
        <w:t>Chief Financial Oﬃcer</w:t>
      </w:r>
    </w:p>
    <w:p>
      <w:pPr>
        <w:spacing w:after="0" w:line="200" w:lineRule="exact"/>
        <w:rPr>
          <w:sz w:val="20"/>
          <w:szCs w:val="20"/>
          <w:color w:val="auto"/>
        </w:rPr>
      </w:pPr>
    </w:p>
    <w:p>
      <w:pPr>
        <w:sectPr>
          <w:pgSz w:w="11880" w:h="15480" w:orient="portrait"/>
          <w:cols w:equalWidth="0" w:num="2">
            <w:col w:w="4320" w:space="720"/>
            <w:col w:w="4260"/>
          </w:cols>
          <w:pgMar w:left="1260" w:top="1237" w:right="1320"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Torbjorn (Toby) J. Enqvist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center"/>
        <w:ind w:right="2680"/>
        <w:spacing w:after="0"/>
        <w:rPr>
          <w:sz w:val="20"/>
          <w:szCs w:val="20"/>
          <w:color w:val="auto"/>
        </w:rPr>
      </w:pPr>
      <w:r>
        <w:rPr>
          <w:rFonts w:ascii="Arial" w:cs="Arial" w:eastAsia="Arial" w:hAnsi="Arial"/>
          <w:sz w:val="21"/>
          <w:szCs w:val="21"/>
          <w:b w:val="1"/>
          <w:bCs w:val="1"/>
          <w:color w:val="auto"/>
        </w:rPr>
        <w:t>Andrew Nocella</w:t>
      </w:r>
    </w:p>
    <w:p>
      <w:pPr>
        <w:spacing w:after="0" w:line="90" w:lineRule="exact"/>
        <w:rPr>
          <w:sz w:val="20"/>
          <w:szCs w:val="20"/>
          <w:color w:val="auto"/>
        </w:rPr>
      </w:pPr>
    </w:p>
    <w:p>
      <w:pPr>
        <w:sectPr>
          <w:pgSz w:w="11880" w:h="15480" w:orient="portrait"/>
          <w:cols w:equalWidth="0" w:num="2">
            <w:col w:w="4320" w:space="720"/>
            <w:col w:w="4260"/>
          </w:cols>
          <w:pgMar w:left="1260" w:top="1237" w:right="1320" w:bottom="1440" w:gutter="0" w:footer="0" w:header="0"/>
          <w:type w:val="continuous"/>
        </w:sectPr>
      </w:pPr>
    </w:p>
    <w:p>
      <w:pPr>
        <w:ind w:right="960"/>
        <w:spacing w:after="0" w:line="264" w:lineRule="auto"/>
        <w:rPr>
          <w:sz w:val="20"/>
          <w:szCs w:val="20"/>
          <w:color w:val="auto"/>
        </w:rPr>
      </w:pPr>
      <w:r>
        <w:rPr>
          <w:rFonts w:ascii="Arial" w:cs="Arial" w:eastAsia="Arial" w:hAnsi="Arial"/>
          <w:sz w:val="24"/>
          <w:szCs w:val="24"/>
          <w:color w:val="auto"/>
        </w:rPr>
        <w:t>Executive Vice President and Chief Operations Oﬃcer</w:t>
      </w:r>
    </w:p>
    <w:p>
      <w:pPr>
        <w:spacing w:after="0" w:line="20" w:lineRule="exact"/>
        <w:rPr>
          <w:sz w:val="20"/>
          <w:szCs w:val="20"/>
          <w:color w:val="auto"/>
        </w:rPr>
      </w:pPr>
      <w:r>
        <w:rPr>
          <w:sz w:val="20"/>
          <w:szCs w:val="20"/>
          <w:color w:val="auto"/>
        </w:rPr>
        <w:br w:type="column"/>
      </w:r>
    </w:p>
    <w:p>
      <w:pPr>
        <w:ind w:right="900"/>
        <w:spacing w:after="0" w:line="264" w:lineRule="auto"/>
        <w:rPr>
          <w:sz w:val="20"/>
          <w:szCs w:val="20"/>
          <w:color w:val="auto"/>
        </w:rPr>
      </w:pPr>
      <w:r>
        <w:rPr>
          <w:rFonts w:ascii="Arial" w:cs="Arial" w:eastAsia="Arial" w:hAnsi="Arial"/>
          <w:sz w:val="24"/>
          <w:szCs w:val="24"/>
          <w:color w:val="auto"/>
        </w:rPr>
        <w:t>Executive Vice President and Chief Commercial Oﬃcer</w:t>
      </w:r>
    </w:p>
    <w:p>
      <w:pPr>
        <w:sectPr>
          <w:pgSz w:w="11880" w:h="15480" w:orient="portrait"/>
          <w:cols w:equalWidth="0" w:num="2">
            <w:col w:w="4320" w:space="720"/>
            <w:col w:w="4260"/>
          </w:cols>
          <w:pgMar w:left="1260" w:top="1237" w:right="1320"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29"/>
          <w:szCs w:val="29"/>
          <w:color w:val="auto"/>
        </w:rPr>
        <w:t>United Airlines Holdings, Inc. | Stockholder Information</w:t>
      </w:r>
    </w:p>
    <w:p>
      <w:pPr>
        <w:sectPr>
          <w:pgSz w:w="11880" w:h="15480" w:orient="portrait"/>
          <w:cols w:equalWidth="0" w:num="1">
            <w:col w:w="10000"/>
          </w:cols>
          <w:pgMar w:left="1160" w:top="1237" w:right="720"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Airlines Holdings, Inc. General Oﬃces</w:t>
      </w:r>
    </w:p>
    <w:p>
      <w:pPr>
        <w:spacing w:after="0" w:line="43" w:lineRule="exact"/>
        <w:rPr>
          <w:sz w:val="20"/>
          <w:szCs w:val="20"/>
          <w:color w:val="auto"/>
        </w:rPr>
      </w:pPr>
    </w:p>
    <w:p>
      <w:pPr>
        <w:spacing w:after="0"/>
        <w:rPr>
          <w:sz w:val="20"/>
          <w:szCs w:val="20"/>
          <w:color w:val="auto"/>
        </w:rPr>
      </w:pPr>
      <w:r>
        <w:rPr>
          <w:rFonts w:ascii="Arial" w:cs="Arial" w:eastAsia="Arial" w:hAnsi="Arial"/>
          <w:sz w:val="24"/>
          <w:szCs w:val="24"/>
          <w:color w:val="auto"/>
        </w:rPr>
        <w:t>233 S. Wacker Drive</w:t>
      </w:r>
    </w:p>
    <w:p>
      <w:pPr>
        <w:spacing w:after="0" w:line="17" w:lineRule="exact"/>
        <w:rPr>
          <w:sz w:val="20"/>
          <w:szCs w:val="20"/>
          <w:color w:val="auto"/>
        </w:rPr>
      </w:pPr>
    </w:p>
    <w:p>
      <w:pPr>
        <w:spacing w:after="0"/>
        <w:rPr>
          <w:sz w:val="20"/>
          <w:szCs w:val="20"/>
          <w:color w:val="auto"/>
        </w:rPr>
      </w:pPr>
      <w:r>
        <w:rPr>
          <w:rFonts w:ascii="Arial" w:cs="Arial" w:eastAsia="Arial" w:hAnsi="Arial"/>
          <w:sz w:val="24"/>
          <w:szCs w:val="24"/>
          <w:color w:val="auto"/>
        </w:rPr>
        <w:t>Chicago, IL 60606</w:t>
      </w:r>
    </w:p>
    <w:p>
      <w:pPr>
        <w:spacing w:after="0" w:line="19" w:lineRule="exact"/>
        <w:rPr>
          <w:sz w:val="20"/>
          <w:szCs w:val="20"/>
          <w:color w:val="auto"/>
        </w:rPr>
      </w:pPr>
    </w:p>
    <w:p>
      <w:pPr>
        <w:spacing w:after="0"/>
        <w:rPr>
          <w:sz w:val="20"/>
          <w:szCs w:val="20"/>
          <w:color w:val="auto"/>
        </w:rPr>
      </w:pPr>
      <w:r>
        <w:rPr>
          <w:rFonts w:ascii="Arial" w:cs="Arial" w:eastAsia="Arial" w:hAnsi="Arial"/>
          <w:sz w:val="24"/>
          <w:szCs w:val="24"/>
          <w:color w:val="auto"/>
        </w:rPr>
        <w:t>Telephone: 872-825-4000</w:t>
      </w:r>
    </w:p>
    <w:p>
      <w:pPr>
        <w:spacing w:after="0" w:line="30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0"/>
          <w:szCs w:val="20"/>
          <w:color w:val="auto"/>
        </w:rPr>
      </w:pPr>
    </w:p>
    <w:p>
      <w:pPr>
        <w:jc w:val="both"/>
        <w:spacing w:after="0" w:line="275" w:lineRule="auto"/>
        <w:rPr>
          <w:sz w:val="20"/>
          <w:szCs w:val="20"/>
          <w:color w:val="auto"/>
        </w:rPr>
      </w:pPr>
      <w:r>
        <w:rPr>
          <w:rFonts w:ascii="Arial" w:cs="Arial" w:eastAsia="Arial" w:hAnsi="Arial"/>
          <w:sz w:val="23"/>
          <w:szCs w:val="23"/>
          <w:color w:val="auto"/>
        </w:rPr>
        <w:t>A copy of the Company’s Annual Report on Form 10-K for the fiscal year ended December 31, 2025, as filed with the U.S. Securities and Exchange Commission, is included herein. A copy of the Form 10-K may also be obtained without charge by writing or calling:</w:t>
      </w:r>
    </w:p>
    <w:p>
      <w:pPr>
        <w:spacing w:after="0" w:line="231" w:lineRule="exact"/>
        <w:rPr>
          <w:sz w:val="20"/>
          <w:szCs w:val="20"/>
          <w:color w:val="auto"/>
        </w:rPr>
      </w:pPr>
    </w:p>
    <w:p>
      <w:pPr>
        <w:ind w:right="2020"/>
        <w:spacing w:after="0" w:line="266" w:lineRule="auto"/>
        <w:rPr>
          <w:sz w:val="20"/>
          <w:szCs w:val="20"/>
          <w:color w:val="auto"/>
        </w:rPr>
      </w:pPr>
      <w:r>
        <w:rPr>
          <w:rFonts w:ascii="Arial" w:cs="Arial" w:eastAsia="Arial" w:hAnsi="Arial"/>
          <w:sz w:val="23"/>
          <w:szCs w:val="23"/>
          <w:color w:val="auto"/>
        </w:rPr>
        <w:t>Corporate Secretary’s Oﬃce 233 S. Wacker Drive Chicago, IL 60606 Telephone: 872-825-4000</w:t>
      </w:r>
    </w:p>
    <w:p>
      <w:pPr>
        <w:spacing w:after="0" w:line="1" w:lineRule="exact"/>
        <w:rPr>
          <w:sz w:val="20"/>
          <w:szCs w:val="20"/>
          <w:color w:val="auto"/>
        </w:rPr>
      </w:pPr>
    </w:p>
    <w:p>
      <w:pPr>
        <w:ind w:right="100"/>
        <w:spacing w:after="0" w:line="398" w:lineRule="auto"/>
        <w:rPr>
          <w:sz w:val="20"/>
          <w:szCs w:val="20"/>
          <w:color w:val="auto"/>
        </w:rPr>
      </w:pPr>
      <w:r>
        <w:rPr>
          <w:rFonts w:ascii="Arial" w:cs="Arial" w:eastAsia="Arial" w:hAnsi="Arial"/>
          <w:sz w:val="23"/>
          <w:szCs w:val="23"/>
          <w:color w:val="auto"/>
        </w:rPr>
        <w:t xml:space="preserve">The Form 10-K is also available at ir.united.com. </w:t>
      </w:r>
      <w:r>
        <w:rPr>
          <w:rFonts w:ascii="Arial" w:cs="Arial" w:eastAsia="Arial" w:hAnsi="Arial"/>
          <w:sz w:val="23"/>
          <w:szCs w:val="23"/>
          <w:b w:val="1"/>
          <w:bCs w:val="1"/>
          <w:color w:val="auto"/>
        </w:rPr>
        <w:t>Transfer Agent and Registrar</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24"/>
          <w:szCs w:val="24"/>
          <w:color w:val="auto"/>
        </w:rPr>
        <w:t>Registered shareholder inquiries regarding stock transfers, address changes, lost stock certificates, direct stock purchases, or account consolidation should be directed to:</w:t>
      </w:r>
    </w:p>
    <w:p>
      <w:pPr>
        <w:spacing w:after="0" w:line="236" w:lineRule="exact"/>
        <w:rPr>
          <w:sz w:val="20"/>
          <w:szCs w:val="20"/>
          <w:color w:val="auto"/>
        </w:rPr>
      </w:pPr>
    </w:p>
    <w:p>
      <w:pPr>
        <w:ind w:right="1560"/>
        <w:spacing w:after="0" w:line="381" w:lineRule="auto"/>
        <w:rPr>
          <w:sz w:val="20"/>
          <w:szCs w:val="20"/>
          <w:color w:val="auto"/>
        </w:rPr>
      </w:pPr>
      <w:r>
        <w:rPr>
          <w:rFonts w:ascii="Arial" w:cs="Arial" w:eastAsia="Arial" w:hAnsi="Arial"/>
          <w:sz w:val="24"/>
          <w:szCs w:val="24"/>
          <w:color w:val="auto"/>
        </w:rPr>
        <w:t>Computershare Investor Services By Regular Mail:</w:t>
      </w:r>
    </w:p>
    <w:p>
      <w:pPr>
        <w:spacing w:after="0" w:line="2" w:lineRule="exact"/>
        <w:rPr>
          <w:sz w:val="20"/>
          <w:szCs w:val="20"/>
          <w:color w:val="auto"/>
        </w:rPr>
      </w:pPr>
    </w:p>
    <w:p>
      <w:pPr>
        <w:ind w:right="2100"/>
        <w:spacing w:after="0" w:line="369" w:lineRule="auto"/>
        <w:rPr>
          <w:sz w:val="20"/>
          <w:szCs w:val="20"/>
          <w:color w:val="auto"/>
        </w:rPr>
      </w:pPr>
      <w:r>
        <w:rPr>
          <w:rFonts w:ascii="Arial" w:cs="Arial" w:eastAsia="Arial" w:hAnsi="Arial"/>
          <w:sz w:val="21"/>
          <w:szCs w:val="21"/>
          <w:color w:val="auto"/>
        </w:rPr>
        <w:t>P.O. Box 43006 Providence, RI. 02940-3006</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color w:val="auto"/>
        </w:rPr>
        <w:t>By Overnight Delivery:</w:t>
      </w:r>
    </w:p>
    <w:p>
      <w:pPr>
        <w:spacing w:after="0" w:line="19" w:lineRule="exact"/>
        <w:rPr>
          <w:sz w:val="20"/>
          <w:szCs w:val="20"/>
          <w:color w:val="auto"/>
        </w:rPr>
      </w:pPr>
    </w:p>
    <w:p>
      <w:pPr>
        <w:spacing w:after="0"/>
        <w:rPr>
          <w:sz w:val="20"/>
          <w:szCs w:val="20"/>
          <w:color w:val="auto"/>
        </w:rPr>
      </w:pPr>
      <w:r>
        <w:rPr>
          <w:rFonts w:ascii="Arial" w:cs="Arial" w:eastAsia="Arial" w:hAnsi="Arial"/>
          <w:sz w:val="24"/>
          <w:szCs w:val="24"/>
          <w:color w:val="auto"/>
        </w:rPr>
        <w:t>150 Royall Street</w:t>
      </w:r>
    </w:p>
    <w:p>
      <w:pPr>
        <w:spacing w:after="0" w:line="17" w:lineRule="exact"/>
        <w:rPr>
          <w:sz w:val="20"/>
          <w:szCs w:val="20"/>
          <w:color w:val="auto"/>
        </w:rPr>
      </w:pPr>
    </w:p>
    <w:p>
      <w:pPr>
        <w:spacing w:after="0"/>
        <w:rPr>
          <w:sz w:val="20"/>
          <w:szCs w:val="20"/>
          <w:color w:val="auto"/>
        </w:rPr>
      </w:pPr>
      <w:r>
        <w:rPr>
          <w:rFonts w:ascii="Arial" w:cs="Arial" w:eastAsia="Arial" w:hAnsi="Arial"/>
          <w:sz w:val="24"/>
          <w:szCs w:val="24"/>
          <w:color w:val="auto"/>
        </w:rPr>
        <w:t>Suite 101</w:t>
      </w:r>
    </w:p>
    <w:p>
      <w:pPr>
        <w:spacing w:after="0" w:line="17" w:lineRule="exact"/>
        <w:rPr>
          <w:sz w:val="20"/>
          <w:szCs w:val="20"/>
          <w:color w:val="auto"/>
        </w:rPr>
      </w:pPr>
    </w:p>
    <w:p>
      <w:pPr>
        <w:spacing w:after="0"/>
        <w:rPr>
          <w:sz w:val="20"/>
          <w:szCs w:val="20"/>
          <w:color w:val="auto"/>
        </w:rPr>
      </w:pPr>
      <w:r>
        <w:rPr>
          <w:rFonts w:ascii="Arial" w:cs="Arial" w:eastAsia="Arial" w:hAnsi="Arial"/>
          <w:sz w:val="24"/>
          <w:szCs w:val="24"/>
          <w:color w:val="auto"/>
        </w:rPr>
        <w:t>Canton, MA 02021</w:t>
      </w:r>
    </w:p>
    <w:p>
      <w:pPr>
        <w:spacing w:after="0" w:line="310" w:lineRule="exact"/>
        <w:rPr>
          <w:sz w:val="20"/>
          <w:szCs w:val="20"/>
          <w:color w:val="auto"/>
        </w:rPr>
      </w:pPr>
    </w:p>
    <w:p>
      <w:pPr>
        <w:ind w:right="360"/>
        <w:spacing w:after="0" w:line="273" w:lineRule="auto"/>
        <w:rPr>
          <w:sz w:val="20"/>
          <w:szCs w:val="20"/>
          <w:color w:val="auto"/>
        </w:rPr>
      </w:pPr>
      <w:r>
        <w:rPr>
          <w:rFonts w:ascii="Arial" w:cs="Arial" w:eastAsia="Arial" w:hAnsi="Arial"/>
          <w:sz w:val="24"/>
          <w:szCs w:val="24"/>
          <w:color w:val="auto"/>
        </w:rPr>
        <w:t>Toll free: 800-919-7931 and direct dial: 312-588-4267 htps://www-us.computershare.com/Investor</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Annual Meeting</w:t>
      </w:r>
    </w:p>
    <w:p>
      <w:pPr>
        <w:spacing w:after="0" w:line="20" w:lineRule="exact"/>
        <w:rPr>
          <w:sz w:val="20"/>
          <w:szCs w:val="20"/>
          <w:color w:val="auto"/>
        </w:rPr>
      </w:pPr>
    </w:p>
    <w:p>
      <w:pPr>
        <w:jc w:val="both"/>
        <w:spacing w:after="0" w:line="255" w:lineRule="auto"/>
        <w:rPr>
          <w:sz w:val="20"/>
          <w:szCs w:val="20"/>
          <w:color w:val="auto"/>
        </w:rPr>
      </w:pPr>
      <w:r>
        <w:rPr>
          <w:rFonts w:ascii="Arial" w:cs="Arial" w:eastAsia="Arial" w:hAnsi="Arial"/>
          <w:sz w:val="24"/>
          <w:szCs w:val="24"/>
          <w:color w:val="auto"/>
        </w:rPr>
        <w:t>The 2026 Annual Meeting will be held as a virtual-only meeting.</w:t>
      </w:r>
    </w:p>
    <w:p>
      <w:pPr>
        <w:spacing w:after="0" w:line="2" w:lineRule="exact"/>
        <w:rPr>
          <w:sz w:val="20"/>
          <w:szCs w:val="20"/>
          <w:color w:val="auto"/>
        </w:rPr>
      </w:pPr>
    </w:p>
    <w:p>
      <w:pPr>
        <w:spacing w:after="0"/>
        <w:rPr>
          <w:sz w:val="20"/>
          <w:szCs w:val="20"/>
          <w:color w:val="auto"/>
        </w:rPr>
      </w:pPr>
      <w:r>
        <w:rPr>
          <w:rFonts w:ascii="Arial" w:cs="Arial" w:eastAsia="Arial" w:hAnsi="Arial"/>
          <w:sz w:val="24"/>
          <w:szCs w:val="24"/>
          <w:color w:val="auto"/>
        </w:rPr>
        <w:t>Date: Tuesday, May 19, 2026</w:t>
      </w:r>
    </w:p>
    <w:p>
      <w:pPr>
        <w:spacing w:after="0" w:line="17" w:lineRule="exact"/>
        <w:rPr>
          <w:sz w:val="20"/>
          <w:szCs w:val="20"/>
          <w:color w:val="auto"/>
        </w:rPr>
      </w:pPr>
    </w:p>
    <w:p>
      <w:pPr>
        <w:spacing w:after="0"/>
        <w:rPr>
          <w:sz w:val="20"/>
          <w:szCs w:val="20"/>
          <w:color w:val="auto"/>
        </w:rPr>
      </w:pPr>
      <w:r>
        <w:rPr>
          <w:rFonts w:ascii="Arial" w:cs="Arial" w:eastAsia="Arial" w:hAnsi="Arial"/>
          <w:sz w:val="24"/>
          <w:szCs w:val="24"/>
          <w:color w:val="auto"/>
        </w:rPr>
        <w:t>Time: 9:00 a.m. CDT</w:t>
      </w:r>
    </w:p>
    <w:p>
      <w:pPr>
        <w:spacing w:after="0" w:line="17" w:lineRule="exact"/>
        <w:rPr>
          <w:sz w:val="20"/>
          <w:szCs w:val="20"/>
          <w:color w:val="auto"/>
        </w:rPr>
      </w:pPr>
    </w:p>
    <w:p>
      <w:pPr>
        <w:spacing w:after="0"/>
        <w:rPr>
          <w:sz w:val="20"/>
          <w:szCs w:val="20"/>
          <w:color w:val="auto"/>
        </w:rPr>
      </w:pPr>
      <w:r>
        <w:rPr>
          <w:rFonts w:ascii="Arial" w:cs="Arial" w:eastAsia="Arial" w:hAnsi="Arial"/>
          <w:sz w:val="24"/>
          <w:szCs w:val="24"/>
          <w:color w:val="auto"/>
        </w:rPr>
        <w:t>Virtual Shareholder Meeting:</w:t>
      </w:r>
    </w:p>
    <w:p>
      <w:pPr>
        <w:spacing w:after="0" w:line="17" w:lineRule="exact"/>
        <w:rPr>
          <w:sz w:val="20"/>
          <w:szCs w:val="20"/>
          <w:color w:val="auto"/>
        </w:rPr>
      </w:pPr>
    </w:p>
    <w:p>
      <w:pPr>
        <w:spacing w:after="0"/>
        <w:rPr>
          <w:sz w:val="20"/>
          <w:szCs w:val="20"/>
          <w:color w:val="auto"/>
        </w:rPr>
      </w:pPr>
      <w:r>
        <w:rPr>
          <w:rFonts w:ascii="Arial" w:cs="Arial" w:eastAsia="Arial" w:hAnsi="Arial"/>
          <w:sz w:val="23"/>
          <w:szCs w:val="23"/>
          <w:color w:val="auto"/>
        </w:rPr>
        <w:t>www.virtualshareholdermeeting.com/UAL2026</w:t>
      </w:r>
    </w:p>
    <w:p>
      <w:pPr>
        <w:spacing w:after="0" w:line="31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Stock Exchange Listing</w:t>
      </w:r>
    </w:p>
    <w:p>
      <w:pPr>
        <w:spacing w:after="0" w:line="20" w:lineRule="exact"/>
        <w:rPr>
          <w:sz w:val="20"/>
          <w:szCs w:val="20"/>
          <w:color w:val="auto"/>
        </w:rPr>
      </w:pPr>
    </w:p>
    <w:p>
      <w:pPr>
        <w:spacing w:after="0"/>
        <w:rPr>
          <w:sz w:val="20"/>
          <w:szCs w:val="20"/>
          <w:color w:val="auto"/>
        </w:rPr>
      </w:pPr>
      <w:r>
        <w:rPr>
          <w:rFonts w:ascii="Arial" w:cs="Arial" w:eastAsia="Arial" w:hAnsi="Arial"/>
          <w:sz w:val="24"/>
          <w:szCs w:val="24"/>
          <w:color w:val="auto"/>
        </w:rPr>
        <w:t>Nasdaq Stock Market</w:t>
      </w:r>
    </w:p>
    <w:p>
      <w:pPr>
        <w:spacing w:after="0" w:line="17" w:lineRule="exact"/>
        <w:rPr>
          <w:sz w:val="20"/>
          <w:szCs w:val="20"/>
          <w:color w:val="auto"/>
        </w:rPr>
      </w:pPr>
    </w:p>
    <w:p>
      <w:pPr>
        <w:spacing w:after="0"/>
        <w:rPr>
          <w:sz w:val="20"/>
          <w:szCs w:val="20"/>
          <w:color w:val="auto"/>
        </w:rPr>
      </w:pPr>
      <w:r>
        <w:rPr>
          <w:rFonts w:ascii="Arial" w:cs="Arial" w:eastAsia="Arial" w:hAnsi="Arial"/>
          <w:sz w:val="24"/>
          <w:szCs w:val="24"/>
          <w:color w:val="auto"/>
        </w:rPr>
        <w:t>Ticker symbol: UAL</w:t>
      </w:r>
    </w:p>
    <w:p>
      <w:pPr>
        <w:spacing w:after="0" w:line="307" w:lineRule="exact"/>
        <w:rPr>
          <w:sz w:val="20"/>
          <w:szCs w:val="20"/>
          <w:color w:val="auto"/>
        </w:rPr>
      </w:pPr>
    </w:p>
    <w:p>
      <w:pPr>
        <w:ind w:right="40"/>
        <w:spacing w:after="0" w:line="295" w:lineRule="auto"/>
        <w:rPr>
          <w:sz w:val="20"/>
          <w:szCs w:val="20"/>
          <w:color w:val="auto"/>
        </w:rPr>
      </w:pPr>
      <w:r>
        <w:rPr>
          <w:rFonts w:ascii="Arial" w:cs="Arial" w:eastAsia="Arial" w:hAnsi="Arial"/>
          <w:sz w:val="24"/>
          <w:szCs w:val="24"/>
          <w:b w:val="1"/>
          <w:bCs w:val="1"/>
          <w:color w:val="auto"/>
        </w:rPr>
        <w:t xml:space="preserve">Independent Registered Public Accounting Firm </w:t>
      </w:r>
      <w:r>
        <w:rPr>
          <w:rFonts w:ascii="Arial" w:cs="Arial" w:eastAsia="Arial" w:hAnsi="Arial"/>
          <w:sz w:val="24"/>
          <w:szCs w:val="24"/>
          <w:color w:val="auto"/>
        </w:rPr>
        <w:t>Ernst &amp; Young LLP</w:t>
      </w:r>
    </w:p>
    <w:p>
      <w:pPr>
        <w:spacing w:after="0" w:line="20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Additional Information</w:t>
      </w:r>
    </w:p>
    <w:p>
      <w:pPr>
        <w:spacing w:after="0" w:line="20" w:lineRule="exact"/>
        <w:rPr>
          <w:sz w:val="20"/>
          <w:szCs w:val="20"/>
          <w:color w:val="auto"/>
        </w:rPr>
      </w:pPr>
    </w:p>
    <w:p>
      <w:pPr>
        <w:jc w:val="both"/>
        <w:spacing w:after="0" w:line="295" w:lineRule="auto"/>
        <w:rPr>
          <w:sz w:val="20"/>
          <w:szCs w:val="20"/>
          <w:color w:val="auto"/>
        </w:rPr>
      </w:pPr>
      <w:r>
        <w:rPr>
          <w:rFonts w:ascii="Arial" w:cs="Arial" w:eastAsia="Arial" w:hAnsi="Arial"/>
          <w:sz w:val="21"/>
          <w:szCs w:val="21"/>
          <w:color w:val="auto"/>
        </w:rPr>
        <w:t>This Annual Report contains various "forward-looking statements" within the meaning of Section 27A of the Securities Act of 1933, as amended, and Section 21E of the Securities Exchange Act of 1934, as amended. Forward-looking statements represent our expectations and beliefs concerning future results or events, based on information available to us on the date of the filing of the Form 10-K, and are subject to various risks and uncertainties. Factors that could cause actual results or events to diﬀer materially from those referenced in the forward-looking statements are listed in Part I, Item 1A. Risk Factors and in Part II, Item 7. Management's Discussion and Analysis of Financial Condition and Results of Operations of the Form 10-K. We disclaim any intent or obligation to update or revise any of the forward-looking statements, whether in response to new information, unforeseen events, changed circumstances or otherwise, except as required by applicable law.</w:t>
      </w:r>
    </w:p>
    <w:p>
      <w:pPr>
        <w:sectPr>
          <w:pgSz w:w="11880" w:h="15480" w:orient="portrait"/>
          <w:cols w:equalWidth="0" w:num="2">
            <w:col w:w="4780" w:space="440"/>
            <w:col w:w="4780"/>
          </w:cols>
          <w:pgMar w:left="1160" w:top="1237" w:right="720" w:bottom="1440" w:gutter="0" w:footer="0" w:header="0"/>
          <w:type w:val="continuous"/>
        </w:sectPr>
      </w:pPr>
    </w:p>
    <w:bookmarkStart w:id="118" w:name="page119"/>
    <w:bookmarkEnd w:id="118"/>
    <w:p>
      <w:pPr>
        <w:jc w:val="both"/>
        <w:spacing w:after="0" w:line="295" w:lineRule="auto"/>
        <w:rPr>
          <w:sz w:val="20"/>
          <w:szCs w:val="20"/>
          <w:color w:val="auto"/>
        </w:rPr>
      </w:pPr>
    </w:p>
    <w:p>
      <w:pPr>
        <w:sectPr>
          <w:pgSz w:w="11880" w:h="15480" w:orient="portrait"/>
          <w:cols w:equalWidth="1" w:num="1" w:space="0"/>
          <w:pgMar w:left="1440" w:top="1440" w:right="1440" w:bottom="875"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2057400</wp:posOffset>
            </wp:positionH>
            <wp:positionV relativeFrom="page">
              <wp:posOffset>3288665</wp:posOffset>
            </wp:positionV>
            <wp:extent cx="3429635" cy="7270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51">
                      <a:extLst>
                        <a:ext uri="{28A0092B-C50C-407E-A947-70E740481C1C}"/>
                      </a:extLst>
                    </a:blip>
                    <a:srcRect/>
                    <a:stretch>
                      <a:fillRect/>
                    </a:stretch>
                  </pic:blipFill>
                  <pic:spPr bwMode="auto">
                    <a:xfrm>
                      <a:off x="0" y="0"/>
                      <a:ext cx="3429635" cy="72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32"/>
          <w:szCs w:val="32"/>
          <w:color w:val="002F93"/>
        </w:rPr>
        <w:t>ir.united.com</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32"/>
          <w:szCs w:val="32"/>
          <w:color w:val="002F93"/>
        </w:rPr>
        <w:t>InvestorRelations@united.com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2571115</wp:posOffset>
            </wp:positionH>
            <wp:positionV relativeFrom="paragraph">
              <wp:posOffset>2017395</wp:posOffset>
            </wp:positionV>
            <wp:extent cx="573405" cy="8820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52">
                      <a:extLst>
                        <a:ext uri="{28A0092B-C50C-407E-A947-70E740481C1C}"/>
                      </a:extLst>
                    </a:blip>
                    <a:srcRect/>
                    <a:stretch>
                      <a:fillRect/>
                    </a:stretch>
                  </pic:blipFill>
                  <pic:spPr bwMode="auto">
                    <a:xfrm>
                      <a:off x="0" y="0"/>
                      <a:ext cx="573405" cy="882015"/>
                    </a:xfrm>
                    <a:prstGeom prst="rect">
                      <a:avLst/>
                    </a:prstGeom>
                    <a:noFill/>
                  </pic:spPr>
                </pic:pic>
              </a:graphicData>
            </a:graphic>
          </wp:anchor>
        </w:drawing>
      </w:r>
    </w:p>
    <w:sectPr>
      <w:pgSz w:w="11880" w:h="15480" w:orient="portrait"/>
      <w:cols w:equalWidth="0" w:num="1">
        <w:col w:w="900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872"/>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lowerRoman"/>
      <w:start w:val="3"/>
    </w:lvl>
  </w:abstractNum>
  <w:abstractNum w:abstractNumId="6">
    <w:nsid w:val="8138641"/>
    <w:multiLevelType w:val="hybridMultilevel"/>
    <w:lvl w:ilvl="0">
      <w:lvlJc w:val="left"/>
      <w:lvlText w:val="1"/>
      <w:numFmt w:val="bullet"/>
      <w:start w:val="1"/>
    </w:lvl>
  </w:abstractNum>
  <w:abstractNum w:abstractNumId="7">
    <w:nsid w:val="1E7FF521"/>
    <w:multiLevelType w:val="hybridMultilevel"/>
    <w:lvl w:ilvl="0">
      <w:lvlJc w:val="left"/>
      <w:lvlText w:val="•"/>
      <w:numFmt w:val="bullet"/>
      <w:start w:val="1"/>
    </w:lvl>
    <w:lvl w:ilvl="1">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3"/>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lowerLetter"/>
      <w:start w:val="1"/>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
      <w:numFmt w:val="bullet"/>
      <w:start w:val="1"/>
    </w:lvl>
    <w:lvl w:ilvl="1">
      <w:lvlJc w:val="left"/>
      <w:lvlText w:val="\endash "/>
      <w:numFmt w:val="bullet"/>
      <w:start w:val="1"/>
    </w:lvl>
  </w:abstractNum>
  <w:abstractNum w:abstractNumId="17">
    <w:nsid w:val="440BADFC"/>
    <w:multiLevelType w:val="hybridMultilevel"/>
    <w:lvl w:ilvl="0">
      <w:lvlJc w:val="left"/>
      <w:lvlText w:val="(%1)"/>
      <w:numFmt w:val="lowerLetter"/>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lowerLetter"/>
      <w:start w:val="1"/>
    </w:lvl>
  </w:abstractNum>
  <w:abstractNum w:abstractNumId="21">
    <w:nsid w:val="7724C67E"/>
    <w:multiLevelType w:val="hybridMultilevel"/>
    <w:lvl w:ilvl="0">
      <w:lvlJc w:val="left"/>
      <w:lvlText w:val="(%1)"/>
      <w:numFmt w:val="lowerLetter"/>
      <w:start w:val="2"/>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decimal"/>
      <w:start w:val="631"/>
    </w:lvl>
  </w:abstractNum>
  <w:abstractNum w:abstractNumId="25">
    <w:nsid w:val="51EAD36B"/>
    <w:multiLevelType w:val="hybridMultilevel"/>
    <w:lvl w:ilvl="0">
      <w:lvlJc w:val="left"/>
      <w:lvlText w:val="%1"/>
      <w:numFmt w:val="decimal"/>
      <w:start w:val="757"/>
    </w:lvl>
  </w:abstractNum>
  <w:abstractNum w:abstractNumId="26">
    <w:nsid w:val="2D517796"/>
    <w:multiLevelType w:val="hybridMultilevel"/>
    <w:lvl w:ilvl="0">
      <w:lvlJc w:val="left"/>
      <w:lvlText w:val="%1"/>
      <w:numFmt w:val="decimal"/>
      <w:start w:val="48"/>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lowerLetter"/>
      <w:start w:val="1"/>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lowerLetter"/>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1"/>
    </w:lvl>
    <w:lvl w:ilvl="1">
      <w:lvlJc w:val="left"/>
      <w:lvlText w:val="(%2)"/>
      <w:numFmt w:val="decimal"/>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
      <w:numFmt w:val="bullet"/>
      <w:start w:val="1"/>
    </w:lvl>
  </w:abstractNum>
  <w:abstractNum w:abstractNumId="41">
    <w:nsid w:val="38437FDB"/>
    <w:multiLevelType w:val="hybridMultilevel"/>
    <w:lvl w:ilvl="0">
      <w:lvlJc w:val="left"/>
      <w:lvlText w:val=" "/>
      <w:numFmt w:val="bullet"/>
      <w:start w:val="1"/>
    </w:lvl>
  </w:abstractNum>
  <w:abstractNum w:abstractNumId="42">
    <w:nsid w:val="7644A45C"/>
    <w:multiLevelType w:val="hybridMultilevel"/>
    <w:lvl w:ilvl="0">
      <w:lvlJc w:val="left"/>
      <w:lvlText w:val=" "/>
      <w:numFmt w:val="bullet"/>
      <w:start w:val="1"/>
    </w:lvl>
  </w:abstractNum>
  <w:abstractNum w:abstractNumId="43">
    <w:nsid w:val="32FFF902"/>
    <w:multiLevelType w:val="hybridMultilevel"/>
    <w:lvl w:ilvl="0">
      <w:lvlJc w:val="left"/>
      <w:lvlText w:val=" "/>
      <w:numFmt w:val="bullet"/>
      <w:start w:val="1"/>
    </w:lvl>
  </w:abstractNum>
  <w:abstractNum w:abstractNumId="44">
    <w:nsid w:val="684A481A"/>
    <w:multiLevelType w:val="hybridMultilevel"/>
    <w:lvl w:ilvl="0">
      <w:lvlJc w:val="left"/>
      <w:lvlText w:val=" "/>
      <w:numFmt w:val="bullet"/>
      <w:start w:val="1"/>
    </w:lvl>
  </w:abstractNum>
  <w:abstractNum w:abstractNumId="45">
    <w:nsid w:val="579478FE"/>
    <w:multiLevelType w:val="hybridMultilevel"/>
    <w:lvl w:ilvl="0">
      <w:lvlJc w:val="left"/>
      <w:lvlText w:val=" "/>
      <w:numFmt w:val="bullet"/>
      <w:start w:val="1"/>
    </w:lvl>
  </w:abstractNum>
  <w:abstractNum w:abstractNumId="46">
    <w:nsid w:val="749ABB43"/>
    <w:multiLevelType w:val="hybridMultilevel"/>
    <w:lvl w:ilvl="0">
      <w:lvlJc w:val="left"/>
      <w:lvlText w:val=" "/>
      <w:numFmt w:val="bullet"/>
      <w:start w:val="1"/>
    </w:lvl>
  </w:abstractNum>
  <w:abstractNum w:abstractNumId="47">
    <w:nsid w:val="3DC240FB"/>
    <w:multiLevelType w:val="hybridMultilevel"/>
    <w:lvl w:ilvl="0">
      <w:lvlJc w:val="left"/>
      <w:lvlText w:val=" "/>
      <w:numFmt w:val="bullet"/>
      <w:start w:val="1"/>
    </w:lvl>
  </w:abstractNum>
  <w:abstractNum w:abstractNumId="48">
    <w:nsid w:val="1BA026FA"/>
    <w:multiLevelType w:val="hybridMultilevel"/>
    <w:lvl w:ilvl="0">
      <w:lvlJc w:val="left"/>
      <w:lvlText w:val=" "/>
      <w:numFmt w:val="bullet"/>
      <w:start w:val="1"/>
    </w:lvl>
  </w:abstractNum>
  <w:abstractNum w:abstractNumId="49">
    <w:nsid w:val="79A1DEAA"/>
    <w:multiLevelType w:val="hybridMultilevel"/>
    <w:lvl w:ilvl="0">
      <w:lvlJc w:val="left"/>
      <w:lvlText w:val=" "/>
      <w:numFmt w:val="bullet"/>
      <w:start w:val="1"/>
    </w:lvl>
  </w:abstractNum>
  <w:abstractNum w:abstractNumId="50">
    <w:nsid w:val="75C6C33A"/>
    <w:multiLevelType w:val="hybridMultilevel"/>
    <w:lvl w:ilvl="0">
      <w:lvlJc w:val="left"/>
      <w:lvlText w:val=" "/>
      <w:numFmt w:val="bullet"/>
      <w:start w:val="1"/>
    </w:lvl>
  </w:abstractNum>
  <w:abstractNum w:abstractNumId="51">
    <w:nsid w:val="12E685FB"/>
    <w:multiLevelType w:val="hybridMultilevel"/>
    <w:lvl w:ilvl="0">
      <w:lvlJc w:val="left"/>
      <w:lvlText w:val=" "/>
      <w:numFmt w:val="bullet"/>
      <w:start w:val="1"/>
    </w:lvl>
  </w:abstractNum>
  <w:abstractNum w:abstractNumId="52">
    <w:nsid w:val="70C6A529"/>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2026-04-07T19:54:52Z</dcterms:created>
  <dcterms:modified xsi:type="dcterms:W3CDTF">2026-04-07T19:54:52Z</dcterms:modified>
</cp:coreProperties>
</file>