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11,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AIRLINES HOLDINGS,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AIRLINES, INC.</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38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3"/>
              </w:rPr>
              <w:t>Delaware</w:t>
            </w:r>
          </w:p>
        </w:tc>
        <w:tc>
          <w:tcPr>
            <w:tcW w:w="2600" w:type="dxa"/>
            <w:vAlign w:val="bottom"/>
          </w:tcPr>
          <w:p>
            <w:pPr>
              <w:jc w:val="center"/>
              <w:ind w:right="450"/>
              <w:spacing w:after="0"/>
              <w:rPr>
                <w:sz w:val="20"/>
                <w:szCs w:val="20"/>
                <w:color w:val="auto"/>
              </w:rPr>
            </w:pPr>
            <w:r>
              <w:rPr>
                <w:rFonts w:ascii="Arial" w:cs="Arial" w:eastAsia="Arial" w:hAnsi="Arial"/>
                <w:sz w:val="18"/>
                <w:szCs w:val="18"/>
                <w:b w:val="1"/>
                <w:bCs w:val="1"/>
                <w:color w:val="auto"/>
                <w:w w:val="90"/>
              </w:rPr>
              <w:t>001-06033</w:t>
            </w:r>
          </w:p>
        </w:tc>
        <w:tc>
          <w:tcPr>
            <w:tcW w:w="314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36-2675207</w:t>
            </w:r>
          </w:p>
        </w:tc>
      </w:tr>
      <w:tr>
        <w:trPr>
          <w:trHeight w:val="216"/>
        </w:trPr>
        <w:tc>
          <w:tcPr>
            <w:tcW w:w="38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3"/>
              </w:rPr>
              <w:t>Delaware</w:t>
            </w:r>
          </w:p>
        </w:tc>
        <w:tc>
          <w:tcPr>
            <w:tcW w:w="2600" w:type="dxa"/>
            <w:vAlign w:val="bottom"/>
          </w:tcPr>
          <w:p>
            <w:pPr>
              <w:jc w:val="center"/>
              <w:ind w:right="450"/>
              <w:spacing w:after="0"/>
              <w:rPr>
                <w:sz w:val="20"/>
                <w:szCs w:val="20"/>
                <w:color w:val="auto"/>
              </w:rPr>
            </w:pPr>
            <w:r>
              <w:rPr>
                <w:rFonts w:ascii="Arial" w:cs="Arial" w:eastAsia="Arial" w:hAnsi="Arial"/>
                <w:sz w:val="18"/>
                <w:szCs w:val="18"/>
                <w:b w:val="1"/>
                <w:bCs w:val="1"/>
                <w:color w:val="auto"/>
                <w:w w:val="90"/>
              </w:rPr>
              <w:t>001-10323</w:t>
            </w:r>
          </w:p>
        </w:tc>
        <w:tc>
          <w:tcPr>
            <w:tcW w:w="314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74-2099724</w:t>
            </w:r>
          </w:p>
        </w:tc>
      </w:tr>
      <w:tr>
        <w:trPr>
          <w:trHeight w:val="216"/>
        </w:trPr>
        <w:tc>
          <w:tcPr>
            <w:tcW w:w="38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(State or other jurisdiction</w:t>
            </w:r>
          </w:p>
        </w:tc>
        <w:tc>
          <w:tcPr>
            <w:tcW w:w="2600" w:type="dxa"/>
            <w:vAlign w:val="bottom"/>
          </w:tcPr>
          <w:p>
            <w:pPr>
              <w:jc w:val="center"/>
              <w:ind w:right="450"/>
              <w:spacing w:after="0"/>
              <w:rPr>
                <w:sz w:val="20"/>
                <w:szCs w:val="20"/>
                <w:color w:val="auto"/>
              </w:rPr>
            </w:pPr>
            <w:r>
              <w:rPr>
                <w:rFonts w:ascii="Arial" w:cs="Arial" w:eastAsia="Arial" w:hAnsi="Arial"/>
                <w:sz w:val="18"/>
                <w:szCs w:val="18"/>
                <w:b w:val="1"/>
                <w:bCs w:val="1"/>
                <w:color w:val="auto"/>
                <w:w w:val="89"/>
              </w:rPr>
              <w:t>(Commission File</w:t>
            </w:r>
          </w:p>
        </w:tc>
        <w:tc>
          <w:tcPr>
            <w:tcW w:w="3140" w:type="dxa"/>
            <w:vAlign w:val="bottom"/>
          </w:tcPr>
          <w:p>
            <w:pPr>
              <w:jc w:val="center"/>
              <w:ind w:left="12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8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0"/>
              </w:rPr>
              <w:t>of incorporation)</w:t>
            </w:r>
          </w:p>
        </w:tc>
        <w:tc>
          <w:tcPr>
            <w:tcW w:w="2600" w:type="dxa"/>
            <w:vAlign w:val="bottom"/>
          </w:tcPr>
          <w:p>
            <w:pPr>
              <w:jc w:val="center"/>
              <w:ind w:right="450"/>
              <w:spacing w:after="0"/>
              <w:rPr>
                <w:sz w:val="20"/>
                <w:szCs w:val="20"/>
                <w:color w:val="auto"/>
              </w:rPr>
            </w:pPr>
            <w:r>
              <w:rPr>
                <w:rFonts w:ascii="Arial" w:cs="Arial" w:eastAsia="Arial" w:hAnsi="Arial"/>
                <w:sz w:val="18"/>
                <w:szCs w:val="18"/>
                <w:b w:val="1"/>
                <w:bCs w:val="1"/>
                <w:color w:val="auto"/>
                <w:w w:val="94"/>
              </w:rPr>
              <w:t>Number)</w:t>
            </w:r>
          </w:p>
        </w:tc>
        <w:tc>
          <w:tcPr>
            <w:tcW w:w="3140" w:type="dxa"/>
            <w:vAlign w:val="bottom"/>
          </w:tcPr>
          <w:p>
            <w:pPr>
              <w:jc w:val="center"/>
              <w:ind w:left="127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382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233 S. Wacker Drive, Chicago, IL</w:t>
            </w:r>
          </w:p>
        </w:tc>
        <w:tc>
          <w:tcPr>
            <w:tcW w:w="2600" w:type="dxa"/>
            <w:vAlign w:val="bottom"/>
          </w:tcPr>
          <w:p>
            <w:pPr>
              <w:spacing w:after="0"/>
              <w:rPr>
                <w:sz w:val="24"/>
                <w:szCs w:val="24"/>
                <w:color w:val="auto"/>
              </w:rPr>
            </w:pPr>
          </w:p>
        </w:tc>
        <w:tc>
          <w:tcPr>
            <w:tcW w:w="314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60606</w:t>
            </w:r>
          </w:p>
        </w:tc>
      </w:tr>
      <w:tr>
        <w:trPr>
          <w:trHeight w:val="216"/>
        </w:trPr>
        <w:tc>
          <w:tcPr>
            <w:tcW w:w="382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233 S. Wacker Drive, Chicago, IL</w:t>
            </w:r>
          </w:p>
        </w:tc>
        <w:tc>
          <w:tcPr>
            <w:tcW w:w="2600" w:type="dxa"/>
            <w:vAlign w:val="bottom"/>
          </w:tcPr>
          <w:p>
            <w:pPr>
              <w:spacing w:after="0"/>
              <w:rPr>
                <w:sz w:val="18"/>
                <w:szCs w:val="18"/>
                <w:color w:val="auto"/>
              </w:rPr>
            </w:pPr>
          </w:p>
        </w:tc>
        <w:tc>
          <w:tcPr>
            <w:tcW w:w="314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60606</w:t>
            </w:r>
          </w:p>
        </w:tc>
      </w:tr>
      <w:tr>
        <w:trPr>
          <w:trHeight w:val="234"/>
        </w:trPr>
        <w:tc>
          <w:tcPr>
            <w:tcW w:w="382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600" w:type="dxa"/>
            <w:vAlign w:val="bottom"/>
          </w:tcPr>
          <w:p>
            <w:pPr>
              <w:spacing w:after="0"/>
              <w:rPr>
                <w:sz w:val="20"/>
                <w:szCs w:val="20"/>
                <w:color w:val="auto"/>
              </w:rPr>
            </w:pPr>
          </w:p>
        </w:tc>
        <w:tc>
          <w:tcPr>
            <w:tcW w:w="3140" w:type="dxa"/>
            <w:vAlign w:val="bottom"/>
          </w:tcPr>
          <w:p>
            <w:pPr>
              <w:jc w:val="center"/>
              <w:ind w:right="45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00" w:hanging="438"/>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right="2860" w:firstLine="8"/>
        <w:spacing w:after="0" w:line="498" w:lineRule="auto"/>
        <w:tabs>
          <w:tab w:leader="none" w:pos="3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w:t>
            </w:r>
          </w:p>
        </w:tc>
      </w:tr>
      <w:tr>
        <w:trPr>
          <w:trHeight w:val="248"/>
        </w:trPr>
        <w:tc>
          <w:tcPr>
            <w:tcW w:w="2940" w:type="dxa"/>
            <w:vAlign w:val="bottom"/>
            <w:gridSpan w:val="2"/>
          </w:tcPr>
          <w:p>
            <w:pPr>
              <w:ind w:left="960"/>
              <w:spacing w:after="0"/>
              <w:rPr>
                <w:sz w:val="20"/>
                <w:szCs w:val="20"/>
                <w:color w:val="auto"/>
              </w:rPr>
            </w:pPr>
            <w:r>
              <w:rPr>
                <w:rFonts w:ascii="Arial" w:cs="Arial" w:eastAsia="Arial" w:hAnsi="Arial"/>
                <w:sz w:val="18"/>
                <w:szCs w:val="18"/>
                <w:b w:val="1"/>
                <w:bCs w:val="1"/>
                <w:color w:val="auto"/>
              </w:rPr>
              <w:t>Registrant</w:t>
            </w:r>
          </w:p>
        </w:tc>
        <w:tc>
          <w:tcPr>
            <w:tcW w:w="2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Title of Each Class</w:t>
            </w:r>
          </w:p>
        </w:tc>
        <w:tc>
          <w:tcPr>
            <w:tcW w:w="2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195"/>
        </w:trPr>
        <w:tc>
          <w:tcPr>
            <w:tcW w:w="2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Airlines Holdings, Inc.</w:t>
            </w:r>
          </w:p>
        </w:tc>
        <w:tc>
          <w:tcPr>
            <w:tcW w:w="2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UAL</w:t>
            </w:r>
          </w:p>
        </w:tc>
        <w:tc>
          <w:tcPr>
            <w:tcW w:w="2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United Airlines, Inc.</w:t>
            </w:r>
          </w:p>
        </w:tc>
        <w:tc>
          <w:tcPr>
            <w:tcW w:w="2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None</w:t>
            </w:r>
          </w:p>
        </w:tc>
        <w:tc>
          <w:tcPr>
            <w:tcW w:w="2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None</w:t>
            </w:r>
          </w:p>
        </w:tc>
        <w:tc>
          <w:tcPr>
            <w:tcW w:w="2580" w:type="dxa"/>
            <w:vAlign w:val="bottom"/>
          </w:tcPr>
          <w:p>
            <w:pPr>
              <w:jc w:val="center"/>
              <w:spacing w:after="0"/>
              <w:rPr>
                <w:sz w:val="20"/>
                <w:szCs w:val="20"/>
                <w:color w:val="auto"/>
              </w:rPr>
            </w:pPr>
            <w:r>
              <w:rPr>
                <w:rFonts w:ascii="Arial" w:cs="Arial" w:eastAsia="Arial" w:hAnsi="Arial"/>
                <w:sz w:val="18"/>
                <w:szCs w:val="18"/>
                <w:color w:val="auto"/>
                <w:w w:val="88"/>
              </w:rPr>
              <w:t>None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9140"/>
        <w:spacing w:after="0"/>
        <w:rPr>
          <w:sz w:val="20"/>
          <w:szCs w:val="20"/>
          <w:color w:val="auto"/>
        </w:rPr>
      </w:pPr>
      <w:r>
        <w:rPr>
          <w:rFonts w:ascii="Arial" w:cs="Arial" w:eastAsia="Arial" w:hAnsi="Arial"/>
          <w:sz w:val="16"/>
          <w:szCs w:val="16"/>
          <w:color w:val="auto"/>
        </w:rPr>
        <w:t>Emerging growth company o</w:t>
      </w:r>
    </w:p>
    <w:p>
      <w:pPr>
        <w:spacing w:after="0" w:line="248"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ind w:left="20"/>
        <w:spacing w:after="0"/>
        <w:tabs>
          <w:tab w:leader="none" w:pos="9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United Airlines, Inc. ("United"), a wholly-owned subsidiary of United Airlines Holdings, Inc. ("UAL" and, together with United, the "Company"), continues to see a significant impact in demand for air travel. In the last month, ended December 10, 2020, there has been a continued deceleration in forward bookings as a result of the spike in COVID-19 cases and travel restrictions. As such, the Company now expects total revenue to be down close to 70% in the fourth quarter of 2020 as compared to the fourth quarter of 2019.</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now expects average daily cash burn during the fourth quarter of 2020 to be approximately $24 million to $26 million, plus $10 million of average debt principal payments and severance payments per day, driven by the continued deceleration in bookings, as well as a change in working capital which was due to a shift in timing of certain payments and receipts between quarters. For this purpose, "cash burn" is defined as net cash from operations, less investing and financing activities. Proceeds from the issuance of new debt (excluding expected aircraft financing), government grants associated with the Payroll Support Program of the Coronavirus Aid, Relief and Economic Security Act (the "CARES Act"), issuance of new stock, net proceeds from the sale of short-term and other investments and changes in certain restricted cash balances are not included in this figure.</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does not expect the recovery to follow a linear path, however, recent positive results in vaccine development and efficacy show an encouraging line of sight to the other side of the pandemic — with current bookings for the third quarter of 2021 down approximately 40% versus down approximately 70% for December 2020 and January 2021 travel. While it will take time for the vaccine to be widely distributed, the Company’s confidence is even stronger in the recovery and the trajectory of the rebound in 2021 and beyond.</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information in this Item 7.01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Statement Regarding Forward-Looking Statements:</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Certain statements in this Current Report on Form 8-K are forward-looking and thus reflect the Company’s current expectations and beliefs with respect to certain current and future events and anticipated financial and operating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“remains,” “believes,” “estimates,” “forecast,” “guidance,” “outlook,” “goals,” “targets” and similar expressions are intended to identify forward-looking statements.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line="283" w:lineRule="auto"/>
        <w:rPr>
          <w:sz w:val="20"/>
          <w:szCs w:val="20"/>
          <w:color w:val="auto"/>
        </w:rPr>
      </w:pPr>
      <w:r>
        <w:rPr>
          <w:rFonts w:ascii="Arial" w:cs="Arial" w:eastAsia="Arial" w:hAnsi="Arial"/>
          <w:sz w:val="16"/>
          <w:szCs w:val="16"/>
          <w:color w:val="auto"/>
        </w:rPr>
        <w:t>The Company’s actual results could differ materially from these forward-looking statements due to numerous factors including, without limitation, the following: the duration and spread of the ongoing global COVID-19 pandemic and the outbreak of any other disease or similar public health threat and the impact on the business, results of operations and financial condition of the Company; the lenders’ ability to accelerate the MileagePlus indebtedness, foreclose upon the collateral securing the MileagePlus indebtedness or exercise other remedies if the Company is not able to comply with the covenants in the MileagePlus financing agreements; the effects of borrowing pursuant to the Loan Program under the CARES Act, and the effects of the grant and promissory note through the Payroll Support Program under the CARES Act; the costs and availability of financing; the Company’s significant amount of financial leverage from fixed obligations and ability to seek additional liquidity and maintain adequate liquidity; the Company’s ability to comply with the terms of its various financing arrangements; the Company’s ability to utilize its net operating losses to offset future taxable income; the material disruption of the Company’s strategic operating plan as a result of the COVID-19 pandemic and the Company’s ability to execute its strategic operating plans in the long term;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its operations in certain countries; demand for travel and the impact that global economic and political conditions have on customer travel patterns; the Company’s capacity decisions and the capacity decisions of its competitors; competitive pressures on pricing and on demand; changes in aircraft fuel prices; disruptions in the Company’s supply of aircraft fuel; the Company’s ability to cost-effectively hedge against increases in the price of aircraft fuel, if it decides to do so; the effects of any technology failures, cybersecurity or significant data breaches; disruptions to services provided by third-party service providers; potential reputational or other impact from adverse events involving the Company’s aircraft or operations, the aircraft or operations of its regional carriers or its code share partners or the aircraft or operations of another airline; the Company’s ability to attract and retain customers; the effects of any terrorist attacks, international hostilities or other security events, or the fear of such events; the mandatory grounding of aircraft in the Company’s fleet; disruptions to the Company’s regional network as a result of the COVID-19 pandemic or otherwise; the impact of regulatory, investigative and legal proceedings and legal compliance risks; the success of the Company’s investments in other airlines, including in other parts of the world, which involve significant challenges and risks, particularly given the impact of the COVID-19 pandemic; industry consolidation or changes in airline alliances; the ability of other air carriers with whom the Company has alliances or partnerships to provide the services contemplated by the respective arrangements with such carriers; costs associated with any modification or termination of the Company’s aircraft orders; disruptions in the availability of aircraft, parts or support from its suppliers; the Company’s ability to maintain satisfactory labor relations and the results of any collective bargaining agreement process with its union groups; any disruptions to operations due to any potential actions by the Company’s labor groups; labor costs; the impact of any management changes; extended interruptions or disruptions in service at major airports where the Company operates;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the Company’s ability to realize the full value of its intangible assets and long-lived assets; any impact to the Company’s reputation or brand image and other risks and uncertainties set forth under Part I, Item 1A., “Risk Factors,” of the Company’s Annual Report on Form 10-K for the fiscal year ended December 31, 2019, as updated by the Company’s Quarterly Report on Form 10-Q for the fiscal quarter ended September 30, 2020, as well as other risks and uncertainties set forth from time to time in the reports the Company files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UNITED AIRLINES, INC.</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Gerald Laderman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72"/>
    </w:lvl>
  </w:abstractNum>
  <w:abstractNum w:abstractNumId="1">
    <w:nsid w:val="19495CFF"/>
    <w:multiLevelType w:val="hybridMultilevel"/>
    <w:lvl w:ilvl="0">
      <w:lvlJc w:val="left"/>
      <w:lvlText w:val="(%1)"/>
      <w:numFmt w:val="decimal"/>
      <w:start w:val="872"/>
    </w:lvl>
  </w:abstractNum>
  <w:abstractNum w:abstractNumId="2">
    <w:nsid w:val="2AE8944A"/>
    <w:multiLevelType w:val="hybridMultilevel"/>
    <w:lvl w:ilvl="0">
      <w:lvlJc w:val="left"/>
      <w:lvlText w:val="o"/>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2020-12-11T15:57:24Z</dcterms:created>
  <dcterms:modified xsi:type="dcterms:W3CDTF">2020-12-11T15:57:24Z</dcterms:modified>
</cp:coreProperties>
</file>