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Continental Airlines,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Continental Airlines,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1-10323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70688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6880" cy="44577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675005</wp:posOffset>
            </wp:positionV>
            <wp:extent cx="1689735"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Contacts for Continental:</w:t>
            </w:r>
          </w:p>
        </w:tc>
        <w:tc>
          <w:tcPr>
            <w:tcW w:w="6060" w:type="dxa"/>
            <w:vAlign w:val="bottom"/>
            <w:gridSpan w:val="2"/>
          </w:tcPr>
          <w:p>
            <w:pPr>
              <w:ind w:left="3460"/>
              <w:spacing w:after="0"/>
              <w:rPr>
                <w:sz w:val="20"/>
                <w:szCs w:val="20"/>
                <w:color w:val="auto"/>
              </w:rPr>
            </w:pPr>
            <w:r>
              <w:rPr>
                <w:rFonts w:ascii="Arial" w:cs="Arial" w:eastAsia="Arial" w:hAnsi="Arial"/>
                <w:sz w:val="18"/>
                <w:szCs w:val="18"/>
                <w:b w:val="1"/>
                <w:bCs w:val="1"/>
                <w:color w:val="auto"/>
              </w:rPr>
              <w:t>Contacts for United</w:t>
            </w:r>
            <w:r>
              <w:rPr>
                <w:rFonts w:ascii="Arial" w:cs="Arial" w:eastAsia="Arial" w:hAnsi="Arial"/>
                <w:sz w:val="18"/>
                <w:szCs w:val="18"/>
                <w:color w:val="auto"/>
              </w:rPr>
              <w:t>:</w:t>
            </w:r>
          </w:p>
        </w:tc>
      </w:tr>
      <w:tr>
        <w:trPr>
          <w:trHeight w:val="220"/>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6060" w:type="dxa"/>
            <w:vAlign w:val="bottom"/>
            <w:gridSpan w:val="2"/>
          </w:tcPr>
          <w:p>
            <w:pPr>
              <w:ind w:left="3460"/>
              <w:spacing w:after="0"/>
              <w:rPr>
                <w:sz w:val="20"/>
                <w:szCs w:val="20"/>
                <w:color w:val="auto"/>
              </w:rPr>
            </w:pPr>
            <w:r>
              <w:rPr>
                <w:rFonts w:ascii="Arial" w:cs="Arial" w:eastAsia="Arial" w:hAnsi="Arial"/>
                <w:sz w:val="18"/>
                <w:szCs w:val="18"/>
                <w:b w:val="1"/>
                <w:bCs w:val="1"/>
                <w:color w:val="auto"/>
              </w:rPr>
              <w:t>Media:</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6060" w:type="dxa"/>
            <w:vAlign w:val="bottom"/>
            <w:gridSpan w:val="2"/>
          </w:tcPr>
          <w:p>
            <w:pPr>
              <w:ind w:left="3460"/>
              <w:spacing w:after="0"/>
              <w:rPr>
                <w:sz w:val="20"/>
                <w:szCs w:val="20"/>
                <w:color w:val="auto"/>
              </w:rPr>
            </w:pPr>
            <w:r>
              <w:rPr>
                <w:rFonts w:ascii="Arial" w:cs="Arial" w:eastAsia="Arial" w:hAnsi="Arial"/>
                <w:sz w:val="18"/>
                <w:szCs w:val="18"/>
                <w:color w:val="auto"/>
              </w:rPr>
              <w:t>Worldwide Press Office</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Phone: (713) 324-5080</w:t>
            </w:r>
          </w:p>
        </w:tc>
        <w:tc>
          <w:tcPr>
            <w:tcW w:w="6060" w:type="dxa"/>
            <w:vAlign w:val="bottom"/>
            <w:gridSpan w:val="2"/>
          </w:tcPr>
          <w:p>
            <w:pPr>
              <w:ind w:left="3460"/>
              <w:spacing w:after="0"/>
              <w:rPr>
                <w:sz w:val="20"/>
                <w:szCs w:val="20"/>
                <w:color w:val="auto"/>
              </w:rPr>
            </w:pPr>
            <w:r>
              <w:rPr>
                <w:rFonts w:ascii="Arial" w:cs="Arial" w:eastAsia="Arial" w:hAnsi="Arial"/>
                <w:sz w:val="18"/>
                <w:szCs w:val="18"/>
                <w:color w:val="auto"/>
              </w:rPr>
              <w:t>Phone: (312) 997-8640</w:t>
            </w:r>
          </w:p>
        </w:tc>
      </w:tr>
      <w:tr>
        <w:trPr>
          <w:trHeight w:val="190"/>
        </w:trPr>
        <w:tc>
          <w:tcPr>
            <w:tcW w:w="2240" w:type="dxa"/>
            <w:vAlign w:val="bottom"/>
            <w:gridSpan w:val="2"/>
          </w:tcPr>
          <w:p>
            <w:pPr>
              <w:spacing w:after="0" w:line="190" w:lineRule="exact"/>
              <w:rPr>
                <w:sz w:val="20"/>
                <w:szCs w:val="20"/>
                <w:color w:val="auto"/>
              </w:rPr>
            </w:pPr>
            <w:r>
              <w:rPr>
                <w:rFonts w:ascii="Arial" w:cs="Arial" w:eastAsia="Arial" w:hAnsi="Arial"/>
                <w:sz w:val="18"/>
                <w:szCs w:val="18"/>
                <w:color w:val="auto"/>
                <w:w w:val="91"/>
              </w:rPr>
              <w:t>E-mail: corpcomm@coair.com</w:t>
            </w:r>
          </w:p>
        </w:tc>
        <w:tc>
          <w:tcPr>
            <w:tcW w:w="6060" w:type="dxa"/>
            <w:vAlign w:val="bottom"/>
            <w:gridSpan w:val="2"/>
          </w:tcPr>
          <w:p>
            <w:pPr>
              <w:ind w:left="3460"/>
              <w:spacing w:after="0" w:line="190" w:lineRule="exact"/>
              <w:rPr>
                <w:sz w:val="20"/>
                <w:szCs w:val="20"/>
                <w:color w:val="auto"/>
              </w:rPr>
            </w:pPr>
            <w:r>
              <w:rPr>
                <w:rFonts w:ascii="Arial" w:cs="Arial" w:eastAsia="Arial" w:hAnsi="Arial"/>
                <w:sz w:val="18"/>
                <w:szCs w:val="18"/>
                <w:color w:val="auto"/>
                <w:w w:val="91"/>
              </w:rPr>
              <w:t>Email: media.relations@united.com</w:t>
            </w:r>
          </w:p>
        </w:tc>
      </w:tr>
      <w:tr>
        <w:trPr>
          <w:trHeight w:val="20"/>
        </w:trPr>
        <w:tc>
          <w:tcPr>
            <w:tcW w:w="6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NEW VISUAL BRAND IDENTITY FOR THE NEW UNITED AIRLINES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Logo and livery to create a more modern look, reflective of the world's leading airline</w:t>
      </w:r>
    </w:p>
    <w:p>
      <w:pPr>
        <w:spacing w:after="0" w:line="144" w:lineRule="exact"/>
        <w:rPr>
          <w:sz w:val="24"/>
          <w:szCs w:val="24"/>
          <w:color w:val="auto"/>
        </w:rPr>
      </w:pPr>
    </w:p>
    <w:p>
      <w:pPr>
        <w:ind w:right="660" w:firstLine="648"/>
        <w:spacing w:after="0" w:line="407" w:lineRule="auto"/>
        <w:rPr>
          <w:sz w:val="20"/>
          <w:szCs w:val="20"/>
          <w:color w:val="auto"/>
        </w:rPr>
      </w:pPr>
      <w:r>
        <w:rPr>
          <w:rFonts w:ascii="Arial" w:cs="Arial" w:eastAsia="Arial" w:hAnsi="Arial"/>
          <w:sz w:val="18"/>
          <w:szCs w:val="18"/>
          <w:color w:val="auto"/>
        </w:rPr>
        <w:t>CHICAGO AND HOUSTON, Aug. 11, 2010 – United Airlines (NASDAQ: UAUA) and Continental Airlines (NYSE: CAL) today revealed refinements to the visual branding for the new global airline that will result from the proposed merger between the two airlines.</w:t>
      </w:r>
    </w:p>
    <w:p>
      <w:pPr>
        <w:ind w:right="360" w:firstLine="648"/>
        <w:spacing w:after="0" w:line="407" w:lineRule="auto"/>
        <w:rPr>
          <w:sz w:val="20"/>
          <w:szCs w:val="20"/>
          <w:color w:val="auto"/>
        </w:rPr>
      </w:pPr>
      <w:r>
        <w:rPr>
          <w:rFonts w:ascii="Arial" w:cs="Arial" w:eastAsia="Arial" w:hAnsi="Arial"/>
          <w:sz w:val="18"/>
          <w:szCs w:val="18"/>
          <w:color w:val="auto"/>
        </w:rPr>
        <w:t>The new logo displays the combined company’s brand name in capital letters (UNITED) in a custom sans-serif font, joined with the global mark which has represented Continental’s brand image since 1991.</w:t>
      </w:r>
    </w:p>
    <w:p>
      <w:pPr>
        <w:ind w:right="400" w:firstLine="648"/>
        <w:spacing w:after="0" w:line="407" w:lineRule="auto"/>
        <w:rPr>
          <w:sz w:val="20"/>
          <w:szCs w:val="20"/>
          <w:color w:val="auto"/>
        </w:rPr>
      </w:pPr>
      <w:r>
        <w:rPr>
          <w:rFonts w:ascii="Arial" w:cs="Arial" w:eastAsia="Arial" w:hAnsi="Arial"/>
          <w:sz w:val="18"/>
          <w:szCs w:val="18"/>
          <w:color w:val="auto"/>
        </w:rPr>
        <w:t>A corresponding update of the combined airline’s aircraft livery will adopt Continental’s livery, colors and design, including its blue-gold-white globe image on the tail, combined with the new-style UNITED name on the fuselage.</w:t>
      </w:r>
    </w:p>
    <w:p>
      <w:pPr>
        <w:ind w:right="320" w:firstLine="648"/>
        <w:spacing w:after="0" w:line="407" w:lineRule="auto"/>
        <w:rPr>
          <w:sz w:val="20"/>
          <w:szCs w:val="20"/>
          <w:color w:val="auto"/>
        </w:rPr>
      </w:pPr>
      <w:r>
        <w:rPr>
          <w:rFonts w:ascii="Arial" w:cs="Arial" w:eastAsia="Arial" w:hAnsi="Arial"/>
          <w:sz w:val="18"/>
          <w:szCs w:val="18"/>
          <w:color w:val="auto"/>
        </w:rPr>
        <w:t>Both airlines have earned strong brand recognition in one of the world’s most visible and highly competitive businesses. The new visual identity builds upon the significant value of each airline’s current brand, while advancing the combined airline’s future brand image.</w:t>
      </w:r>
    </w:p>
    <w:p>
      <w:pPr>
        <w:ind w:left="660"/>
        <w:spacing w:after="0"/>
        <w:rPr>
          <w:sz w:val="20"/>
          <w:szCs w:val="20"/>
          <w:color w:val="auto"/>
        </w:rPr>
      </w:pPr>
      <w:r>
        <w:rPr>
          <w:rFonts w:ascii="Arial" w:cs="Arial" w:eastAsia="Arial" w:hAnsi="Arial"/>
          <w:sz w:val="18"/>
          <w:szCs w:val="18"/>
          <w:color w:val="auto"/>
        </w:rPr>
        <w:t xml:space="preserve">For images of the new logo and livery, please visit </w:t>
      </w:r>
      <w:r>
        <w:rPr>
          <w:rFonts w:ascii="Arial" w:cs="Arial" w:eastAsia="Arial" w:hAnsi="Arial"/>
          <w:sz w:val="18"/>
          <w:szCs w:val="18"/>
          <w:u w:val="single" w:color="auto"/>
          <w:color w:val="auto"/>
        </w:rPr>
        <w:t>UnitedContinentalMerger.com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1238885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In connection with the proposed transaction, UAL has filed with the Securities and Exchange Commission (“SEC”) a registration statement on Form S-4 that includes a preliminary joint proxy statement of Continental and UAL that also constitutes a prospectus of UAL. UAL and Continental also plan to file other documents with the SEC regarding the</w:t>
      </w:r>
    </w:p>
    <w:p>
      <w:pPr>
        <w:spacing w:after="0" w:line="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proposed transaction. UAL AND CONTINENTAL URGE INVESTORS AND SECURITY HOLDERS TO READ THE PRELIMINARY JOINT PROXY STATEMENT/PROSPECTUS AND OTHER RELEVANT DOCUMENTS THAT WILL BE FILED WITH THE SEC (INCLUDING THE DEFINITIVE JOINT PROXY STATEMENT/PROSPECTUS) CAREFULLY AND IN THEIR ENTIRETY WHEN THEY BECOME AVAILABLE BECAUSE THEY CONTAIN IMPORTANT INFORMATION ABOUT THE PROPOSED TRANSACTION. Investors and stockholders may obtain free copies of the preliminary joint proxy statement/prospectus and other documents containing important information about UAL and Continental (including the definitive joint proxy statement/prospectus), once such documents are filed with the SEC,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the documents filed with t he SEC by UAL will be available free of charge on UAL’s website at </w:t>
      </w:r>
      <w:r>
        <w:rPr>
          <w:rFonts w:ascii="Arial" w:cs="Arial" w:eastAsia="Arial" w:hAnsi="Arial"/>
          <w:sz w:val="17"/>
          <w:szCs w:val="17"/>
          <w:u w:val="single" w:color="auto"/>
          <w:color w:val="auto"/>
        </w:rPr>
        <w:t>www.united.com</w:t>
      </w:r>
      <w:r>
        <w:rPr>
          <w:rFonts w:ascii="Arial" w:cs="Arial" w:eastAsia="Arial" w:hAnsi="Arial"/>
          <w:sz w:val="17"/>
          <w:szCs w:val="17"/>
          <w:color w:val="auto"/>
        </w:rPr>
        <w:t xml:space="preserve"> under the tab “Investor Relations” or by contacting UAL’s Investor Relations Department at (312) 997-8610. Copies of the documents filed with the SEC by Continental will be available free of charge on Continental’s website at </w:t>
      </w:r>
      <w:r>
        <w:rPr>
          <w:rFonts w:ascii="Arial" w:cs="Arial" w:eastAsia="Arial" w:hAnsi="Arial"/>
          <w:sz w:val="17"/>
          <w:szCs w:val="17"/>
          <w:u w:val="single" w:color="auto"/>
          <w:color w:val="auto"/>
        </w:rPr>
        <w:t>www.continental.com</w:t>
      </w:r>
      <w:r>
        <w:rPr>
          <w:rFonts w:ascii="Arial" w:cs="Arial" w:eastAsia="Arial" w:hAnsi="Arial"/>
          <w:sz w:val="17"/>
          <w:szCs w:val="17"/>
          <w:color w:val="auto"/>
        </w:rPr>
        <w:t xml:space="preserve"> under the tab “About Continental” and then under the tab “Investor Relations” or by contacting Continental’s Investor Relations Department at (713) 324-5152.</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UAL, Continental and certain of their respective directors and executive officers may be deemed to be participants in the solicitation of proxies in connection with the proposed transaction. Information about the directors and executive officers of Continental is set forth in its proxy statement for its 2010 annual meeting of stockholders, which was filed with the SEC on April 23, 2010, and the preliminary joint proxy statement/prospectus related to the proposed transaction, which was filed with the SEC on June 25, 2010. Information about the directors and executive officers of UAL is set forth in its proxy statement for its 2010 annual meeting of stockholders, which was filed with the SEC on April 30, 2010, and the preliminary joint proxy statement/prospectus related to the proposed transaction, which was filed with the S EC on June 25, 2010. These documents can be obtained free of charge from the sources indicated above. Additional information regarding the participants in the proxy solicitation may also be included in the definitive joint proxy statement/prospectus and other relevant materials to be filed with the SEC when they become available.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 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forward-looking statements involve significant risks and uncertainties that could cause actual results to differ materially from those in the forward-looking statements, many of which are generally outside the control of Continental and UAL and are difficult to predict. Examples of such risks and uncertainties include, but are not limited to, (1) the possibility that the proposed transaction is delayed or does not close, including due to the failure to receive required stockholder or regulatory approvals, the taking of governmental action (including the passage of legislation) to block the transaction, or the failure of other closing conditions, and (2) the possibility that the expected synergies will not be realized, or will not be realized within the expected time period, because of, among other things, significant volatil ity in the cost of aircraft fuel, the high leverage and other significant capital commitments of Continental and UAL, the ability to obtain financing and to refinance the combined company’s debt, the ability of Continental and UAL to maintain and utilize their respective net operating losses, the impact of labor relations, global economic conditions, fluctuations in exchange rates, competitive actions taken by other airlines, terrorist attacks, natural disasters, difficulties in integrating the two airlines, the willingness of customers to travel by air, actions taken or conditions imposed by the U.S. and foreign governments or other regulatory matters, excessive taxation, further industry consolidation and changes in airlines alliances, the availability and cost of insurance and public health threats.</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UAL and Continental caution that the foregoing list of factors is not exclusive. Additional information concerning these and other risk factors is contained in Continental’s and UAL’s most recently filed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2019-12-10T04:09:05Z</dcterms:created>
  <dcterms:modified xsi:type="dcterms:W3CDTF">2019-12-10T04:09:05Z</dcterms:modified>
</cp:coreProperties>
</file>