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67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6722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PHILIP EDWARD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 O. BOX 66100 HDQLD</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United Airlines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UAL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IL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60666</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05/20/2026</w:t>
            </w:r>
          </w:p>
        </w:tc>
        <w:tc>
          <w:tcPr>
            <w:tcW w:w="108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jc w:val="center"/>
              <w:ind w:right="63"/>
              <w:spacing w:after="0"/>
              <w:rPr>
                <w:sz w:val="20"/>
                <w:szCs w:val="20"/>
                <w:color w:val="auto"/>
              </w:rPr>
            </w:pPr>
            <w:r>
              <w:rPr>
                <w:rFonts w:ascii="Times New Roman" w:cs="Times New Roman" w:eastAsia="Times New Roman" w:hAnsi="Times New Roman"/>
                <w:sz w:val="13"/>
                <w:szCs w:val="13"/>
                <w:color w:val="0000FF"/>
              </w:rPr>
              <w:t>2,130</w:t>
            </w:r>
            <w:r>
              <w:rPr>
                <w:rFonts w:ascii="Times New Roman" w:cs="Times New Roman" w:eastAsia="Times New Roman" w:hAnsi="Times New Roman"/>
                <w:sz w:val="21"/>
                <w:szCs w:val="21"/>
                <w:color w:val="008000"/>
                <w:vertAlign w:val="superscript"/>
              </w:rPr>
              <w:t>(3)</w:t>
            </w:r>
          </w:p>
        </w:tc>
        <w:tc>
          <w:tcPr>
            <w:tcW w:w="280" w:type="dxa"/>
            <w:vAlign w:val="bottom"/>
          </w:tcPr>
          <w:p>
            <w:pPr>
              <w:spacing w:after="0"/>
              <w:rPr>
                <w:sz w:val="21"/>
                <w:szCs w:val="21"/>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05/20/2027</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2,130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2,130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680" w:type="dxa"/>
            <w:vAlign w:val="bottom"/>
            <w:tcBorders>
              <w:bottom w:val="single" w:sz="8" w:color="2C2C2C"/>
            </w:tcBorders>
          </w:tcPr>
          <w:p>
            <w:pPr>
              <w:ind w:left="60"/>
              <w:spacing w:after="0" w:line="140"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05/20/2026</w:t>
            </w:r>
          </w:p>
        </w:tc>
        <w:tc>
          <w:tcPr>
            <w:tcW w:w="108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jc w:val="center"/>
              <w:ind w:right="3"/>
              <w:spacing w:after="0" w:line="241" w:lineRule="exact"/>
              <w:rPr>
                <w:sz w:val="20"/>
                <w:szCs w:val="20"/>
                <w:color w:val="auto"/>
              </w:rPr>
            </w:pPr>
            <w:r>
              <w:rPr>
                <w:rFonts w:ascii="Times New Roman" w:cs="Times New Roman" w:eastAsia="Times New Roman" w:hAnsi="Times New Roman"/>
                <w:sz w:val="25"/>
                <w:szCs w:val="25"/>
                <w:color w:val="0000FF"/>
                <w:w w:val="94"/>
                <w:vertAlign w:val="subscript"/>
              </w:rPr>
              <w:t>2,396</w:t>
            </w:r>
            <w:r>
              <w:rPr>
                <w:rFonts w:ascii="Times New Roman" w:cs="Times New Roman" w:eastAsia="Times New Roman" w:hAnsi="Times New Roman"/>
                <w:sz w:val="11"/>
                <w:szCs w:val="11"/>
                <w:color w:val="008000"/>
                <w:w w:val="94"/>
              </w:rPr>
              <w:t>(3)(4)</w:t>
            </w:r>
          </w:p>
        </w:tc>
        <w:tc>
          <w:tcPr>
            <w:tcW w:w="280" w:type="dxa"/>
            <w:vAlign w:val="bottom"/>
          </w:tcPr>
          <w:p>
            <w:pPr>
              <w:spacing w:after="0"/>
              <w:rPr>
                <w:sz w:val="21"/>
                <w:szCs w:val="21"/>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05/20/2027</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2,396</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2,396</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6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unit represents the economic equivalent of one share of common stock. Upon vesting, the share units are settled (i) 50% in cash based on average of the high and low sale prices of a share of the Company's common stock on the date of settlement (or the average of the high and low sale prices of the common stock on the preceding trading day if the settlement date is not a trading day) and (ii) 50% in shares of the Company's common stock, with any odd or fractional units rounded toward the share units to be settled in cash.</w:t>
      </w:r>
    </w:p>
    <w:p>
      <w:pPr>
        <w:spacing w:after="0" w:line="25" w:lineRule="exact"/>
        <w:rPr>
          <w:rFonts w:ascii="Times New Roman" w:cs="Times New Roman" w:eastAsia="Times New Roman" w:hAnsi="Times New Roman"/>
          <w:sz w:val="13"/>
          <w:szCs w:val="13"/>
          <w:color w:val="008000"/>
        </w:rPr>
      </w:pPr>
    </w:p>
    <w:p>
      <w:pPr>
        <w:ind w:left="40" w:right="46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Notwithstanding the foregoing, the Reporting Person elected to defer the Reporting Person's 2026 annual director equity award into a share account pursuant to the terms of the Company's Director Equity Incentive Plan ("DEIP"). Therefore, all the share units granted to the Reporting Person for the 2026 annual director equity award will be settled following the Reporting Person's separation from service in accordance with the terms of the DEIP.</w:t>
      </w:r>
    </w:p>
    <w:p>
      <w:pPr>
        <w:spacing w:after="0" w:line="25" w:lineRule="exact"/>
        <w:rPr>
          <w:rFonts w:ascii="Times New Roman" w:cs="Times New Roman" w:eastAsia="Times New Roman" w:hAnsi="Times New Roman"/>
          <w:sz w:val="13"/>
          <w:szCs w:val="13"/>
          <w:color w:val="008000"/>
        </w:rPr>
      </w:pPr>
    </w:p>
    <w:p>
      <w:pPr>
        <w:ind w:left="40" w:right="4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Additional share units accrue when and as dividends are paid on the Company's common stock. The number of share units accrued will be equal to the dollar amount of dividends that would be payable if the share units were actual shares of common stock, divided by the average of the high and low sale prices of a share of the Company's common stock on the date dividends are paid.</w:t>
      </w:r>
    </w:p>
    <w:p>
      <w:pPr>
        <w:sectPr>
          <w:pgSz w:w="11900" w:h="16838" w:orient="portrait"/>
          <w:cols w:equalWidth="0" w:num="1">
            <w:col w:w="11080"/>
          </w:cols>
          <w:pgMar w:left="460" w:top="216" w:right="359" w:bottom="1440" w:gutter="0" w:footer="0" w:header="0"/>
          <w:type w:val="continuous"/>
        </w:sectPr>
      </w:pPr>
    </w:p>
    <w:p>
      <w:pPr>
        <w:spacing w:after="0" w:line="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4. Non-Executive Chair award.</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James Cotton for Edward 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-3175</wp:posOffset>
            </wp:positionV>
            <wp:extent cx="1341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spacing w:after="0" w:line="1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Philip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250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50825" cy="8255"/>
                    </a:xfrm>
                    <a:prstGeom prst="rect">
                      <a:avLst/>
                    </a:prstGeom>
                    <a:noFill/>
                  </pic:spPr>
                </pic:pic>
              </a:graphicData>
            </a:graphic>
          </wp:anchor>
        </w:drawing>
      </w:r>
    </w:p>
    <w:p>
      <w:pPr>
        <w:spacing w:after="0" w:line="27"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152"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1" w:lineRule="exact"/>
        <w:rPr>
          <w:sz w:val="24"/>
          <w:szCs w:val="24"/>
          <w:color w:val="auto"/>
        </w:rPr>
      </w:pPr>
    </w:p>
    <w:p>
      <w:pPr>
        <w:sectPr>
          <w:pgSz w:w="11900" w:h="16838" w:orient="portrait"/>
          <w:cols w:equalWidth="0" w:num="2">
            <w:col w:w="8700" w:space="100"/>
            <w:col w:w="2280"/>
          </w:cols>
          <w:pgMar w:left="460" w:top="216"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078280" TargetMode="External"/><Relationship Id="rId14" Type="http://schemas.openxmlformats.org/officeDocument/2006/relationships/hyperlink" Target="http://www.sec.gov/cgi-bin/browse-edgar?action=getcompany&amp;CIK=00001005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2026-05-22T15:59:55Z</dcterms:created>
  <dcterms:modified xsi:type="dcterms:W3CDTF">2026-05-22T15:59:55Z</dcterms:modified>
</cp:coreProperties>
</file>