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png" ContentType="image/png"/>
  <Override PartName="/word/media/image3.png" ContentType="image/png"/>
  <Override PartName="/word/media/image4.png" ContentType="image/png"/>
  <Override PartName="/word/media/image6.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2424" w:type="dxa"/>
        <w:jc w:val="center"/>
        <w:tblInd w:w="0" w:type="dxa"/>
        <w:tblLayout w:type="fixed"/>
        <w:tblCellMar>
          <w:top w:w="28" w:type="dxa"/>
          <w:left w:w="28" w:type="dxa"/>
          <w:bottom w:w="28" w:type="dxa"/>
          <w:right w:w="28" w:type="dxa"/>
        </w:tblCellMar>
      </w:tblPr>
      <w:tblGrid>
        <w:gridCol w:w="124"/>
        <w:gridCol w:w="109"/>
        <w:gridCol w:w="109"/>
        <w:gridCol w:w="330"/>
        <w:gridCol w:w="330"/>
        <w:gridCol w:w="331"/>
        <w:gridCol w:w="239"/>
        <w:gridCol w:w="239"/>
        <w:gridCol w:w="2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8"/>
              </w:rPr>
            </w:pPr>
            <w:r>
              <w:rPr>
                <w:rFonts w:ascii="Times New Roman;serif" w:hAnsi="Times New Roman;serif"/>
                <w:b/>
                <w:color w:val="000000"/>
                <w:sz w:val="28"/>
              </w:rPr>
              <w:t>FORM</w:t>
            </w:r>
          </w:p>
        </w:tc>
        <w:tc>
          <w:tcPr>
            <w:tcW w:w="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10-Q</w:t>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September 30, 2026</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34290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29000" cy="638175"/>
                    </a:xfrm>
                    <a:prstGeom prst="rect">
                      <a:avLst/>
                    </a:prstGeom>
                  </pic:spPr>
                </pic:pic>
              </a:graphicData>
            </a:graphic>
          </wp:inline>
        </w:drawing>
      </w:r>
      <w:bookmarkStart w:id="0" w:name="i-1"/>
      <w:bookmarkEnd w:id="0"/>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0"/>
        <w:gridCol w:w="280"/>
        <w:gridCol w:w="281"/>
        <w:gridCol w:w="109"/>
        <w:gridCol w:w="109"/>
        <w:gridCol w:w="109"/>
        <w:gridCol w:w="517"/>
        <w:gridCol w:w="517"/>
        <w:gridCol w:w="520"/>
        <w:gridCol w:w="109"/>
        <w:gridCol w:w="109"/>
        <w:gridCol w:w="109"/>
        <w:gridCol w:w="291"/>
        <w:gridCol w:w="291"/>
        <w:gridCol w:w="280"/>
        <w:gridCol w:w="198"/>
        <w:gridCol w:w="198"/>
        <w:gridCol w:w="199"/>
        <w:gridCol w:w="181"/>
        <w:gridCol w:w="181"/>
        <w:gridCol w:w="179"/>
        <w:gridCol w:w="181"/>
        <w:gridCol w:w="181"/>
        <w:gridCol w:w="139"/>
        <w:gridCol w:w="109"/>
        <w:gridCol w:w="109"/>
        <w:gridCol w:w="109"/>
        <w:gridCol w:w="158"/>
        <w:gridCol w:w="147"/>
        <w:gridCol w:w="147"/>
        <w:gridCol w:w="184"/>
        <w:gridCol w:w="154"/>
        <w:gridCol w:w="156"/>
        <w:gridCol w:w="109"/>
        <w:gridCol w:w="109"/>
        <w:gridCol w:w="109"/>
        <w:gridCol w:w="320"/>
        <w:gridCol w:w="320"/>
        <w:gridCol w:w="321"/>
        <w:gridCol w:w="109"/>
        <w:gridCol w:w="109"/>
        <w:gridCol w:w="109"/>
        <w:gridCol w:w="385"/>
        <w:gridCol w:w="385"/>
        <w:gridCol w:w="386"/>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Principal Executive Office Address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001-06033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233 South Wacker Drive,</w:t>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w:t>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Illinois</w:t>
            </w:r>
          </w:p>
        </w:tc>
        <w:tc>
          <w:tcPr>
            <w:tcW w:w="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60606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(872)</w:t>
            </w:r>
          </w:p>
        </w:tc>
        <w:tc>
          <w:tcPr>
            <w:tcW w:w="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825-4000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36-2675207</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001-10323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United Airlines, Inc.</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233 South Wacker Drive,</w:t>
            </w:r>
          </w:p>
        </w:tc>
        <w:tc>
          <w:tcPr>
            <w:tcW w:w="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w:t>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Illinois</w:t>
            </w:r>
          </w:p>
        </w:tc>
        <w:tc>
          <w:tcPr>
            <w:tcW w:w="5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60606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(872)</w:t>
            </w:r>
          </w:p>
        </w:tc>
        <w:tc>
          <w:tcPr>
            <w:tcW w:w="4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825-4000</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Delaware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74-2099724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Securities registered pursuant to Section 12(b) of the Act:</w:t>
      </w:r>
    </w:p>
    <w:tbl>
      <w:tblPr>
        <w:tblW w:w="8676"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644"/>
        <w:gridCol w:w="644"/>
        <w:gridCol w:w="648"/>
        <w:gridCol w:w="109"/>
        <w:gridCol w:w="109"/>
        <w:gridCol w:w="109"/>
        <w:gridCol w:w="359"/>
        <w:gridCol w:w="359"/>
        <w:gridCol w:w="361"/>
        <w:gridCol w:w="109"/>
        <w:gridCol w:w="109"/>
        <w:gridCol w:w="109"/>
        <w:gridCol w:w="830"/>
        <w:gridCol w:w="830"/>
        <w:gridCol w:w="117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Nasdaq Stock Market LLC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Nasdaq Stock Market LLC</w:t>
            </w:r>
          </w:p>
        </w:tc>
      </w:tr>
      <w:tr>
        <w:trPr/>
        <w:tc>
          <w:tcPr>
            <w:tcW w:w="1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None</w:t>
            </w:r>
          </w:p>
        </w:tc>
      </w:tr>
    </w:tbl>
    <w:p>
      <w:pPr>
        <w:pStyle w:val="TextBody"/>
        <w:bidi w:val="0"/>
        <w:spacing w:lineRule="auto" w:line="288" w:before="100" w:after="10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p>
    <w:tbl>
      <w:tblPr>
        <w:tblW w:w="674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419"/>
        <w:gridCol w:w="419"/>
        <w:gridCol w:w="421"/>
        <w:gridCol w:w="109"/>
        <w:gridCol w:w="109"/>
        <w:gridCol w:w="109"/>
        <w:gridCol w:w="109"/>
        <w:gridCol w:w="109"/>
        <w:gridCol w:w="109"/>
        <w:gridCol w:w="109"/>
        <w:gridCol w:w="109"/>
        <w:gridCol w:w="109"/>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674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419"/>
        <w:gridCol w:w="419"/>
        <w:gridCol w:w="421"/>
        <w:gridCol w:w="109"/>
        <w:gridCol w:w="109"/>
        <w:gridCol w:w="109"/>
        <w:gridCol w:w="109"/>
        <w:gridCol w:w="109"/>
        <w:gridCol w:w="109"/>
        <w:gridCol w:w="109"/>
        <w:gridCol w:w="109"/>
        <w:gridCol w:w="109"/>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625"/>
        <w:gridCol w:w="550"/>
        <w:gridCol w:w="553"/>
        <w:gridCol w:w="449"/>
        <w:gridCol w:w="449"/>
        <w:gridCol w:w="453"/>
        <w:gridCol w:w="109"/>
        <w:gridCol w:w="109"/>
        <w:gridCol w:w="109"/>
        <w:gridCol w:w="345"/>
        <w:gridCol w:w="345"/>
        <w:gridCol w:w="346"/>
        <w:gridCol w:w="109"/>
        <w:gridCol w:w="109"/>
        <w:gridCol w:w="109"/>
        <w:gridCol w:w="430"/>
        <w:gridCol w:w="430"/>
        <w:gridCol w:w="431"/>
        <w:gridCol w:w="109"/>
        <w:gridCol w:w="109"/>
        <w:gridCol w:w="109"/>
        <w:gridCol w:w="520"/>
        <w:gridCol w:w="520"/>
        <w:gridCol w:w="523"/>
        <w:gridCol w:w="109"/>
        <w:gridCol w:w="109"/>
        <w:gridCol w:w="109"/>
        <w:gridCol w:w="516"/>
        <w:gridCol w:w="516"/>
        <w:gridCol w:w="518"/>
        <w:gridCol w:w="109"/>
        <w:gridCol w:w="109"/>
        <w:gridCol w:w="160"/>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rFonts w:ascii="Times New Roman;serif" w:hAnsi="Times New Roman;serif"/>
          <w:b w:val="false"/>
          <w:color w:val="000000"/>
          <w:sz w:val="16"/>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4456"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419"/>
        <w:gridCol w:w="419"/>
        <w:gridCol w:w="421"/>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pPr>
      <w:r>
        <w:rPr>
          <w:rFonts w:ascii="Times New Roman;serif" w:hAnsi="Times New Roman;serif"/>
          <w:b w:val="false"/>
          <w:color w:val="000000"/>
          <w:sz w:val="16"/>
        </w:rPr>
        <w:t>Indicate by check mark whether the registrant is a shell company (as defined in Rule 12b-2 of the Exchange Act).</w:t>
      </w:r>
      <w:r>
        <w:rPr>
          <w:color w:val="000000"/>
        </w:rPr>
        <w:t xml:space="preserve"> </w:t>
      </w:r>
    </w:p>
    <w:tbl>
      <w:tblPr>
        <w:tblW w:w="674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419"/>
        <w:gridCol w:w="419"/>
        <w:gridCol w:w="421"/>
        <w:gridCol w:w="109"/>
        <w:gridCol w:w="109"/>
        <w:gridCol w:w="109"/>
        <w:gridCol w:w="109"/>
        <w:gridCol w:w="109"/>
        <w:gridCol w:w="109"/>
        <w:gridCol w:w="109"/>
        <w:gridCol w:w="109"/>
        <w:gridCol w:w="109"/>
        <w:gridCol w:w="109"/>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100"/>
        <w:jc w:val="left"/>
        <w:rPr/>
      </w:pPr>
      <w:r>
        <w:rPr>
          <w:rFonts w:ascii="Times New Roman;serif" w:hAnsi="Times New Roman;serif"/>
          <w:b w:val="false"/>
          <w:color w:val="000000"/>
          <w:sz w:val="16"/>
        </w:rPr>
        <w:t>The number of shares outstanding of each of the issuer's classes of common stock as of October 15, 2026 is shown below:</w:t>
      </w:r>
      <w:r>
        <w:rPr>
          <w:color w:val="000000"/>
        </w:rPr>
        <w:t xml:space="preserve"> </w:t>
      </w:r>
    </w:p>
    <w:tbl>
      <w:tblPr>
        <w:tblW w:w="847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435"/>
        <w:gridCol w:w="436"/>
        <w:gridCol w:w="109"/>
        <w:gridCol w:w="1557"/>
        <w:gridCol w:w="1557"/>
        <w:gridCol w:w="221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324,894,375 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shares of common stock ($0.01 par value)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of common stock ($0.01 par value) (100% owned by United Airlines Holdings, Inc.)</w:t>
            </w:r>
          </w:p>
        </w:tc>
      </w:tr>
    </w:tbl>
    <w:p>
      <w:pPr>
        <w:pStyle w:val="TextBody"/>
        <w:bidi w:val="0"/>
        <w:spacing w:lineRule="auto" w:line="288" w:before="100" w:after="100"/>
        <w:jc w:val="center"/>
        <w:rPr>
          <w:rFonts w:ascii="Times New Roman;serif" w:hAnsi="Times New Roman;serif"/>
          <w:b/>
          <w:color w:val="000000"/>
          <w:sz w:val="18"/>
        </w:rPr>
      </w:pPr>
      <w:r>
        <w:rPr>
          <w:rFonts w:ascii="Times New Roman;serif" w:hAnsi="Times New Roman;serif"/>
          <w:b/>
          <w:color w:val="000000"/>
          <w:sz w:val="18"/>
        </w:rPr>
        <w:t xml:space="preserve">OMISSION OF CERTAIN INFORMATION </w:t>
      </w:r>
    </w:p>
    <w:p>
      <w:pPr>
        <w:pStyle w:val="TextBody"/>
        <w:bidi w:val="0"/>
        <w:spacing w:lineRule="auto" w:line="288" w:before="100" w:after="100"/>
        <w:jc w:val="left"/>
        <w:rPr>
          <w:rFonts w:ascii="Times New Roman;serif" w:hAnsi="Times New Roman;serif"/>
          <w:b w:val="false"/>
          <w:color w:val="000000"/>
          <w:sz w:val="18"/>
        </w:rPr>
      </w:pPr>
      <w:r>
        <w:rPr>
          <w:rFonts w:ascii="Times New Roman;serif" w:hAnsi="Times New Roman;serif"/>
          <w:b w:val="false"/>
          <w:color w:val="000000"/>
          <w:sz w:val="18"/>
        </w:rPr>
        <w:t xml:space="preserve">This combined Quarterly Report on Form 10-Q is separately filed by United Airlines Holdings, Inc. and United Airlines, Inc. United Airlines, Inc. meets the conditions set forth in General Instruction H(1)(a) and (b) of Form 10-Q and is therefore filing this form with the reduced disclosure format allowed under that General Instruction.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Holdings,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Quarterly Report on 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385" w:type="dxa"/>
        <w:jc w:val="center"/>
        <w:tblInd w:w="0" w:type="dxa"/>
        <w:tblLayout w:type="fixed"/>
        <w:tblCellMar>
          <w:top w:w="28" w:type="dxa"/>
          <w:left w:w="28" w:type="dxa"/>
          <w:bottom w:w="28" w:type="dxa"/>
          <w:right w:w="28" w:type="dxa"/>
        </w:tblCellMar>
      </w:tblPr>
      <w:tblGrid>
        <w:gridCol w:w="2877"/>
        <w:gridCol w:w="2534"/>
        <w:gridCol w:w="2538"/>
        <w:gridCol w:w="127"/>
        <w:gridCol w:w="127"/>
        <w:gridCol w:w="182"/>
      </w:tblGrid>
      <w:tr>
        <w:trPr/>
        <w:tc>
          <w:tcPr>
            <w:tcW w:w="2877"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Page</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10">
              <w:r>
                <w:rPr>
                  <w:rStyle w:val="InternetLink"/>
                  <w:rFonts w:ascii="Times New Roman;serif" w:hAnsi="Times New Roman;serif"/>
                  <w:b w:val="false"/>
                  <w:color w:val="0000FF"/>
                  <w:sz w:val="20"/>
                  <w:u w:val="single"/>
                </w:rPr>
                <w:t>PART I. FINANCIAL INFORMATION</w:t>
              </w:r>
            </w:hyperlink>
          </w:p>
        </w:tc>
        <w:tc>
          <w:tcPr>
            <w:tcW w:w="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13">
              <w:r>
                <w:rPr>
                  <w:rStyle w:val="InternetLink"/>
                  <w:rFonts w:ascii="Times New Roman;serif" w:hAnsi="Times New Roman;serif"/>
                  <w:b w:val="false"/>
                  <w:color w:val="0000FF"/>
                  <w:sz w:val="20"/>
                  <w:u w:val="single"/>
                </w:rPr>
                <w:t>Item 1. Financial Statements</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16">
              <w:r>
                <w:rPr>
                  <w:rStyle w:val="InternetLink"/>
                  <w:rFonts w:ascii="Times New Roman;serif" w:hAnsi="Times New Roman;serif"/>
                  <w:b w:val="false"/>
                  <w:color w:val="0000FF"/>
                  <w:sz w:val="20"/>
                  <w:u w:val="single"/>
                </w:rPr>
                <w:t>United Airlines Holdings, Inc.:</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19">
              <w:r>
                <w:rPr>
                  <w:rStyle w:val="InternetLink"/>
                  <w:rFonts w:ascii="Times New Roman;serif" w:hAnsi="Times New Roman;serif"/>
                  <w:b w:val="false"/>
                  <w:color w:val="0000FF"/>
                  <w:sz w:val="20"/>
                  <w:u w:val="single"/>
                </w:rPr>
                <w:t>Statements of Consolidated Operations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19">
              <w:r>
                <w:rPr>
                  <w:rStyle w:val="InternetLink"/>
                  <w:rFonts w:ascii="Times New Roman;serif" w:hAnsi="Times New Roman;serif"/>
                  <w:b w:val="false"/>
                  <w:color w:val="0000FF"/>
                  <w:sz w:val="20"/>
                  <w:u w:val="single"/>
                </w:rPr>
                <w:t>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22">
              <w:r>
                <w:rPr>
                  <w:rStyle w:val="InternetLink"/>
                  <w:rFonts w:ascii="Times New Roman;serif" w:hAnsi="Times New Roman;serif"/>
                  <w:b w:val="false"/>
                  <w:color w:val="0000FF"/>
                  <w:sz w:val="20"/>
                  <w:u w:val="single"/>
                </w:rPr>
                <w:t>Statements of Consolidated Comprehensive Income (Loss)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22">
              <w:r>
                <w:rPr>
                  <w:rStyle w:val="InternetLink"/>
                  <w:rFonts w:ascii="Times New Roman;serif" w:hAnsi="Times New Roman;serif"/>
                  <w:b w:val="false"/>
                  <w:color w:val="0000FF"/>
                  <w:sz w:val="20"/>
                  <w:u w:val="single"/>
                </w:rPr>
                <w:t>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25">
              <w:r>
                <w:rPr>
                  <w:rStyle w:val="InternetLink"/>
                  <w:rFonts w:ascii="Times New Roman;serif" w:hAnsi="Times New Roman;serif"/>
                  <w:b w:val="false"/>
                  <w:color w:val="0000FF"/>
                  <w:sz w:val="20"/>
                  <w:u w:val="single"/>
                </w:rPr>
                <w:t xml:space="preserve">Consolidated Balance Sheets </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25">
              <w:r>
                <w:rPr>
                  <w:rStyle w:val="InternetLink"/>
                  <w:rFonts w:ascii="Times New Roman;serif" w:hAnsi="Times New Roman;serif"/>
                  <w:b w:val="false"/>
                  <w:color w:val="0000FF"/>
                  <w:sz w:val="20"/>
                  <w:u w:val="single"/>
                </w:rPr>
                <w:t>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28">
              <w:r>
                <w:rPr>
                  <w:rStyle w:val="InternetLink"/>
                  <w:rFonts w:ascii="Times New Roman;serif" w:hAnsi="Times New Roman;serif"/>
                  <w:b w:val="false"/>
                  <w:color w:val="0000FF"/>
                  <w:sz w:val="20"/>
                  <w:u w:val="single"/>
                </w:rPr>
                <w:t xml:space="preserve">Condensed Statements of Consolidated Cash Flows </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28">
              <w:r>
                <w:rPr>
                  <w:rStyle w:val="InternetLink"/>
                  <w:rFonts w:ascii="Times New Roman;serif" w:hAnsi="Times New Roman;serif"/>
                  <w:b w:val="false"/>
                  <w:color w:val="0000FF"/>
                  <w:sz w:val="20"/>
                  <w:u w:val="single"/>
                </w:rPr>
                <w:t>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31">
              <w:r>
                <w:rPr>
                  <w:rStyle w:val="InternetLink"/>
                  <w:rFonts w:ascii="Times New Roman;serif" w:hAnsi="Times New Roman;serif"/>
                  <w:b w:val="false"/>
                  <w:color w:val="0000FF"/>
                  <w:sz w:val="20"/>
                  <w:u w:val="single"/>
                </w:rPr>
                <w:t>Statement of Consolidated Stockholders' Equity</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31">
              <w:r>
                <w:rPr>
                  <w:rStyle w:val="InternetLink"/>
                  <w:rFonts w:ascii="Times New Roman;serif" w:hAnsi="Times New Roman;serif"/>
                  <w:b w:val="false"/>
                  <w:color w:val="0000FF"/>
                  <w:sz w:val="20"/>
                  <w:u w:val="single"/>
                </w:rPr>
                <w:t>7</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34">
              <w:r>
                <w:rPr>
                  <w:rStyle w:val="InternetLink"/>
                  <w:rFonts w:ascii="Times New Roman;serif" w:hAnsi="Times New Roman;serif"/>
                  <w:b w:val="false"/>
                  <w:color w:val="0000FF"/>
                  <w:sz w:val="20"/>
                  <w:u w:val="single"/>
                </w:rPr>
                <w:t>United Airlines, Inc.:</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37">
              <w:r>
                <w:rPr>
                  <w:rStyle w:val="InternetLink"/>
                  <w:rFonts w:ascii="Times New Roman;serif" w:hAnsi="Times New Roman;serif"/>
                  <w:b w:val="false"/>
                  <w:color w:val="0000FF"/>
                  <w:sz w:val="20"/>
                  <w:u w:val="single"/>
                </w:rPr>
                <w:t>Statements of Consolidated Operations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37">
              <w:r>
                <w:rPr>
                  <w:rStyle w:val="InternetLink"/>
                  <w:rFonts w:ascii="Times New Roman;serif" w:hAnsi="Times New Roman;serif"/>
                  <w:b w:val="false"/>
                  <w:color w:val="0000FF"/>
                  <w:sz w:val="20"/>
                  <w:u w:val="single"/>
                </w:rPr>
                <w:t>8</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40">
              <w:r>
                <w:rPr>
                  <w:rStyle w:val="InternetLink"/>
                  <w:rFonts w:ascii="Times New Roman;serif" w:hAnsi="Times New Roman;serif"/>
                  <w:b w:val="false"/>
                  <w:color w:val="0000FF"/>
                  <w:sz w:val="20"/>
                  <w:u w:val="single"/>
                </w:rPr>
                <w:t>Statements of Consolidated Comprehensive Income (Loss)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40">
              <w:r>
                <w:rPr>
                  <w:rStyle w:val="InternetLink"/>
                  <w:rFonts w:ascii="Times New Roman;serif" w:hAnsi="Times New Roman;serif"/>
                  <w:b w:val="false"/>
                  <w:color w:val="0000FF"/>
                  <w:sz w:val="20"/>
                  <w:u w:val="single"/>
                </w:rPr>
                <w:t>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43">
              <w:r>
                <w:rPr>
                  <w:rStyle w:val="InternetLink"/>
                  <w:rFonts w:ascii="Times New Roman;serif" w:hAnsi="Times New Roman;serif"/>
                  <w:b w:val="false"/>
                  <w:color w:val="0000FF"/>
                  <w:sz w:val="20"/>
                  <w:u w:val="single"/>
                </w:rPr>
                <w:t xml:space="preserve">Consolidated Balance Sheets </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43">
              <w:r>
                <w:rPr>
                  <w:rStyle w:val="InternetLink"/>
                  <w:rFonts w:ascii="Times New Roman;serif" w:hAnsi="Times New Roman;serif"/>
                  <w:b w:val="false"/>
                  <w:color w:val="0000FF"/>
                  <w:sz w:val="20"/>
                  <w:u w:val="single"/>
                </w:rPr>
                <w:t>10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46">
              <w:r>
                <w:rPr>
                  <w:rStyle w:val="InternetLink"/>
                  <w:rFonts w:ascii="Times New Roman;serif" w:hAnsi="Times New Roman;serif"/>
                  <w:b w:val="false"/>
                  <w:color w:val="0000FF"/>
                  <w:sz w:val="20"/>
                  <w:u w:val="single"/>
                </w:rPr>
                <w:t>Condensed Statements of Consolidated Cash Flows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46">
              <w:r>
                <w:rPr>
                  <w:rStyle w:val="InternetLink"/>
                  <w:rFonts w:ascii="Times New Roman;serif" w:hAnsi="Times New Roman;serif"/>
                  <w:b w:val="false"/>
                  <w:color w:val="0000FF"/>
                  <w:sz w:val="20"/>
                  <w:u w:val="single"/>
                </w:rPr>
                <w:t>11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49">
              <w:r>
                <w:rPr>
                  <w:rStyle w:val="InternetLink"/>
                  <w:rFonts w:ascii="Times New Roman;serif" w:hAnsi="Times New Roman;serif"/>
                  <w:b w:val="false"/>
                  <w:color w:val="0000FF"/>
                  <w:sz w:val="20"/>
                  <w:u w:val="single"/>
                </w:rPr>
                <w:t>Statement of Consolidated Stockholder's Equity</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49">
              <w:r>
                <w:rPr>
                  <w:rStyle w:val="InternetLink"/>
                  <w:rFonts w:ascii="Times New Roman;serif" w:hAnsi="Times New Roman;serif"/>
                  <w:b w:val="false"/>
                  <w:color w:val="0000FF"/>
                  <w:sz w:val="20"/>
                  <w:u w:val="single"/>
                </w:rPr>
                <w:t>12</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52">
              <w:r>
                <w:rPr>
                  <w:rStyle w:val="InternetLink"/>
                  <w:rFonts w:ascii="Times New Roman;serif" w:hAnsi="Times New Roman;serif"/>
                  <w:b w:val="false"/>
                  <w:color w:val="000080"/>
                  <w:sz w:val="20"/>
                  <w:u w:val="single"/>
                </w:rPr>
                <w:t>Combined Notes to Condensed Consolidated Financial Statements</w:t>
              </w:r>
            </w:hyperlink>
            <w:hyperlink w:anchor="i64f471e244a14b75bac99a76a2dd9fca_52">
              <w:r>
                <w:rPr>
                  <w:rStyle w:val="InternetLink"/>
                  <w:rFonts w:ascii="Times New Roman;serif" w:hAnsi="Times New Roman;serif"/>
                  <w:b w:val="false"/>
                  <w:color w:val="000080"/>
                  <w:sz w:val="20"/>
                  <w:u w:val="single"/>
                </w:rPr>
                <w:br/>
              </w:r>
            </w:hyperlink>
            <w:hyperlink w:anchor="i64f471e244a14b75bac99a76a2dd9fca_52">
              <w:r>
                <w:rPr>
                  <w:rStyle w:val="InternetLink"/>
                  <w:rFonts w:ascii="Times New Roman;serif" w:hAnsi="Times New Roman;serif"/>
                  <w:b w:val="false"/>
                  <w:color w:val="000080"/>
                  <w:sz w:val="20"/>
                  <w:u w:val="single"/>
                </w:rPr>
                <w:t>(United Airlines Holdings, Inc. and United Airlines, Inc.)</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52">
              <w:r>
                <w:rPr>
                  <w:rStyle w:val="InternetLink"/>
                  <w:rFonts w:ascii="Times New Roman;serif" w:hAnsi="Times New Roman;serif"/>
                  <w:b w:val="false"/>
                  <w:color w:val="0000FF"/>
                  <w:sz w:val="20"/>
                  <w:u w:val="single"/>
                </w:rPr>
                <w:t>13</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55">
              <w:r>
                <w:rPr>
                  <w:rStyle w:val="InternetLink"/>
                  <w:rFonts w:ascii="Times New Roman;serif" w:hAnsi="Times New Roman;serif"/>
                  <w:b w:val="false"/>
                  <w:color w:val="0000FF"/>
                  <w:sz w:val="20"/>
                  <w:u w:val="single"/>
                </w:rPr>
                <w:t>Note 1 - Basis of Presentation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55">
              <w:r>
                <w:rPr>
                  <w:rStyle w:val="InternetLink"/>
                  <w:rFonts w:ascii="Times New Roman;serif" w:hAnsi="Times New Roman;serif"/>
                  <w:b w:val="false"/>
                  <w:color w:val="0000FF"/>
                  <w:sz w:val="20"/>
                  <w:u w:val="single"/>
                </w:rPr>
                <w:t>13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58">
              <w:r>
                <w:rPr>
                  <w:rStyle w:val="InternetLink"/>
                  <w:rFonts w:ascii="Times New Roman;serif" w:hAnsi="Times New Roman;serif"/>
                  <w:b w:val="false"/>
                  <w:color w:val="0000FF"/>
                  <w:sz w:val="20"/>
                  <w:u w:val="single"/>
                </w:rPr>
                <w:t>Note 2 - Revenue Recognition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58">
              <w:r>
                <w:rPr>
                  <w:rStyle w:val="InternetLink"/>
                  <w:rFonts w:ascii="Times New Roman;serif" w:hAnsi="Times New Roman;serif"/>
                  <w:b w:val="false"/>
                  <w:color w:val="0000FF"/>
                  <w:sz w:val="20"/>
                  <w:u w:val="single"/>
                </w:rPr>
                <w:t>13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61">
              <w:r>
                <w:rPr>
                  <w:rStyle w:val="InternetLink"/>
                  <w:rFonts w:ascii="Times New Roman;serif" w:hAnsi="Times New Roman;serif"/>
                  <w:b w:val="false"/>
                  <w:color w:val="0000FF"/>
                  <w:sz w:val="20"/>
                  <w:u w:val="single"/>
                </w:rPr>
                <w:t>Note 3 - Earnings Per Share</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61">
              <w:r>
                <w:rPr>
                  <w:rStyle w:val="InternetLink"/>
                  <w:rFonts w:ascii="Times New Roman;serif" w:hAnsi="Times New Roman;serif"/>
                  <w:b w:val="false"/>
                  <w:color w:val="0000FF"/>
                  <w:sz w:val="20"/>
                  <w:u w:val="single"/>
                </w:rPr>
                <w:t>14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64">
              <w:r>
                <w:rPr>
                  <w:rStyle w:val="InternetLink"/>
                  <w:rFonts w:ascii="Times New Roman;serif" w:hAnsi="Times New Roman;serif"/>
                  <w:b w:val="false"/>
                  <w:color w:val="0000FF"/>
                  <w:sz w:val="20"/>
                  <w:u w:val="single"/>
                </w:rPr>
                <w:t>Note 4 - Accumulated Other Comprehensive Income (Loss)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64">
              <w:r>
                <w:rPr>
                  <w:rStyle w:val="InternetLink"/>
                  <w:rFonts w:ascii="Times New Roman;serif" w:hAnsi="Times New Roman;serif"/>
                  <w:b w:val="false"/>
                  <w:color w:val="0000FF"/>
                  <w:sz w:val="20"/>
                  <w:u w:val="single"/>
                </w:rPr>
                <w:t>15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67">
              <w:r>
                <w:rPr>
                  <w:rStyle w:val="InternetLink"/>
                  <w:rFonts w:ascii="Times New Roman;serif" w:hAnsi="Times New Roman;serif"/>
                  <w:b w:val="false"/>
                  <w:color w:val="0000FF"/>
                  <w:sz w:val="20"/>
                  <w:u w:val="single"/>
                </w:rPr>
                <w:t>Note 5 - Income Taxes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67">
              <w:r>
                <w:rPr>
                  <w:rStyle w:val="InternetLink"/>
                  <w:rFonts w:ascii="Times New Roman;serif" w:hAnsi="Times New Roman;serif"/>
                  <w:b w:val="false"/>
                  <w:color w:val="0000FF"/>
                  <w:sz w:val="20"/>
                  <w:u w:val="single"/>
                </w:rPr>
                <w:t>15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0">
              <w:r>
                <w:rPr>
                  <w:rStyle w:val="InternetLink"/>
                  <w:rFonts w:ascii="Times New Roman;serif" w:hAnsi="Times New Roman;serif"/>
                  <w:b w:val="false"/>
                  <w:color w:val="0000FF"/>
                  <w:sz w:val="20"/>
                  <w:u w:val="single"/>
                </w:rPr>
                <w:t>Note 6 - Pension and Other Postretirement Benefit Plans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70">
              <w:r>
                <w:rPr>
                  <w:rStyle w:val="InternetLink"/>
                  <w:rFonts w:ascii="Times New Roman;serif" w:hAnsi="Times New Roman;serif"/>
                  <w:b w:val="false"/>
                  <w:color w:val="0000FF"/>
                  <w:sz w:val="20"/>
                  <w:u w:val="single"/>
                </w:rPr>
                <w:t>16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3">
              <w:r>
                <w:rPr>
                  <w:rStyle w:val="InternetLink"/>
                  <w:rFonts w:ascii="Times New Roman;serif" w:hAnsi="Times New Roman;serif"/>
                  <w:b w:val="false"/>
                  <w:color w:val="0000FF"/>
                  <w:sz w:val="20"/>
                  <w:u w:val="single"/>
                </w:rPr>
                <w:t>Note 7 - Fair Value Measurements, Investments and Notes Receivable</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73">
              <w:r>
                <w:rPr>
                  <w:rStyle w:val="InternetLink"/>
                  <w:rFonts w:ascii="Times New Roman;serif" w:hAnsi="Times New Roman;serif"/>
                  <w:b w:val="false"/>
                  <w:color w:val="0000FF"/>
                  <w:sz w:val="20"/>
                  <w:u w:val="single"/>
                </w:rPr>
                <w:t>16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6">
              <w:r>
                <w:rPr>
                  <w:rStyle w:val="InternetLink"/>
                  <w:rFonts w:ascii="Times New Roman;serif" w:hAnsi="Times New Roman;serif"/>
                  <w:b w:val="false"/>
                  <w:color w:val="0000FF"/>
                  <w:sz w:val="20"/>
                  <w:u w:val="single"/>
                </w:rPr>
                <w:t>Note 8 - Debt</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76">
              <w:r>
                <w:rPr>
                  <w:rStyle w:val="InternetLink"/>
                  <w:rFonts w:ascii="Times New Roman;serif" w:hAnsi="Times New Roman;serif"/>
                  <w:b w:val="false"/>
                  <w:color w:val="0000FF"/>
                  <w:sz w:val="20"/>
                  <w:u w:val="single"/>
                </w:rPr>
                <w:t>18</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9">
              <w:r>
                <w:rPr>
                  <w:rStyle w:val="InternetLink"/>
                  <w:rFonts w:ascii="Times New Roman;serif" w:hAnsi="Times New Roman;serif"/>
                  <w:b w:val="false"/>
                  <w:color w:val="0000FF"/>
                  <w:sz w:val="20"/>
                  <w:u w:val="single"/>
                </w:rPr>
                <w:t>Note 9 - Commitments and Contingencies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79">
              <w:r>
                <w:rPr>
                  <w:rStyle w:val="InternetLink"/>
                  <w:rFonts w:ascii="Times New Roman;serif" w:hAnsi="Times New Roman;serif"/>
                  <w:b w:val="false"/>
                  <w:color w:val="0000FF"/>
                  <w:sz w:val="20"/>
                  <w:u w:val="single"/>
                </w:rPr>
                <w:t>19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82">
              <w:r>
                <w:rPr>
                  <w:rStyle w:val="InternetLink"/>
                  <w:rFonts w:ascii="Times New Roman;serif" w:hAnsi="Times New Roman;serif"/>
                  <w:b w:val="false"/>
                  <w:color w:val="0000FF"/>
                  <w:sz w:val="20"/>
                  <w:u w:val="single"/>
                </w:rPr>
                <w:t>Note 10 - Special Charges (Credits)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82">
              <w:r>
                <w:rPr>
                  <w:rStyle w:val="InternetLink"/>
                  <w:rFonts w:ascii="Times New Roman;serif" w:hAnsi="Times New Roman;serif"/>
                  <w:b w:val="false"/>
                  <w:color w:val="0000FF"/>
                  <w:sz w:val="20"/>
                  <w:u w:val="single"/>
                </w:rPr>
                <w:t>20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85">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85">
              <w:r>
                <w:rPr>
                  <w:rStyle w:val="InternetLink"/>
                  <w:rFonts w:ascii="Times New Roman;serif" w:hAnsi="Times New Roman;serif"/>
                  <w:b w:val="false"/>
                  <w:color w:val="0000FF"/>
                  <w:sz w:val="20"/>
                  <w:u w:val="single"/>
                </w:rPr>
                <w:t>21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106">
              <w:r>
                <w:rPr>
                  <w:rStyle w:val="InternetLink"/>
                  <w:rFonts w:ascii="Times New Roman;serif" w:hAnsi="Times New Roman;serif"/>
                  <w:b w:val="false"/>
                  <w:color w:val="0000FF"/>
                  <w:sz w:val="20"/>
                  <w:u w:val="single"/>
                </w:rPr>
                <w:t>Item 3. Quantitative and Qualitative Disclosures About Market Risk</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106">
              <w:r>
                <w:rPr>
                  <w:rStyle w:val="InternetLink"/>
                  <w:rFonts w:ascii="Times New Roman;serif" w:hAnsi="Times New Roman;serif"/>
                  <w:b w:val="false"/>
                  <w:color w:val="0000FF"/>
                  <w:sz w:val="20"/>
                  <w:u w:val="single"/>
                </w:rPr>
                <w:t>31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109">
              <w:r>
                <w:rPr>
                  <w:rStyle w:val="InternetLink"/>
                  <w:rFonts w:ascii="Times New Roman;serif" w:hAnsi="Times New Roman;serif"/>
                  <w:b w:val="false"/>
                  <w:color w:val="0000FF"/>
                  <w:sz w:val="20"/>
                  <w:u w:val="single"/>
                </w:rPr>
                <w:t>Item 4. Controls and Procedures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109">
              <w:r>
                <w:rPr>
                  <w:rStyle w:val="InternetLink"/>
                  <w:rFonts w:ascii="Times New Roman;serif" w:hAnsi="Times New Roman;serif"/>
                  <w:b w:val="false"/>
                  <w:color w:val="0000FF"/>
                  <w:sz w:val="20"/>
                  <w:u w:val="single"/>
                </w:rPr>
                <w:t>31</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112">
              <w:r>
                <w:rPr>
                  <w:rStyle w:val="InternetLink"/>
                  <w:rFonts w:ascii="Times New Roman;serif" w:hAnsi="Times New Roman;serif"/>
                  <w:b w:val="false"/>
                  <w:color w:val="0000FF"/>
                  <w:sz w:val="20"/>
                  <w:u w:val="single"/>
                </w:rPr>
                <w:t>PART II. OTHER INFORMATION</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115">
              <w:r>
                <w:rPr>
                  <w:rStyle w:val="InternetLink"/>
                  <w:rFonts w:ascii="Times New Roman;serif" w:hAnsi="Times New Roman;serif"/>
                  <w:b w:val="false"/>
                  <w:color w:val="0000FF"/>
                  <w:sz w:val="20"/>
                  <w:u w:val="single"/>
                </w:rPr>
                <w:t>Item 1. Legal Proceedings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115">
              <w:r>
                <w:rPr>
                  <w:rStyle w:val="InternetLink"/>
                  <w:rFonts w:ascii="Times New Roman;serif" w:hAnsi="Times New Roman;serif"/>
                  <w:b w:val="false"/>
                  <w:color w:val="0000FF"/>
                  <w:sz w:val="20"/>
                  <w:u w:val="single"/>
                </w:rPr>
                <w:t>31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118">
              <w:r>
                <w:rPr>
                  <w:rStyle w:val="InternetLink"/>
                  <w:rFonts w:ascii="Times New Roman;serif" w:hAnsi="Times New Roman;serif"/>
                  <w:b w:val="false"/>
                  <w:color w:val="0000FF"/>
                  <w:sz w:val="20"/>
                  <w:u w:val="single"/>
                </w:rPr>
                <w:t>Item 1A. Risk Factors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112">
              <w:r>
                <w:rPr>
                  <w:rStyle w:val="InternetLink"/>
                  <w:rFonts w:ascii="Times New Roman;serif" w:hAnsi="Times New Roman;serif"/>
                  <w:b w:val="false"/>
                  <w:color w:val="0000FF"/>
                  <w:sz w:val="20"/>
                  <w:u w:val="single"/>
                </w:rPr>
                <w:t>31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121">
              <w:r>
                <w:rPr>
                  <w:rStyle w:val="InternetLink"/>
                  <w:rFonts w:ascii="Times New Roman;serif" w:hAnsi="Times New Roman;serif"/>
                  <w:b w:val="false"/>
                  <w:color w:val="0000FF"/>
                  <w:sz w:val="20"/>
                  <w:u w:val="single"/>
                </w:rPr>
                <w:t>Item 2. Unregistered Sales of Equity Securities and Use of Proceeds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121">
              <w:r>
                <w:rPr>
                  <w:rStyle w:val="InternetLink"/>
                  <w:rFonts w:ascii="Times New Roman;serif" w:hAnsi="Times New Roman;serif"/>
                  <w:b w:val="false"/>
                  <w:color w:val="0000FF"/>
                  <w:sz w:val="20"/>
                  <w:u w:val="single"/>
                </w:rPr>
                <w:t>31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124">
              <w:r>
                <w:rPr>
                  <w:rStyle w:val="InternetLink"/>
                  <w:rFonts w:ascii="Times New Roman;serif" w:hAnsi="Times New Roman;serif"/>
                  <w:b w:val="false"/>
                  <w:color w:val="0000FF"/>
                  <w:sz w:val="20"/>
                  <w:u w:val="single"/>
                </w:rPr>
                <w:t>Item 5. Other Information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124">
              <w:r>
                <w:rPr>
                  <w:rStyle w:val="InternetLink"/>
                  <w:rFonts w:ascii="Times New Roman;serif" w:hAnsi="Times New Roman;serif"/>
                  <w:b w:val="false"/>
                  <w:color w:val="0000FF"/>
                  <w:sz w:val="20"/>
                  <w:u w:val="single"/>
                </w:rPr>
                <w:t>31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130">
              <w:r>
                <w:rPr>
                  <w:rStyle w:val="InternetLink"/>
                  <w:rFonts w:ascii="Times New Roman;serif" w:hAnsi="Times New Roman;serif"/>
                  <w:b w:val="false"/>
                  <w:color w:val="0000FF"/>
                  <w:sz w:val="20"/>
                  <w:u w:val="single"/>
                </w:rPr>
                <w:t>Item 6. Exhibits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130">
              <w:r>
                <w:rPr>
                  <w:rStyle w:val="InternetLink"/>
                  <w:rFonts w:ascii="Times New Roman;serif" w:hAnsi="Times New Roman;serif"/>
                  <w:b w:val="false"/>
                  <w:color w:val="0000FF"/>
                  <w:sz w:val="20"/>
                  <w:u w:val="single"/>
                </w:rPr>
                <w:t>33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133">
              <w:r>
                <w:rPr>
                  <w:rStyle w:val="InternetLink"/>
                  <w:rFonts w:ascii="Times New Roman;serif" w:hAnsi="Times New Roman;serif"/>
                  <w:b w:val="false"/>
                  <w:color w:val="0000FF"/>
                  <w:sz w:val="20"/>
                  <w:u w:val="single"/>
                </w:rPr>
                <w:t>Exhibit Index</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133">
              <w:r>
                <w:rPr>
                  <w:rStyle w:val="InternetLink"/>
                  <w:rFonts w:ascii="Times New Roman;serif" w:hAnsi="Times New Roman;serif"/>
                  <w:b w:val="false"/>
                  <w:color w:val="0000FF"/>
                  <w:sz w:val="20"/>
                  <w:u w:val="single"/>
                </w:rPr>
                <w:t>33</w:t>
              </w:r>
            </w:hyperlink>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136">
              <w:r>
                <w:rPr>
                  <w:rStyle w:val="InternetLink"/>
                  <w:rFonts w:ascii="Times New Roman;serif" w:hAnsi="Times New Roman;serif"/>
                  <w:b w:val="false"/>
                  <w:color w:val="0000FF"/>
                  <w:sz w:val="20"/>
                  <w:u w:val="single"/>
                </w:rPr>
                <w:t>Signatures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f471e244a14b75bac99a76a2dd9fca_136">
              <w:r>
                <w:rPr>
                  <w:rStyle w:val="InternetLink"/>
                  <w:rFonts w:ascii="Times New Roman;serif" w:hAnsi="Times New Roman;serif"/>
                  <w:b w:val="false"/>
                  <w:color w:val="0000FF"/>
                  <w:sz w:val="20"/>
                  <w:u w:val="single"/>
                </w:rPr>
                <w:t>34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HOLDINGS, INC.</w:t>
      </w:r>
    </w:p>
    <w:p>
      <w:pPr>
        <w:pStyle w:val="TextBody"/>
        <w:bidi w:val="0"/>
        <w:spacing w:lineRule="auto" w:line="288" w:before="0" w:after="0"/>
        <w:jc w:val="center"/>
        <w:rPr/>
      </w:pPr>
      <w:r>
        <w:rPr>
          <w:rFonts w:ascii="Times New Roman;serif" w:hAnsi="Times New Roman;serif"/>
          <w:b/>
          <w:color w:val="000000"/>
          <w:sz w:val="20"/>
        </w:rPr>
        <w:t>STATEMENTS OF CONSOLIDATED OPERATIONS (UNAUDITED</w:t>
      </w:r>
      <w:r>
        <w:rPr>
          <w:rFonts w:ascii="Times New Roman;serif" w:hAnsi="Times New Roman;serif"/>
          <w:b w:val="false"/>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10205" w:type="dxa"/>
        <w:jc w:val="center"/>
        <w:tblInd w:w="0" w:type="dxa"/>
        <w:tblLayout w:type="fixed"/>
        <w:tblCellMar>
          <w:top w:w="28" w:type="dxa"/>
          <w:left w:w="28" w:type="dxa"/>
          <w:bottom w:w="28" w:type="dxa"/>
          <w:right w:w="28" w:type="dxa"/>
        </w:tblCellMar>
      </w:tblPr>
      <w:tblGrid>
        <w:gridCol w:w="1501"/>
        <w:gridCol w:w="1317"/>
        <w:gridCol w:w="1326"/>
        <w:gridCol w:w="252"/>
        <w:gridCol w:w="864"/>
        <w:gridCol w:w="130"/>
        <w:gridCol w:w="130"/>
        <w:gridCol w:w="130"/>
        <w:gridCol w:w="130"/>
        <w:gridCol w:w="252"/>
        <w:gridCol w:w="864"/>
        <w:gridCol w:w="130"/>
        <w:gridCol w:w="109"/>
        <w:gridCol w:w="109"/>
        <w:gridCol w:w="109"/>
        <w:gridCol w:w="244"/>
        <w:gridCol w:w="836"/>
        <w:gridCol w:w="125"/>
        <w:gridCol w:w="125"/>
        <w:gridCol w:w="125"/>
        <w:gridCol w:w="125"/>
        <w:gridCol w:w="244"/>
        <w:gridCol w:w="836"/>
        <w:gridCol w:w="192"/>
      </w:tblGrid>
      <w:tr>
        <w:trPr/>
        <w:tc>
          <w:tcPr>
            <w:tcW w:w="150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Cargo revenue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revenue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Landing fees and other rent</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maintenance materials and outside repairs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capacity purchase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rent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(credits)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investments, net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Miscellaneous, net </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basic</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diluted</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pStyle w:val="TextBody"/>
        <w:bidi w:val="0"/>
        <w:spacing w:before="0" w:after="0"/>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CONSOLIDATED COMPREHENSIVE INCOME (LOSS)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9952" w:type="dxa"/>
        <w:jc w:val="center"/>
        <w:tblInd w:w="0" w:type="dxa"/>
        <w:tblLayout w:type="fixed"/>
        <w:tblCellMar>
          <w:top w:w="28" w:type="dxa"/>
          <w:left w:w="28" w:type="dxa"/>
          <w:bottom w:w="28" w:type="dxa"/>
          <w:right w:w="28" w:type="dxa"/>
        </w:tblCellMar>
      </w:tblPr>
      <w:tblGrid>
        <w:gridCol w:w="1406"/>
        <w:gridCol w:w="1233"/>
        <w:gridCol w:w="1245"/>
        <w:gridCol w:w="298"/>
        <w:gridCol w:w="870"/>
        <w:gridCol w:w="154"/>
        <w:gridCol w:w="154"/>
        <w:gridCol w:w="154"/>
        <w:gridCol w:w="154"/>
        <w:gridCol w:w="298"/>
        <w:gridCol w:w="658"/>
        <w:gridCol w:w="154"/>
        <w:gridCol w:w="109"/>
        <w:gridCol w:w="109"/>
        <w:gridCol w:w="109"/>
        <w:gridCol w:w="268"/>
        <w:gridCol w:w="782"/>
        <w:gridCol w:w="138"/>
        <w:gridCol w:w="138"/>
        <w:gridCol w:w="138"/>
        <w:gridCol w:w="138"/>
        <w:gridCol w:w="268"/>
        <w:gridCol w:w="782"/>
        <w:gridCol w:w="195"/>
      </w:tblGrid>
      <w:tr>
        <w:trPr/>
        <w:tc>
          <w:tcPr>
            <w:tcW w:w="140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and other</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net of tax</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net</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70"/>
        <w:gridCol w:w="2143"/>
        <w:gridCol w:w="2160"/>
        <w:gridCol w:w="270"/>
        <w:gridCol w:w="927"/>
        <w:gridCol w:w="140"/>
        <w:gridCol w:w="109"/>
        <w:gridCol w:w="109"/>
        <w:gridCol w:w="109"/>
        <w:gridCol w:w="265"/>
        <w:gridCol w:w="906"/>
        <w:gridCol w:w="197"/>
      </w:tblGrid>
      <w:tr>
        <w:trPr/>
        <w:tc>
          <w:tcPr>
            <w:tcW w:w="2870"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 spare parts and supplies, net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16,857 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property and equipment, net</w:t>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affiliates and other, net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85,120 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ticket sales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Frequent flyer deferred revenue</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finance leases, and other financial liabilities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finance leases, and other financial liabilities</w:t>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obligations under operating leases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Frequent flyer deferred revenue</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liability</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at par, $0.01 par value; authorized 1,000,000,000 shares; outstanding 324,889,913 and 323,470,682 shares at September 30, 2026 and December 31, 2025, respectively</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capital invested</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held in treasury, at cost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85,120 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76,448 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CONSOLIDATED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tbl>
      <w:tblPr>
        <w:tblW w:w="10205" w:type="dxa"/>
        <w:jc w:val="center"/>
        <w:tblInd w:w="0" w:type="dxa"/>
        <w:tblLayout w:type="fixed"/>
        <w:tblCellMar>
          <w:top w:w="28" w:type="dxa"/>
          <w:left w:w="28" w:type="dxa"/>
          <w:bottom w:w="28" w:type="dxa"/>
          <w:right w:w="28" w:type="dxa"/>
        </w:tblCellMar>
      </w:tblPr>
      <w:tblGrid>
        <w:gridCol w:w="2776"/>
        <w:gridCol w:w="2370"/>
        <w:gridCol w:w="2384"/>
        <w:gridCol w:w="251"/>
        <w:gridCol w:w="734"/>
        <w:gridCol w:w="129"/>
        <w:gridCol w:w="129"/>
        <w:gridCol w:w="129"/>
        <w:gridCol w:w="129"/>
        <w:gridCol w:w="251"/>
        <w:gridCol w:w="734"/>
        <w:gridCol w:w="189"/>
      </w:tblGrid>
      <w:tr>
        <w:trPr/>
        <w:tc>
          <w:tcPr>
            <w:tcW w:w="2776"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net of flight equipment purchase deposit returns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and other investments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short-term and other investments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debt and other financial liabilities, net of discounts and fees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 finance leases and other financial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the period</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the period (a)</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and Financing Activities Not Affecting Cash:</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acquired or modified through operating leases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acquired through the issuance or modification of debt, finance leases and other financial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converted to finance leases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interests received in exchange for loans, goods and services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The following table provides a reconciliation of cash, cash equivalents and restricted cash to amounts reported within the consolidated balance sheets:</w:t>
      </w:r>
    </w:p>
    <w:tbl>
      <w:tblPr>
        <w:tblW w:w="6938" w:type="dxa"/>
        <w:jc w:val="center"/>
        <w:tblInd w:w="0" w:type="dxa"/>
        <w:tblLayout w:type="fixed"/>
        <w:tblCellMar>
          <w:top w:w="28" w:type="dxa"/>
          <w:left w:w="28" w:type="dxa"/>
          <w:bottom w:w="28" w:type="dxa"/>
          <w:right w:w="28" w:type="dxa"/>
        </w:tblCellMar>
      </w:tblPr>
      <w:tblGrid>
        <w:gridCol w:w="1700"/>
        <w:gridCol w:w="1493"/>
        <w:gridCol w:w="1501"/>
        <w:gridCol w:w="211"/>
        <w:gridCol w:w="616"/>
        <w:gridCol w:w="109"/>
        <w:gridCol w:w="109"/>
        <w:gridCol w:w="109"/>
        <w:gridCol w:w="109"/>
        <w:gridCol w:w="211"/>
        <w:gridCol w:w="616"/>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 Investments in affiliates and 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cash, cash equivalents and restricted cash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UNITED AIRLINES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CONSOLIDATED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11" w:type="dxa"/>
        <w:jc w:val="center"/>
        <w:tblInd w:w="0" w:type="dxa"/>
        <w:tblLayout w:type="fixed"/>
        <w:tblCellMar>
          <w:top w:w="28" w:type="dxa"/>
          <w:left w:w="28" w:type="dxa"/>
          <w:bottom w:w="28" w:type="dxa"/>
          <w:right w:w="28" w:type="dxa"/>
        </w:tblCellMar>
      </w:tblPr>
      <w:tblGrid>
        <w:gridCol w:w="783"/>
        <w:gridCol w:w="318"/>
        <w:gridCol w:w="250"/>
        <w:gridCol w:w="308"/>
        <w:gridCol w:w="308"/>
        <w:gridCol w:w="211"/>
        <w:gridCol w:w="109"/>
        <w:gridCol w:w="109"/>
        <w:gridCol w:w="109"/>
        <w:gridCol w:w="275"/>
        <w:gridCol w:w="333"/>
        <w:gridCol w:w="143"/>
        <w:gridCol w:w="109"/>
        <w:gridCol w:w="109"/>
        <w:gridCol w:w="109"/>
        <w:gridCol w:w="211"/>
        <w:gridCol w:w="616"/>
        <w:gridCol w:w="109"/>
        <w:gridCol w:w="109"/>
        <w:gridCol w:w="109"/>
        <w:gridCol w:w="109"/>
        <w:gridCol w:w="211"/>
        <w:gridCol w:w="631"/>
        <w:gridCol w:w="109"/>
        <w:gridCol w:w="109"/>
        <w:gridCol w:w="109"/>
        <w:gridCol w:w="109"/>
        <w:gridCol w:w="211"/>
        <w:gridCol w:w="721"/>
        <w:gridCol w:w="109"/>
        <w:gridCol w:w="109"/>
        <w:gridCol w:w="109"/>
        <w:gridCol w:w="109"/>
        <w:gridCol w:w="350"/>
        <w:gridCol w:w="774"/>
        <w:gridCol w:w="182"/>
        <w:gridCol w:w="109"/>
        <w:gridCol w:w="109"/>
        <w:gridCol w:w="109"/>
        <w:gridCol w:w="211"/>
        <w:gridCol w:w="721"/>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Capital Invested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for share-based awards, net of shares withheld for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for share-based awards, net of shares withheld for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for share-based awards, net of shares withheld for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issued for settlement of warrants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for share-based awards, net of shares withheld for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CONSOLIDATED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501"/>
        <w:gridCol w:w="1317"/>
        <w:gridCol w:w="1326"/>
        <w:gridCol w:w="252"/>
        <w:gridCol w:w="864"/>
        <w:gridCol w:w="130"/>
        <w:gridCol w:w="130"/>
        <w:gridCol w:w="130"/>
        <w:gridCol w:w="130"/>
        <w:gridCol w:w="252"/>
        <w:gridCol w:w="864"/>
        <w:gridCol w:w="130"/>
        <w:gridCol w:w="109"/>
        <w:gridCol w:w="109"/>
        <w:gridCol w:w="109"/>
        <w:gridCol w:w="244"/>
        <w:gridCol w:w="836"/>
        <w:gridCol w:w="125"/>
        <w:gridCol w:w="125"/>
        <w:gridCol w:w="125"/>
        <w:gridCol w:w="125"/>
        <w:gridCol w:w="244"/>
        <w:gridCol w:w="836"/>
        <w:gridCol w:w="192"/>
      </w:tblGrid>
      <w:tr>
        <w:trPr/>
        <w:tc>
          <w:tcPr>
            <w:tcW w:w="150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Cargo revenue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revenue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Landing fees and other rent</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maintenance materials and outside repairs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capacity purchase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rent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(credits)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investments, net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Miscellaneous, net </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00"/>
        <w:jc w:val="center"/>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CONSOLIDATED COMPREHENSIVE INCOME (LOSS)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p>
      <w:pPr>
        <w:pStyle w:val="TextBody"/>
        <w:bidi w:val="0"/>
        <w:spacing w:before="0" w:after="0"/>
        <w:jc w:val="left"/>
        <w:rPr/>
      </w:pPr>
      <w:r>
        <w:rPr/>
      </w:r>
    </w:p>
    <w:tbl>
      <w:tblPr>
        <w:tblW w:w="9952" w:type="dxa"/>
        <w:jc w:val="left"/>
        <w:tblInd w:w="0" w:type="dxa"/>
        <w:tblLayout w:type="fixed"/>
        <w:tblCellMar>
          <w:top w:w="28" w:type="dxa"/>
          <w:left w:w="28" w:type="dxa"/>
          <w:bottom w:w="28" w:type="dxa"/>
          <w:right w:w="28" w:type="dxa"/>
        </w:tblCellMar>
      </w:tblPr>
      <w:tblGrid>
        <w:gridCol w:w="1406"/>
        <w:gridCol w:w="1233"/>
        <w:gridCol w:w="1245"/>
        <w:gridCol w:w="298"/>
        <w:gridCol w:w="870"/>
        <w:gridCol w:w="154"/>
        <w:gridCol w:w="154"/>
        <w:gridCol w:w="154"/>
        <w:gridCol w:w="154"/>
        <w:gridCol w:w="298"/>
        <w:gridCol w:w="658"/>
        <w:gridCol w:w="154"/>
        <w:gridCol w:w="109"/>
        <w:gridCol w:w="109"/>
        <w:gridCol w:w="109"/>
        <w:gridCol w:w="268"/>
        <w:gridCol w:w="782"/>
        <w:gridCol w:w="138"/>
        <w:gridCol w:w="138"/>
        <w:gridCol w:w="138"/>
        <w:gridCol w:w="138"/>
        <w:gridCol w:w="268"/>
        <w:gridCol w:w="782"/>
        <w:gridCol w:w="195"/>
      </w:tblGrid>
      <w:tr>
        <w:trPr/>
        <w:tc>
          <w:tcPr>
            <w:tcW w:w="140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and other</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net of tax</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net</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00"/>
        <w:jc w:val="center"/>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except shares)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38"/>
        <w:gridCol w:w="2177"/>
        <w:gridCol w:w="2195"/>
        <w:gridCol w:w="268"/>
        <w:gridCol w:w="918"/>
        <w:gridCol w:w="138"/>
        <w:gridCol w:w="109"/>
        <w:gridCol w:w="109"/>
        <w:gridCol w:w="109"/>
        <w:gridCol w:w="260"/>
        <w:gridCol w:w="890"/>
        <w:gridCol w:w="194"/>
      </w:tblGrid>
      <w:tr>
        <w:trPr/>
        <w:tc>
          <w:tcPr>
            <w:tcW w:w="2838"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 spare parts and supplies,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16,857 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property and equipment, net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affiliates and other,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59,591 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85,120 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ticket sales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Frequent flyer deferred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finance leases, and other financial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finance leases, and other financial liabilities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obligations under operating leases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Frequent flyer deferred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liability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at par, $0.01 par value; authorized 1,000 shares; issued and outstanding 1,000 shares at both September 30, 2026 and December 31, 2025</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capital invested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parent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85,120 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76,448 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STATEMENTS OF CONSOLIDATED CASH FLOWS (UNAUDITED)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776"/>
        <w:gridCol w:w="2370"/>
        <w:gridCol w:w="2384"/>
        <w:gridCol w:w="251"/>
        <w:gridCol w:w="734"/>
        <w:gridCol w:w="129"/>
        <w:gridCol w:w="129"/>
        <w:gridCol w:w="129"/>
        <w:gridCol w:w="129"/>
        <w:gridCol w:w="251"/>
        <w:gridCol w:w="734"/>
        <w:gridCol w:w="189"/>
      </w:tblGrid>
      <w:tr>
        <w:trPr/>
        <w:tc>
          <w:tcPr>
            <w:tcW w:w="2776"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net of flight equipment purchase deposit returns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and other investments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short-term and other investments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debt and other financial liabilities, net of discounts and fees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 finance leases and other financial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the period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the period (a)</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and Financing Activities Not Affecting Cash:</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acquired or modified through operating leases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acquired through the issuance or modification of debt, finance leases and other financial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converted to finance leases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interests received in exchange for loans, goods and services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The following table provides a reconciliation of cash, cash equivalents and restricted cash to amounts reported within the consolidated balance sheets:</w:t>
      </w:r>
    </w:p>
    <w:tbl>
      <w:tblPr>
        <w:tblW w:w="6938" w:type="dxa"/>
        <w:jc w:val="center"/>
        <w:tblInd w:w="0" w:type="dxa"/>
        <w:tblLayout w:type="fixed"/>
        <w:tblCellMar>
          <w:top w:w="28" w:type="dxa"/>
          <w:left w:w="28" w:type="dxa"/>
          <w:bottom w:w="28" w:type="dxa"/>
          <w:right w:w="28" w:type="dxa"/>
        </w:tblCellMar>
      </w:tblPr>
      <w:tblGrid>
        <w:gridCol w:w="1700"/>
        <w:gridCol w:w="1493"/>
        <w:gridCol w:w="1501"/>
        <w:gridCol w:w="211"/>
        <w:gridCol w:w="616"/>
        <w:gridCol w:w="109"/>
        <w:gridCol w:w="109"/>
        <w:gridCol w:w="109"/>
        <w:gridCol w:w="109"/>
        <w:gridCol w:w="211"/>
        <w:gridCol w:w="616"/>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 Investments in affiliates and 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8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UNITED AIRLINES,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CONSOLIDATED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905"/>
        <w:gridCol w:w="528"/>
        <w:gridCol w:w="481"/>
        <w:gridCol w:w="282"/>
        <w:gridCol w:w="625"/>
        <w:gridCol w:w="148"/>
        <w:gridCol w:w="109"/>
        <w:gridCol w:w="109"/>
        <w:gridCol w:w="109"/>
        <w:gridCol w:w="239"/>
        <w:gridCol w:w="818"/>
        <w:gridCol w:w="123"/>
        <w:gridCol w:w="109"/>
        <w:gridCol w:w="109"/>
        <w:gridCol w:w="109"/>
        <w:gridCol w:w="472"/>
        <w:gridCol w:w="1045"/>
        <w:gridCol w:w="245"/>
        <w:gridCol w:w="109"/>
        <w:gridCol w:w="109"/>
        <w:gridCol w:w="109"/>
        <w:gridCol w:w="402"/>
        <w:gridCol w:w="1173"/>
        <w:gridCol w:w="208"/>
        <w:gridCol w:w="109"/>
        <w:gridCol w:w="109"/>
        <w:gridCol w:w="109"/>
        <w:gridCol w:w="211"/>
        <w:gridCol w:w="721"/>
        <w:gridCol w:w="109"/>
        <w:gridCol w:w="162"/>
      </w:tblGrid>
      <w:tr>
        <w:trPr/>
        <w:tc>
          <w:tcPr>
            <w:tcW w:w="90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Capital Invested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(Receivable from) Payable to Related Parties,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vMerge w:val="continue"/>
            <w:tcBorders/>
            <w:tcMar>
              <w:top w:w="0" w:type="dxa"/>
              <w:left w:w="0" w:type="dxa"/>
              <w:bottom w:w="0" w:type="dxa"/>
              <w:right w:w="0" w:type="dxa"/>
            </w:tcMar>
            <w:vAlign w:val="center"/>
          </w:tcPr>
          <w:p>
            <w:pPr>
              <w:pStyle w:val="Normal"/>
              <w:bidi w:val="0"/>
              <w:jc w:val="left"/>
              <w:rPr/>
            </w:pPr>
            <w:r>
              <w:rPr/>
            </w:r>
          </w:p>
        </w:tc>
        <w:tc>
          <w:tcPr>
            <w:tcW w:w="10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UAL share repurchase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UAL share repurchase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share-based compensation</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UAL share repurchase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Combined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UNITED AIRLINES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AIRLINES,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COMBINED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1 - BASIS OF PRESENTATION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United Airlines Holdings, Inc. (together with its consolidated subsidiaries, "UAL" or the "Company") is a holding company incorporated in Delaware and its wholly-owned subsidiary is United Airlines, Inc. (together with its consolidated subsidiaries, "United"). As UAL consolidates United for financial statement purposes, disclosures that relate to activities of United also apply to UAL, unless otherwise noted. United comprises substantially all of UAL's operating revenues, operating expenses,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Company's consolidated financial statements have been prepared in accordance with accounting principles generally accepted in the United States of America ("GAAP"). Some information and footnote disclosures normally included in financial statements have been condensed or omitted as permitted by the U.S. Securities and Exchange Commission (the "SEC"). The UAL and United financial statements should be read in conjunction with the information included in the Company's Annual Report on Form 10-K for the fiscal year ended December 31, 2025 (the "2025 Form 10-K"). The financial statements include all adjustments, including normal recurring adjustments and other adjustments, which are considered necessary for a fair presentation of the Company's financial position and results of operations for the interim periods presented. The Company's quarterly financial data is subject to seasonal fluctuations, and its second and third quarter financial results have historically reflected higher travel demand than its first and fourth quarter financial results. Due to these fluctuations, quarterly financial results are not necessarily indicative of financial results for the entire year.</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consolidates variable interest entities when it determines that it is the primary beneficiary of those entities' operations. All material intercompany accounts and transactions have been eliminated in consolidation. Certain columns and rows within the financial statements and tables presented may not sum due to rounding. Per unit amounts have been calculated from the underlying whole-dollar amounts. </w:t>
      </w:r>
    </w:p>
    <w:p>
      <w:pPr>
        <w:pStyle w:val="TextBody"/>
        <w:bidi w:val="0"/>
        <w:spacing w:lineRule="auto" w:line="288" w:before="180" w:after="100"/>
        <w:jc w:val="left"/>
        <w:rPr/>
      </w:pPr>
      <w:r>
        <w:rPr>
          <w:rFonts w:ascii="Times New Roman;serif" w:hAnsi="Times New Roman;serif"/>
          <w:b w:val="false"/>
          <w:i/>
          <w:color w:val="000000"/>
          <w:sz w:val="20"/>
        </w:rPr>
        <w:t xml:space="preserve">Segments. </w:t>
      </w:r>
      <w:r>
        <w:rPr>
          <w:rFonts w:ascii="Times New Roman;serif" w:hAnsi="Times New Roman;serif"/>
          <w:b w:val="false"/>
          <w:color w:val="000000"/>
          <w:sz w:val="20"/>
        </w:rPr>
        <w:t>The Company manages its operations as one segment. The Company's chief executive officer is its chief operating decision maker ("CODM"). The CODM assesses performance of the Company and makes resource allocation decisions based on Net income as reported in the Company's statement of consolidated operations. The significant segment expenses regularly provided to the CODM are those presented on the Company's statement of consolidated operations. The measure of segment assets is reported on the Company's consolidated balance sheets as Total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2 - REVENUE RECOGNITION</w:t>
      </w:r>
    </w:p>
    <w:p>
      <w:pPr>
        <w:pStyle w:val="TextBody"/>
        <w:bidi w:val="0"/>
        <w:spacing w:lineRule="auto" w:line="288" w:before="180" w:after="100"/>
        <w:jc w:val="left"/>
        <w:rPr/>
      </w:pPr>
      <w:r>
        <w:rPr>
          <w:rFonts w:ascii="Times New Roman;serif" w:hAnsi="Times New Roman;serif"/>
          <w:b w:val="false"/>
          <w:i/>
          <w:color w:val="000000"/>
          <w:sz w:val="20"/>
        </w:rPr>
        <w:t>Revenue by Geography.</w:t>
      </w:r>
      <w:r>
        <w:rPr>
          <w:color w:val="000000"/>
        </w:rPr>
        <w:t xml:space="preserve"> </w:t>
      </w:r>
      <w:r>
        <w:rPr>
          <w:rFonts w:ascii="Times New Roman;serif" w:hAnsi="Times New Roman;serif"/>
          <w:b w:val="false"/>
          <w:color w:val="000000"/>
          <w:sz w:val="20"/>
        </w:rPr>
        <w:t>The table below presents the Company's operating revenue by principal geographic region (in millions):</w:t>
      </w:r>
    </w:p>
    <w:tbl>
      <w:tblPr>
        <w:tblW w:w="8872" w:type="dxa"/>
        <w:jc w:val="left"/>
        <w:tblInd w:w="0" w:type="dxa"/>
        <w:tblLayout w:type="fixed"/>
        <w:tblCellMar>
          <w:top w:w="28" w:type="dxa"/>
          <w:left w:w="28" w:type="dxa"/>
          <w:bottom w:w="28" w:type="dxa"/>
          <w:right w:w="28" w:type="dxa"/>
        </w:tblCellMar>
      </w:tblPr>
      <w:tblGrid>
        <w:gridCol w:w="864"/>
        <w:gridCol w:w="759"/>
        <w:gridCol w:w="762"/>
        <w:gridCol w:w="273"/>
        <w:gridCol w:w="934"/>
        <w:gridCol w:w="141"/>
        <w:gridCol w:w="141"/>
        <w:gridCol w:w="141"/>
        <w:gridCol w:w="141"/>
        <w:gridCol w:w="273"/>
        <w:gridCol w:w="934"/>
        <w:gridCol w:w="141"/>
        <w:gridCol w:w="109"/>
        <w:gridCol w:w="109"/>
        <w:gridCol w:w="109"/>
        <w:gridCol w:w="261"/>
        <w:gridCol w:w="894"/>
        <w:gridCol w:w="135"/>
        <w:gridCol w:w="135"/>
        <w:gridCol w:w="135"/>
        <w:gridCol w:w="135"/>
        <w:gridCol w:w="261"/>
        <w:gridCol w:w="894"/>
        <w:gridCol w:w="191"/>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(U.S. and Canada)</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Atlantic</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Pacific</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val="false"/>
          <w:i/>
          <w:color w:val="000000"/>
          <w:sz w:val="20"/>
        </w:rPr>
        <w:t>Advance ticket sales.</w:t>
      </w:r>
      <w:r>
        <w:rPr>
          <w:color w:val="000000"/>
        </w:rPr>
        <w:t xml:space="preserve"> </w:t>
      </w:r>
      <w:r>
        <w:rPr>
          <w:rFonts w:ascii="Times New Roman;serif" w:hAnsi="Times New Roman;serif"/>
          <w:b w:val="false"/>
          <w:color w:val="000000"/>
          <w:sz w:val="20"/>
        </w:rPr>
        <w:t>In the nine months ended September 30, 2026 and 2025, the Company recognized $6.3 billion and $5.8 billion, respectively, of passenger revenue for tickets that were included in Advance ticket sales at the beginning of those periods.</w:t>
      </w:r>
    </w:p>
    <w:p>
      <w:pPr>
        <w:pStyle w:val="TextBody"/>
        <w:bidi w:val="0"/>
        <w:spacing w:lineRule="auto" w:line="288" w:before="180" w:after="100"/>
        <w:jc w:val="left"/>
        <w:rPr/>
      </w:pPr>
      <w:r>
        <w:rPr>
          <w:rFonts w:ascii="Times New Roman;serif" w:hAnsi="Times New Roman;serif"/>
          <w:b w:val="false"/>
          <w:i/>
          <w:color w:val="000000"/>
          <w:sz w:val="20"/>
        </w:rPr>
        <w:t>Ancillary services.</w:t>
      </w:r>
      <w:r>
        <w:rPr>
          <w:color w:val="000000"/>
        </w:rPr>
        <w:t xml:space="preserve"> </w:t>
      </w:r>
      <w:r>
        <w:rPr>
          <w:rFonts w:ascii="Times New Roman;serif" w:hAnsi="Times New Roman;serif"/>
          <w:b w:val="false"/>
          <w:color w:val="000000"/>
          <w:sz w:val="20"/>
        </w:rPr>
        <w:t>The Company recognized $1.4 billion and $4.0 billion of ancillary fees within passenger revenue in the three and nine months ended September 30, 2026, respectively. The Company recorded $1.3 billion and $3.5 billion of ancillary fees within passenger revenue in the three and nine months ended September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val="false"/>
          <w:i/>
          <w:color w:val="000000"/>
          <w:sz w:val="20"/>
        </w:rPr>
        <w:t>Frequent flyer deferred revenue.</w:t>
      </w:r>
      <w:r>
        <w:rPr>
          <w:color w:val="000000"/>
        </w:rPr>
        <w:t xml:space="preserve"> </w:t>
      </w:r>
      <w:r>
        <w:rPr>
          <w:rFonts w:ascii="Times New Roman;serif" w:hAnsi="Times New Roman;serif"/>
          <w:b w:val="false"/>
          <w:color w:val="000000"/>
          <w:sz w:val="20"/>
        </w:rPr>
        <w:t>The table below presents a roll forward of Frequent flyer deferred revenue (in millions):</w:t>
      </w:r>
    </w:p>
    <w:tbl>
      <w:tblPr>
        <w:tblW w:w="9212" w:type="dxa"/>
        <w:jc w:val="left"/>
        <w:tblInd w:w="0" w:type="dxa"/>
        <w:tblLayout w:type="fixed"/>
        <w:tblCellMar>
          <w:top w:w="28" w:type="dxa"/>
          <w:left w:w="28" w:type="dxa"/>
          <w:bottom w:w="28" w:type="dxa"/>
          <w:right w:w="28" w:type="dxa"/>
        </w:tblCellMar>
      </w:tblPr>
      <w:tblGrid>
        <w:gridCol w:w="831"/>
        <w:gridCol w:w="730"/>
        <w:gridCol w:w="733"/>
        <w:gridCol w:w="299"/>
        <w:gridCol w:w="874"/>
        <w:gridCol w:w="154"/>
        <w:gridCol w:w="154"/>
        <w:gridCol w:w="154"/>
        <w:gridCol w:w="154"/>
        <w:gridCol w:w="299"/>
        <w:gridCol w:w="874"/>
        <w:gridCol w:w="154"/>
        <w:gridCol w:w="109"/>
        <w:gridCol w:w="109"/>
        <w:gridCol w:w="109"/>
        <w:gridCol w:w="287"/>
        <w:gridCol w:w="840"/>
        <w:gridCol w:w="148"/>
        <w:gridCol w:w="148"/>
        <w:gridCol w:w="148"/>
        <w:gridCol w:w="148"/>
        <w:gridCol w:w="287"/>
        <w:gridCol w:w="840"/>
        <w:gridCol w:w="148"/>
        <w:gridCol w:w="109"/>
        <w:gridCol w:w="109"/>
        <w:gridCol w:w="109"/>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 earned</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miles redeemed</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Non-travel miles redeemed</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In the three and nine months ended September 30, 2026, the Company recognized, in Other operating revenue, $0.9 billion and $2.7 billion, respectively, related to the marketing, advertising, non-travel miles redeemed (net of related costs) and other travel-related benefits of the mileage revenue associated with our various partner agreements including, but not limited to, our MileagePlus co-brand agreement with JPMorgan Chase Bank, N.A. In the three and nine months ended September 30, 2025, the Company recognized, in Other operating revenue, $0.8 billion and $2.4 billion, respectively, related to those agreements. The portion related to the MileagePlus miles awarded of the total amounts received from our various partner agreements is deferred and presented in the table above as an increase to Frequent flyer deferred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 xml:space="preserve">NOTE 3 - EARNINGS PER SHARE </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computation of UAL's basic and diluted earnings per share, the latter of which uses the treasury stock method to calculate the dilutive effect of UAL's potential common stock (in millions, except per share amounts):</w:t>
      </w:r>
    </w:p>
    <w:tbl>
      <w:tblPr>
        <w:tblW w:w="10205" w:type="dxa"/>
        <w:jc w:val="left"/>
        <w:tblInd w:w="0" w:type="dxa"/>
        <w:tblLayout w:type="fixed"/>
        <w:tblCellMar>
          <w:top w:w="28" w:type="dxa"/>
          <w:left w:w="28" w:type="dxa"/>
          <w:bottom w:w="28" w:type="dxa"/>
          <w:right w:w="28" w:type="dxa"/>
        </w:tblCellMar>
      </w:tblPr>
      <w:tblGrid>
        <w:gridCol w:w="1362"/>
        <w:gridCol w:w="1190"/>
        <w:gridCol w:w="1193"/>
        <w:gridCol w:w="312"/>
        <w:gridCol w:w="913"/>
        <w:gridCol w:w="161"/>
        <w:gridCol w:w="161"/>
        <w:gridCol w:w="161"/>
        <w:gridCol w:w="161"/>
        <w:gridCol w:w="312"/>
        <w:gridCol w:w="757"/>
        <w:gridCol w:w="161"/>
        <w:gridCol w:w="109"/>
        <w:gridCol w:w="109"/>
        <w:gridCol w:w="109"/>
        <w:gridCol w:w="284"/>
        <w:gridCol w:w="832"/>
        <w:gridCol w:w="146"/>
        <w:gridCol w:w="146"/>
        <w:gridCol w:w="146"/>
        <w:gridCol w:w="146"/>
        <w:gridCol w:w="284"/>
        <w:gridCol w:w="832"/>
        <w:gridCol w:w="218"/>
      </w:tblGrid>
      <w:tr>
        <w:trPr/>
        <w:tc>
          <w:tcPr>
            <w:tcW w:w="136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available to common stockholders</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Warrants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employee stock awards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basic</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diluted</w:t>
            </w:r>
          </w:p>
        </w:tc>
        <w:tc>
          <w:tcPr>
            <w:tcW w:w="3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2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745"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745"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745"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745" w:type="dxa"/>
            <w:gridSpan w:val="3"/>
            <w:tcBorders/>
            <w:vAlign w:val="center"/>
          </w:tcPr>
          <w:p>
            <w:pPr>
              <w:pStyle w:val="TableContents"/>
              <w:bidi w:val="0"/>
              <w:spacing w:before="0" w:after="283"/>
              <w:jc w:val="left"/>
              <w:rPr>
                <w:sz w:val="4"/>
                <w:szCs w:val="4"/>
              </w:rPr>
            </w:pPr>
            <w:r>
              <w:rPr>
                <w:sz w:val="4"/>
                <w:szCs w:val="4"/>
              </w:rPr>
            </w:r>
          </w:p>
        </w:tc>
        <w:tc>
          <w:tcPr>
            <w:tcW w:w="6460" w:type="dxa"/>
            <w:gridSpan w:val="21"/>
            <w:tcBorders/>
          </w:tcPr>
          <w:p>
            <w:pPr>
              <w:pStyle w:val="TableContents"/>
              <w:bidi w:val="0"/>
              <w:spacing w:before="0" w:after="283"/>
              <w:jc w:val="left"/>
              <w:rPr>
                <w:sz w:val="4"/>
                <w:szCs w:val="4"/>
              </w:rPr>
            </w:pPr>
            <w:r>
              <w:rPr>
                <w:sz w:val="4"/>
                <w:szCs w:val="4"/>
              </w:rPr>
            </w:r>
          </w:p>
        </w:tc>
      </w:tr>
      <w:tr>
        <w:trPr/>
        <w:tc>
          <w:tcPr>
            <w:tcW w:w="3745" w:type="dxa"/>
            <w:gridSpan w:val="3"/>
            <w:tcBorders/>
            <w:vAlign w:val="center"/>
          </w:tcPr>
          <w:p>
            <w:pPr>
              <w:pStyle w:val="TableContents"/>
              <w:bidi w:val="0"/>
              <w:spacing w:before="0" w:after="283"/>
              <w:jc w:val="left"/>
              <w:rPr>
                <w:sz w:val="4"/>
                <w:szCs w:val="4"/>
              </w:rPr>
            </w:pPr>
            <w:r>
              <w:rPr>
                <w:sz w:val="4"/>
                <w:szCs w:val="4"/>
              </w:rPr>
            </w:r>
          </w:p>
        </w:tc>
        <w:tc>
          <w:tcPr>
            <w:tcW w:w="6460"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Anti-dilutive stock-based awards that were excluded from the calculations of diluted earnings per share were immaterial during the periods presented.</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In 2020 and 2021, the Company issued to the United States Department of the Treasury (the "U.S. Treasury") warrants (the "Warrants") to purchase 9,928,349 shares of UAL common stock in connection with the Payroll Support Program ("PSP") established under Division A, Title IV, Subtitle B of the Coronavirus Aid, Relief, and Economic Security ("CARES") Act, the Payroll Support Program Extension established under Division N, Title IV, Subtitle A of the Consolidated Appropriations Act, 2021, the Payroll Support Program 3 established under Title VII, Subtitle C of the American Rescue Plan Act of 2021, and the Airline Loan Program established under Division A, Title IV, Subtitle A of the CARES Act. In 2024, the holder of the Warrants exercised 6,414,635 of the Warrants in a net share settlement for 2,043,906 shares of UAL common stock. In March 2025, the remaining 3,513,714 Warrants were exercised in a net share settlement for 1,801,430 shares of UAL common stock.</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October 15, 2024, the Company announced that its Board of Directors authorized a new share repurchase program with no stated expiration, allowing for purchases of up to $1.5 billion in the aggregate of outstanding UAL common stock and certain warrants to purchase UAL common stock. In the nine months ended September 30, 2026, the Company repurchased, through open market purchases, 0.3 million shares of UAL common stock for a total of $27 million as part of its share repurchase program. In the three and nine months ended September 30, 2025, the Company repurchased, through open market purchases, 0.2 million and 7.8 million shares, respectively, of UAL common stock for a total of $19 million and $612 million, respectively, as part of its share repurchase program. The Company did not make any repurchases in the three months ended September 30, 2026. As of October 15, 2026, the dollar value of shares that may yet be purchased under the share repurchase program was $755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4 - ACCUMULATED OTHER COMPREHENSIVE INCOME (LOSS)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the Company's accumulated other comprehensive income (loss), net of tax ("AOCI") (in millions):</w:t>
      </w:r>
    </w:p>
    <w:tbl>
      <w:tblPr>
        <w:tblW w:w="10205" w:type="dxa"/>
        <w:jc w:val="left"/>
        <w:tblInd w:w="0" w:type="dxa"/>
        <w:tblLayout w:type="fixed"/>
        <w:tblCellMar>
          <w:top w:w="28" w:type="dxa"/>
          <w:left w:w="28" w:type="dxa"/>
          <w:bottom w:w="28" w:type="dxa"/>
          <w:right w:w="28" w:type="dxa"/>
        </w:tblCellMar>
      </w:tblPr>
      <w:tblGrid>
        <w:gridCol w:w="823"/>
        <w:gridCol w:w="544"/>
        <w:gridCol w:w="548"/>
        <w:gridCol w:w="129"/>
        <w:gridCol w:w="129"/>
        <w:gridCol w:w="129"/>
        <w:gridCol w:w="703"/>
        <w:gridCol w:w="1554"/>
        <w:gridCol w:w="366"/>
        <w:gridCol w:w="129"/>
        <w:gridCol w:w="129"/>
        <w:gridCol w:w="129"/>
        <w:gridCol w:w="485"/>
        <w:gridCol w:w="938"/>
        <w:gridCol w:w="253"/>
        <w:gridCol w:w="129"/>
        <w:gridCol w:w="129"/>
        <w:gridCol w:w="129"/>
        <w:gridCol w:w="330"/>
        <w:gridCol w:w="843"/>
        <w:gridCol w:w="170"/>
        <w:gridCol w:w="129"/>
        <w:gridCol w:w="129"/>
        <w:gridCol w:w="129"/>
        <w:gridCol w:w="250"/>
        <w:gridCol w:w="553"/>
        <w:gridCol w:w="129"/>
        <w:gridCol w:w="168"/>
      </w:tblGrid>
      <w:tr>
        <w:trPr/>
        <w:tc>
          <w:tcPr>
            <w:tcW w:w="82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and Other Postretirement Liabilities</w:t>
            </w:r>
          </w:p>
        </w:tc>
        <w:tc>
          <w:tcPr>
            <w:tcW w:w="38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Investments and Other</w:t>
            </w:r>
          </w:p>
        </w:tc>
        <w:tc>
          <w:tcPr>
            <w:tcW w:w="38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Deferred Taxes (a)</w:t>
            </w:r>
          </w:p>
        </w:tc>
        <w:tc>
          <w:tcPr>
            <w:tcW w:w="38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2623"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1676"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1343"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932" w:type="dxa"/>
            <w:gridSpan w:val="3"/>
            <w:vMerge w:val="continue"/>
            <w:tcBorders/>
            <w:tcMar>
              <w:top w:w="0" w:type="dxa"/>
              <w:left w:w="0" w:type="dxa"/>
              <w:bottom w:w="0" w:type="dxa"/>
              <w:right w:w="0" w:type="dxa"/>
            </w:tcMar>
            <w:vAlign w:val="center"/>
          </w:tcPr>
          <w:p>
            <w:pPr>
              <w:pStyle w:val="Normal"/>
              <w:bidi w:val="0"/>
              <w:jc w:val="left"/>
              <w:rPr/>
            </w:pPr>
            <w:r>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value</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0037" w:type="dxa"/>
            <w:gridSpan w:val="27"/>
            <w:tcBorders/>
            <w:tcMar>
              <w:top w:w="0" w:type="dxa"/>
              <w:left w:w="0" w:type="dxa"/>
              <w:bottom w:w="0" w:type="dxa"/>
              <w:right w:w="0" w:type="dxa"/>
            </w:tcMar>
            <w:vAlign w:val="center"/>
          </w:tcPr>
          <w:p>
            <w:pPr>
              <w:pStyle w:val="TableContents"/>
              <w:bidi w:val="0"/>
              <w:spacing w:lineRule="auto" w:line="240" w:before="60" w:after="100"/>
              <w:jc w:val="left"/>
              <w:rPr>
                <w:rFonts w:ascii="Times New Roman;serif" w:hAnsi="Times New Roman;serif"/>
                <w:b w:val="false"/>
                <w:color w:val="000000"/>
                <w:sz w:val="16"/>
              </w:rPr>
            </w:pPr>
            <w:r>
              <w:rPr>
                <w:rFonts w:ascii="Times New Roman;serif" w:hAnsi="Times New Roman;serif"/>
                <w:b w:val="false"/>
                <w:color w:val="000000"/>
                <w:sz w:val="16"/>
              </w:rPr>
              <w:t>(a) Includes $285 million of deferred income tax expense that will not be recognized in net income until the related pension and postretirement benefit obligations are fully extinguished. We consider all income sources, including other comprehensive income, in determining the amount of tax benefit allocated to results from operations.</w:t>
            </w:r>
          </w:p>
        </w:tc>
        <w:tc>
          <w:tcPr>
            <w:tcW w:w="168" w:type="dxa"/>
            <w:tcBorders/>
          </w:tcPr>
          <w:p>
            <w:pPr>
              <w:pStyle w:val="TableContents"/>
              <w:bidi w:val="0"/>
              <w:spacing w:before="0" w:after="283"/>
              <w:jc w:val="left"/>
              <w:rPr>
                <w:sz w:val="4"/>
                <w:szCs w:val="4"/>
              </w:rPr>
            </w:pPr>
            <w:r>
              <w:rPr>
                <w:sz w:val="4"/>
                <w:szCs w:val="4"/>
              </w:rPr>
            </w:r>
          </w:p>
        </w:tc>
      </w:tr>
      <w:tr>
        <w:trPr/>
        <w:tc>
          <w:tcPr>
            <w:tcW w:w="10037" w:type="dxa"/>
            <w:gridSpan w:val="27"/>
            <w:tcBorders/>
            <w:tcMar>
              <w:top w:w="0" w:type="dxa"/>
              <w:left w:w="0" w:type="dxa"/>
              <w:bottom w:w="0" w:type="dxa"/>
              <w:right w:w="0" w:type="dxa"/>
            </w:tcMar>
            <w:vAlign w:val="center"/>
          </w:tcPr>
          <w:p>
            <w:pPr>
              <w:pStyle w:val="TableContents"/>
              <w:bidi w:val="0"/>
              <w:spacing w:lineRule="auto" w:line="240" w:before="60" w:after="100"/>
              <w:jc w:val="left"/>
              <w:rPr>
                <w:rFonts w:ascii="Times New Roman;serif" w:hAnsi="Times New Roman;serif"/>
                <w:b w:val="false"/>
                <w:color w:val="000000"/>
                <w:sz w:val="16"/>
              </w:rPr>
            </w:pPr>
            <w:r>
              <w:rPr>
                <w:rFonts w:ascii="Times New Roman;serif" w:hAnsi="Times New Roman;serif"/>
                <w:b w:val="false"/>
                <w:color w:val="000000"/>
                <w:sz w:val="16"/>
              </w:rPr>
              <w:t>(b) This AOCI component is included in the computation of net periodic pension and other postretirement costs, specifically the following components: amortization of unrecognized (gain) loss, amortization of prior service credit and other. See Note 6 of this report for additional information on pensions and other postretirement liabilities.</w:t>
            </w:r>
          </w:p>
        </w:tc>
        <w:tc>
          <w:tcPr>
            <w:tcW w:w="168"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5 - INCOME TAXES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rates for the three and nine months ended September 30, 2026 were 21.5% and 21.0%, respectively. The Company's effective tax rates for the three and nine months ended September 30, 2025 were 24.4% and 22.5%, respectively. The provision for income taxes is based on the estimated annual effective tax rate, which represents a blend of federal, state and foreign taxes and includes the impact of certain nondeductible items. The decrease in the effective tax rates in the three and nine months ended September 30, 2026, as compared to the same periods in 2025, was primarily due to a release of valuation allowance related to realized capital gains.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6 - PENSION AND OTHER POSTRETIREMENT BENEFIT PLANS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Company's net periodic benefit cost includes the following components for the three months ended September 30 (in millions):</w:t>
      </w:r>
    </w:p>
    <w:tbl>
      <w:tblPr>
        <w:tblW w:w="10205" w:type="dxa"/>
        <w:jc w:val="left"/>
        <w:tblInd w:w="0" w:type="dxa"/>
        <w:tblLayout w:type="fixed"/>
        <w:tblCellMar>
          <w:top w:w="28" w:type="dxa"/>
          <w:left w:w="28" w:type="dxa"/>
          <w:bottom w:w="28" w:type="dxa"/>
          <w:right w:w="28" w:type="dxa"/>
        </w:tblCellMar>
      </w:tblPr>
      <w:tblGrid>
        <w:gridCol w:w="1041"/>
        <w:gridCol w:w="877"/>
        <w:gridCol w:w="882"/>
        <w:gridCol w:w="109"/>
        <w:gridCol w:w="109"/>
        <w:gridCol w:w="109"/>
        <w:gridCol w:w="211"/>
        <w:gridCol w:w="361"/>
        <w:gridCol w:w="109"/>
        <w:gridCol w:w="109"/>
        <w:gridCol w:w="109"/>
        <w:gridCol w:w="109"/>
        <w:gridCol w:w="211"/>
        <w:gridCol w:w="361"/>
        <w:gridCol w:w="109"/>
        <w:gridCol w:w="109"/>
        <w:gridCol w:w="109"/>
        <w:gridCol w:w="109"/>
        <w:gridCol w:w="308"/>
        <w:gridCol w:w="478"/>
        <w:gridCol w:w="159"/>
        <w:gridCol w:w="159"/>
        <w:gridCol w:w="159"/>
        <w:gridCol w:w="159"/>
        <w:gridCol w:w="308"/>
        <w:gridCol w:w="632"/>
        <w:gridCol w:w="159"/>
        <w:gridCol w:w="109"/>
        <w:gridCol w:w="109"/>
        <w:gridCol w:w="109"/>
        <w:gridCol w:w="650"/>
        <w:gridCol w:w="643"/>
        <w:gridCol w:w="921"/>
      </w:tblGrid>
      <w:tr>
        <w:trPr/>
        <w:tc>
          <w:tcPr>
            <w:tcW w:w="104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Affected Line Item </w:t>
              <w:br/>
              <w:t>in the Statements of</w:t>
              <w:br/>
              <w:t> Consolidated Operations</w:t>
            </w:r>
          </w:p>
        </w:tc>
      </w:tr>
      <w:tr>
        <w:trPr/>
        <w:tc>
          <w:tcPr>
            <w:tcW w:w="2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unrecognized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00"/>
        <w:jc w:val="left"/>
        <w:rPr/>
      </w:pPr>
      <w:r>
        <w:rPr/>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Company's net periodic benefit cost includes the following components for the nine months ended September 30 (in millions):</w:t>
      </w:r>
    </w:p>
    <w:tbl>
      <w:tblPr>
        <w:tblW w:w="10205" w:type="dxa"/>
        <w:jc w:val="left"/>
        <w:tblInd w:w="0" w:type="dxa"/>
        <w:tblLayout w:type="fixed"/>
        <w:tblCellMar>
          <w:top w:w="28" w:type="dxa"/>
          <w:left w:w="28" w:type="dxa"/>
          <w:bottom w:w="28" w:type="dxa"/>
          <w:right w:w="28" w:type="dxa"/>
        </w:tblCellMar>
      </w:tblPr>
      <w:tblGrid>
        <w:gridCol w:w="1041"/>
        <w:gridCol w:w="876"/>
        <w:gridCol w:w="880"/>
        <w:gridCol w:w="109"/>
        <w:gridCol w:w="109"/>
        <w:gridCol w:w="109"/>
        <w:gridCol w:w="211"/>
        <w:gridCol w:w="361"/>
        <w:gridCol w:w="109"/>
        <w:gridCol w:w="109"/>
        <w:gridCol w:w="109"/>
        <w:gridCol w:w="109"/>
        <w:gridCol w:w="211"/>
        <w:gridCol w:w="361"/>
        <w:gridCol w:w="109"/>
        <w:gridCol w:w="109"/>
        <w:gridCol w:w="109"/>
        <w:gridCol w:w="109"/>
        <w:gridCol w:w="292"/>
        <w:gridCol w:w="597"/>
        <w:gridCol w:w="150"/>
        <w:gridCol w:w="150"/>
        <w:gridCol w:w="150"/>
        <w:gridCol w:w="150"/>
        <w:gridCol w:w="292"/>
        <w:gridCol w:w="597"/>
        <w:gridCol w:w="150"/>
        <w:gridCol w:w="109"/>
        <w:gridCol w:w="109"/>
        <w:gridCol w:w="109"/>
        <w:gridCol w:w="649"/>
        <w:gridCol w:w="642"/>
        <w:gridCol w:w="919"/>
      </w:tblGrid>
      <w:tr>
        <w:trPr/>
        <w:tc>
          <w:tcPr>
            <w:tcW w:w="104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Affected Line Item </w:t>
              <w:br/>
              <w:t>in the Statements of</w:t>
              <w:br/>
              <w:t> Consolidated Operations</w:t>
            </w:r>
          </w:p>
        </w:tc>
      </w:tr>
      <w:tr>
        <w:trPr/>
        <w:tc>
          <w:tcPr>
            <w:tcW w:w="2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unrecognized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2026, the Company contributed $250 million and $259 million, respectively, to its U.S. domestic tax-qualified defined benefit pension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7 - FAIR VALUE MEASUREMENTS, INVESTMENTS AND NOTES RECEIVABLE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value of financial assets measured at fair value on a recurring basis in the Company's financial statements (in millions):</w:t>
      </w:r>
    </w:p>
    <w:tbl>
      <w:tblPr>
        <w:tblW w:w="10228" w:type="dxa"/>
        <w:jc w:val="center"/>
        <w:tblInd w:w="0" w:type="dxa"/>
        <w:tblLayout w:type="fixed"/>
        <w:tblCellMar>
          <w:top w:w="28" w:type="dxa"/>
          <w:left w:w="28" w:type="dxa"/>
          <w:bottom w:w="28" w:type="dxa"/>
          <w:right w:w="28" w:type="dxa"/>
        </w:tblCellMar>
      </w:tblPr>
      <w:tblGrid>
        <w:gridCol w:w="566"/>
        <w:gridCol w:w="339"/>
        <w:gridCol w:w="341"/>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54"/>
      </w:tblGrid>
      <w:tr>
        <w:trPr/>
        <w:tc>
          <w:tcPr>
            <w:tcW w:w="56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 noncurrent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fixed-income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presented in the table above have the same fair value as their carrying amount. </w:t>
      </w:r>
    </w:p>
    <w:p>
      <w:pPr>
        <w:pStyle w:val="TextBody"/>
        <w:bidi w:val="0"/>
        <w:spacing w:lineRule="auto" w:line="288" w:before="180" w:after="100"/>
        <w:jc w:val="left"/>
        <w:rPr/>
      </w:pPr>
      <w:r>
        <w:rPr>
          <w:rFonts w:ascii="Times New Roman;serif" w:hAnsi="Times New Roman;serif"/>
          <w:b/>
          <w:color w:val="000000"/>
          <w:sz w:val="20"/>
        </w:rPr>
        <w:t>Short-term investments</w:t>
      </w:r>
      <w:r>
        <w:rPr>
          <w:color w:val="000000"/>
        </w:rPr>
        <w:t xml:space="preserve"> — </w:t>
      </w:r>
      <w:r>
        <w:rPr>
          <w:rFonts w:ascii="Times New Roman;serif" w:hAnsi="Times New Roman;serif"/>
          <w:b w:val="false"/>
          <w:color w:val="000000"/>
          <w:sz w:val="20"/>
        </w:rPr>
        <w:t>The short-term investments shown in the table above are classified as available-for-sale and have remaining maturities of less than two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color w:val="000000"/>
          <w:sz w:val="20"/>
        </w:rPr>
        <w:t>Long-term investments: Equity securities</w:t>
      </w:r>
      <w:r>
        <w:rPr>
          <w:color w:val="000000"/>
        </w:rPr>
        <w:t xml:space="preserve"> — </w:t>
      </w:r>
      <w:r>
        <w:rPr>
          <w:rFonts w:ascii="Times New Roman;serif" w:hAnsi="Times New Roman;serif"/>
          <w:b w:val="false"/>
          <w:color w:val="000000"/>
          <w:sz w:val="20"/>
        </w:rPr>
        <w:t>Represents equity and equity-linked securities (such as vested warrants) that comprise United's investments in Azul S.A. ("Azul"), Archer Aviation Inc. and Eve Holding, Inc. On February 17, 2026, United, Azul and certain of Azul's subsidiaries entered into an amended and restated investment agreement pursuant to which United agreed to subscribe for $100 million of American Depositary Shares ("ADS"), with each ADS initially representing 500,000 common shares, no par value, of Azul (and with each ADS representing two Azul common shares, after taking into account a reverse stock split and ADS ratio change approved March 25, 2026). On February 20, 2026, Azul completed its reorganization process and consequently sold to United approximately 8.7% of the Azul common shares issued and outstanding as of that date. As of September 30, 2026, United holds an 8.6% equity ownership interest in Azul.</w:t>
      </w:r>
    </w:p>
    <w:p>
      <w:pPr>
        <w:pStyle w:val="TextBody"/>
        <w:bidi w:val="0"/>
        <w:spacing w:lineRule="auto" w:line="288" w:before="180" w:after="100"/>
        <w:jc w:val="left"/>
        <w:rPr/>
      </w:pPr>
      <w:r>
        <w:rPr>
          <w:rFonts w:ascii="Times New Roman;serif" w:hAnsi="Times New Roman;serif"/>
          <w:b/>
          <w:color w:val="000000"/>
          <w:sz w:val="20"/>
        </w:rPr>
        <w:t>Other fair value information.</w:t>
      </w:r>
      <w:r>
        <w:rPr>
          <w:color w:val="000000"/>
        </w:rPr>
        <w:t xml:space="preserve"> </w:t>
      </w:r>
      <w:r>
        <w:rPr>
          <w:rFonts w:ascii="Times New Roman;serif" w:hAnsi="Times New Roman;serif"/>
          <w:b w:val="false"/>
          <w:color w:val="000000"/>
          <w:sz w:val="20"/>
        </w:rPr>
        <w:t>The table below presents the carrying amounts (inclusive of any related discounts, premiums and issuance costs) and estimated fair values of financial instruments not presented in the table above (in millions):</w:t>
      </w:r>
    </w:p>
    <w:tbl>
      <w:tblPr>
        <w:tblW w:w="13639" w:type="dxa"/>
        <w:jc w:val="left"/>
        <w:tblInd w:w="0" w:type="dxa"/>
        <w:tblLayout w:type="fixed"/>
        <w:tblCellMar>
          <w:top w:w="28" w:type="dxa"/>
          <w:left w:w="28" w:type="dxa"/>
          <w:bottom w:w="28" w:type="dxa"/>
          <w:right w:w="28" w:type="dxa"/>
        </w:tblCellMar>
      </w:tblPr>
      <w:tblGrid>
        <w:gridCol w:w="353"/>
        <w:gridCol w:w="311"/>
        <w:gridCol w:w="312"/>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616"/>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Fair value of the financial instruments included in the tables above was determined as follows:</w:t>
      </w:r>
    </w:p>
    <w:tbl>
      <w:tblPr>
        <w:tblW w:w="10205" w:type="dxa"/>
        <w:jc w:val="left"/>
        <w:tblInd w:w="0" w:type="dxa"/>
        <w:tblLayout w:type="fixed"/>
        <w:tblCellMar>
          <w:top w:w="28" w:type="dxa"/>
          <w:left w:w="28" w:type="dxa"/>
          <w:bottom w:w="28" w:type="dxa"/>
          <w:right w:w="28" w:type="dxa"/>
        </w:tblCellMar>
      </w:tblPr>
      <w:tblGrid>
        <w:gridCol w:w="1225"/>
        <w:gridCol w:w="1076"/>
        <w:gridCol w:w="1080"/>
        <w:gridCol w:w="1994"/>
        <w:gridCol w:w="1994"/>
        <w:gridCol w:w="2836"/>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6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Methodology</w:t>
            </w:r>
          </w:p>
        </w:tc>
      </w:tr>
      <w:tr>
        <w:trPr/>
        <w:tc>
          <w:tcPr>
            <w:tcW w:w="33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(current and non-current)</w:t>
            </w:r>
          </w:p>
        </w:tc>
        <w:tc>
          <w:tcPr>
            <w:tcW w:w="6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these assets approximate fair value. </w:t>
            </w:r>
          </w:p>
        </w:tc>
      </w:tr>
      <w:tr>
        <w:trPr/>
        <w:tc>
          <w:tcPr>
            <w:tcW w:w="33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and Long-term investments</w:t>
            </w:r>
          </w:p>
        </w:tc>
        <w:tc>
          <w:tcPr>
            <w:tcW w:w="68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values are based on (a) the trading prices of the investment or similar instruments or (b) broker quotes obtained by third-party valuation services.</w:t>
            </w:r>
          </w:p>
        </w:tc>
      </w:tr>
      <w:tr>
        <w:trPr/>
        <w:tc>
          <w:tcPr>
            <w:tcW w:w="33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68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values are based on either market prices or the discounted amount of future cash flows using our current incremental rate of borrowing for similar liabilities.</w:t>
            </w:r>
          </w:p>
        </w:tc>
      </w:tr>
    </w:tbl>
    <w:p>
      <w:pPr>
        <w:pStyle w:val="TextBody"/>
        <w:bidi w:val="0"/>
        <w:spacing w:lineRule="auto" w:line="288" w:before="180" w:after="100"/>
        <w:jc w:val="left"/>
        <w:rPr/>
      </w:pPr>
      <w:r>
        <w:rPr>
          <w:rFonts w:ascii="Times New Roman;serif" w:hAnsi="Times New Roman;serif"/>
          <w:b/>
          <w:color w:val="000000"/>
          <w:sz w:val="20"/>
        </w:rPr>
        <w:t xml:space="preserve">Equity Method Investments. </w:t>
      </w:r>
      <w:r>
        <w:rPr>
          <w:rFonts w:ascii="Times New Roman;serif" w:hAnsi="Times New Roman;serif"/>
          <w:b w:val="false"/>
          <w:color w:val="000000"/>
          <w:sz w:val="20"/>
        </w:rPr>
        <w:t>As of September 30, 2026, United holds investments, accounted for using the equity method, with a combined carrying amount of $335 million, including the following:</w:t>
      </w:r>
    </w:p>
    <w:p>
      <w:pPr>
        <w:pStyle w:val="TextBody"/>
        <w:bidi w:val="0"/>
        <w:spacing w:lineRule="auto" w:line="288" w:before="180" w:after="100"/>
        <w:ind w:left="0" w:right="0" w:hanging="360"/>
        <w:jc w:val="left"/>
        <w:rPr/>
      </w:pPr>
      <w:r>
        <w:rPr>
          <w:color w:val="000000"/>
        </w:rPr>
        <w:t>•</w:t>
      </w:r>
      <w:r>
        <w:rPr>
          <w:rFonts w:ascii="Times New Roman;serif" w:hAnsi="Times New Roman;serif"/>
          <w:b w:val="false"/>
          <w:i/>
          <w:color w:val="000000"/>
          <w:sz w:val="20"/>
        </w:rPr>
        <w:t>Republic Airways Holdings Inc. ("Republic Airways").</w:t>
      </w:r>
      <w:r>
        <w:rPr>
          <w:color w:val="000000"/>
        </w:rPr>
        <w:t xml:space="preserve"> </w:t>
      </w:r>
      <w:r>
        <w:rPr>
          <w:rFonts w:ascii="Times New Roman;serif" w:hAnsi="Times New Roman;serif"/>
          <w:b w:val="false"/>
          <w:color w:val="000000"/>
          <w:sz w:val="20"/>
        </w:rPr>
        <w:t>United holds an approximately 22% minority interest in Republic Airways, which is the parent company of Republic Airways Inc. ("Republic") and Mesa Airlines, Inc. ("Mesa"). In consideration for United's commitment to facilitate transactions related to the merger between Republic and Mesa on November 25, 2025, the Company received an additional 2,744,348 shares on February 3, 2026, or approximately 5.8% of Republic Airways, for a total ownership interest of approximately 22% of the issued and outstanding common stock of Republic Airways. Republic currently operates 66 regional aircraft under capacity purchase agreements ("CPAs") with United that have terms through 2038 and Mesa operates 60 regional aircraft under a CPA with a term through 2036.</w:t>
      </w:r>
    </w:p>
    <w:p>
      <w:pPr>
        <w:pStyle w:val="TextBody"/>
        <w:bidi w:val="0"/>
        <w:spacing w:lineRule="auto" w:line="288" w:before="180" w:after="100"/>
        <w:ind w:left="0" w:right="0" w:hanging="360"/>
        <w:jc w:val="left"/>
        <w:rPr/>
      </w:pPr>
      <w:r>
        <w:rPr>
          <w:color w:val="000000"/>
        </w:rPr>
        <w:t>•</w:t>
      </w:r>
      <w:r>
        <w:rPr>
          <w:rFonts w:ascii="Times New Roman;serif" w:hAnsi="Times New Roman;serif"/>
          <w:b w:val="false"/>
          <w:i/>
          <w:color w:val="000000"/>
          <w:sz w:val="20"/>
        </w:rPr>
        <w:t>CommuteAir LLC ("CommuteAir").</w:t>
      </w:r>
      <w:r>
        <w:rPr>
          <w:color w:val="000000"/>
        </w:rPr>
        <w:t xml:space="preserve"> </w:t>
      </w:r>
      <w:r>
        <w:rPr>
          <w:rFonts w:ascii="Times New Roman;serif" w:hAnsi="Times New Roman;serif"/>
          <w:b w:val="false"/>
          <w:color w:val="000000"/>
          <w:sz w:val="20"/>
        </w:rPr>
        <w:t>United owns a 40% minority ownership stake in CommuteAir. CommuteAir currently operates 46 regional aircraft under a CPA with United that has a term through 2028.</w:t>
      </w:r>
    </w:p>
    <w:p>
      <w:pPr>
        <w:pStyle w:val="TextBody"/>
        <w:bidi w:val="0"/>
        <w:spacing w:lineRule="auto" w:line="288" w:before="180" w:after="100"/>
        <w:ind w:left="0" w:right="0" w:hanging="360"/>
        <w:jc w:val="left"/>
        <w:rPr/>
      </w:pPr>
      <w:r>
        <w:rPr>
          <w:color w:val="000000"/>
        </w:rPr>
        <w:t>•</w:t>
      </w:r>
      <w:r>
        <w:rPr>
          <w:rFonts w:ascii="Times New Roman;serif" w:hAnsi="Times New Roman;serif"/>
          <w:b w:val="false"/>
          <w:i/>
          <w:color w:val="000000"/>
          <w:sz w:val="20"/>
        </w:rPr>
        <w:t>United Airlines Ventures Sustainable Flight Fund (the "Fund").</w:t>
      </w:r>
      <w:r>
        <w:rPr>
          <w:color w:val="000000"/>
        </w:rPr>
        <w:t xml:space="preserve"> </w:t>
      </w:r>
      <w:r>
        <w:rPr>
          <w:rFonts w:ascii="Times New Roman;serif" w:hAnsi="Times New Roman;serif"/>
          <w:b w:val="false"/>
          <w:color w:val="000000"/>
          <w:sz w:val="20"/>
        </w:rPr>
        <w:t>United holds, through its corporate venture capital arm, United Airlines Ventures, Ltd., a 33% ownership interest in the Fund. The Fund is an investment vehicle designed to invest in start-ups developing technologies focused on decarbonizing aviation and its associated energy supply chains, including through research and production, and technologies associated with sustainable aviation fuel (SAF).</w:t>
      </w:r>
    </w:p>
    <w:p>
      <w:pPr>
        <w:pStyle w:val="TextBody"/>
        <w:bidi w:val="0"/>
        <w:spacing w:lineRule="auto" w:line="288" w:before="180" w:after="100"/>
        <w:jc w:val="left"/>
        <w:rPr/>
      </w:pPr>
      <w:r>
        <w:rPr>
          <w:rFonts w:ascii="Times New Roman;serif" w:hAnsi="Times New Roman;serif"/>
          <w:b/>
          <w:color w:val="000000"/>
          <w:sz w:val="20"/>
        </w:rPr>
        <w:t>Other Investments.</w:t>
      </w:r>
      <w:r>
        <w:rPr>
          <w:color w:val="000000"/>
        </w:rPr>
        <w:t xml:space="preserve"> </w:t>
      </w:r>
      <w:r>
        <w:rPr>
          <w:rFonts w:ascii="Times New Roman;serif" w:hAnsi="Times New Roman;serif"/>
          <w:b w:val="false"/>
          <w:color w:val="000000"/>
          <w:sz w:val="20"/>
        </w:rPr>
        <w:t>As of September 30, 2026, United has equity investments in a number of companies including a multinational airline holding company, an independent air carrier and others with emerging technologies and sustainable solutions. None of these investments have readily determinable fair values. These investments are recorded at cost less any impairment, adjusted for observable price changes in orderly transactions for an identical or similar investment of the same issuer. As of September 30, 2026, the carrying amount of these investments was $338 million.</w:t>
      </w:r>
    </w:p>
    <w:p>
      <w:pPr>
        <w:pStyle w:val="TextBody"/>
        <w:bidi w:val="0"/>
        <w:spacing w:lineRule="auto" w:line="288" w:before="180" w:after="100"/>
        <w:jc w:val="left"/>
        <w:rPr/>
      </w:pPr>
      <w:r>
        <w:rPr>
          <w:rFonts w:ascii="Times New Roman;serif" w:hAnsi="Times New Roman;serif"/>
          <w:b/>
          <w:color w:val="000000"/>
          <w:sz w:val="20"/>
        </w:rPr>
        <w:t>Notes Receivable.</w:t>
      </w:r>
      <w:r>
        <w:rPr>
          <w:color w:val="000000"/>
        </w:rPr>
        <w:t xml:space="preserve"> </w:t>
      </w:r>
      <w:r>
        <w:rPr>
          <w:rFonts w:ascii="Times New Roman;serif" w:hAnsi="Times New Roman;serif"/>
          <w:b w:val="false"/>
          <w:color w:val="000000"/>
          <w:sz w:val="20"/>
        </w:rPr>
        <w:t>As of September 30, 2026, the Company has $48 million of notes receivable, net of allowance for credit losses, the majority of which is from certain of its regional carriers. The current portions of the notes receivable are recorded in Receivables, net and the long-term portions are recorded in Investments in affiliates and other, net on the Company's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8 - DEBT</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Company had $3.0 billion undrawn and available under its revolving credit facility.</w:t>
      </w:r>
    </w:p>
    <w:p>
      <w:pPr>
        <w:pStyle w:val="TextBody"/>
        <w:bidi w:val="0"/>
        <w:spacing w:lineRule="auto" w:line="288" w:before="180" w:after="100"/>
        <w:jc w:val="left"/>
        <w:rPr/>
      </w:pPr>
      <w:r>
        <w:rPr>
          <w:rFonts w:ascii="Times New Roman;serif" w:hAnsi="Times New Roman;serif"/>
          <w:b w:val="false"/>
          <w:i/>
          <w:color w:val="000000"/>
          <w:sz w:val="20"/>
        </w:rPr>
        <w:t>Subsequent Event.</w:t>
      </w:r>
      <w:r>
        <w:rPr>
          <w:color w:val="000000"/>
        </w:rPr>
        <w:t xml:space="preserve"> </w:t>
      </w:r>
      <w:r>
        <w:rPr>
          <w:rFonts w:ascii="Times New Roman;serif" w:hAnsi="Times New Roman;serif"/>
          <w:b w:val="false"/>
          <w:color w:val="000000"/>
          <w:sz w:val="20"/>
        </w:rPr>
        <w:t>On October 16, 2026, United amended and restated its revolving credit facility (the "Revolving Credit Facility"), increasing total commitments from $3.0 billion to $5.0 billion and extending the maturity from February 15, 2029 to October 16, 2031. Borrowings under the Revolving Credit Facility will bear interest at Term SOFR or, at United's election, another specified market-based rate, in each case subject to a floor, plus a specified margin. In addition, the Company is required to pay a commitment fee on the aggregate unused portion of the commitments under the Revolving Credit Facility ranging from 0.080% to 0.275%, depending on the Company's credit ratings. The Revolving Credit Facility remains guaranteed by UAL and secured on a senior basis, subject to certain exclusions, by all of United's international route authorities, its rights to substantially all of its foreign and domestic take-off and landing slots and, to the extent necessary at the relevant time of determination for servicing the scheduled air carrier service authorized by an applicable route authority, its rights to use or occupy airport terminal space, which also secure the Company's Term Loan Credit and Guaranty Agreement and its 4.625% Senior Secured Notes due 2029.</w:t>
      </w:r>
    </w:p>
    <w:p>
      <w:pPr>
        <w:pStyle w:val="TextBody"/>
        <w:bidi w:val="0"/>
        <w:spacing w:lineRule="auto" w:line="276" w:before="18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contractual principal payments (not including $152 million of unamortized debt discount, premiums and debt issuance costs) as of September 30, 2026 under then-outstanding long-term debt agreements (in millions):</w:t>
      </w:r>
    </w:p>
    <w:tbl>
      <w:tblPr>
        <w:tblW w:w="10205" w:type="dxa"/>
        <w:jc w:val="left"/>
        <w:tblInd w:w="0" w:type="dxa"/>
        <w:tblLayout w:type="fixed"/>
        <w:tblCellMar>
          <w:top w:w="28" w:type="dxa"/>
          <w:left w:w="28" w:type="dxa"/>
          <w:bottom w:w="28" w:type="dxa"/>
          <w:right w:w="28" w:type="dxa"/>
        </w:tblCellMar>
      </w:tblPr>
      <w:tblGrid>
        <w:gridCol w:w="423"/>
        <w:gridCol w:w="372"/>
        <w:gridCol w:w="374"/>
        <w:gridCol w:w="109"/>
        <w:gridCol w:w="109"/>
        <w:gridCol w:w="109"/>
        <w:gridCol w:w="234"/>
        <w:gridCol w:w="518"/>
        <w:gridCol w:w="12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7"/>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Last Three Months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Our debt agreements contain customary terms and conditions as well as various affirmative, negative and financial covenants that, among other things, limit the ability of the Company and its subsidiaries, under certain circumstances, to incur additional indebtedness and pay dividends or repurchase stock. As of September 30, 2026, the Company was in compliance with its covenants under these debt agreements.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February 2, 2026, UAL issued, in a public offering, $1,000,000,000 principal amount of its 5.375% Senior Notes due 2031 (the "2031 Notes"), which are guaranteed by United. The 2031 Notes, issued at a price of 100% of their principal amount, bear interest at a rate of 5.375% per annum, payable semi-annually on March 1 and September 1 of each year, beginning September 1, 2026 and maturing on March 1, 2031. UAL, at its option, may redeem the 2031 Notes at any time prior to September 1, 2030, in whole or in part, at a redemption price equal to the greater of (1) 100% of the principal amount of the 2031 Notes to be redeemed and (2) a make-whole amount, if any, plus accrued and unpaid interest on the principal amount being redeemed to the redemption date. At any time on or after September 1, 2030, UAL may redeem the 2031 Notes, in whole or in part, at a redemption price equal to 100% of the principal amount of the 2031 Notes to be redeemed, plus accrued and unpaid interest on the principal amount being redeemed to the redemption date.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February 3, 2026, the Company entered into Amendment No. 4 to Term Loan Credit and Guaranty Agreement that lowered the margin on its interest rate from 2.00% to 1.75%, in the case of Term SOFR (as such term is defined in the Term Loan Credit and Guaranty Agreement, dated as of April 21, 2021, as amended) loans, and from 1.00% to 0.75%, in the case of loans at other market rates.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February 6, 2026, UAL issued, in a public offering, $1,000,000,000 principal amount of its 4.875% Senior Notes due 2029 (the "2029 Notes"), which are guaranteed by United. The 2029 Notes, issued at a price of 100% of their principal amount, bear interest at a rate of 4.875% per annum, payable semi-annually on March 1 and September 1 of each year, beginning September 1, 2026 and maturing on March 1, 2029. UAL, at its option, may redeem the 2029 Notes at any time prior to December 1, 2028, in whole or in part, at a redemption price equal to the greater of (1) 100% of the principal amount of the 2029 Notes to be redeemed and (2) a make-whole amount, if any, plus accrued and unpaid interest on the principal amount being redeemed to the redemption date. At any time on or after December 1, 2028, UAL may redeem the 2029 Notes, in whole or in part, at a redemption price equal to 100% of the principal amount of the 2029 Notes to be redeemed, plus accrued and unpaid interest on the principal amount being redeemed to the redemption date.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during the nine months ended September 30, 2026, United borrowed $4.6 billion aggregate principal amount of loans secured by aircraft. The loans mature between 2029 and 2038 and bear interest equal to Term SOFR plus an average margin of 1.4%. The Company may prepay the loans and terminate the commitments, in whole or in part, at any time subject to certain conditions, including, in some cases, the payment of a contractually specified prepayment premium during the initial years of the term, but at par thereafter. During the nine months ended September 30, 2026, the Company made payments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debt of $4.9 billion, including $0.5 billion of prepayments on aircraft debt in the second quarter with various original maturity dates between 2026 and 2035 and the redemption and prepayment transactions described below.</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February 24, 2026, United redeemed in full (the "Redemption") all $2.0 billion of aggregate principal amount of its outstanding 4.375% Senior Secured Notes due 2026 (the "Secured Notes"), issued pursuant to an indenture (the "Indenture"), dated as of April 21, 2021, among United, UAL and Wilmington Trust, National Association, as trustee and as collateral trustee. In connection with the Redemption, the Indenture was satisfied and discharged as to the Secured Notes. The Indenture remains in effect as to United's 4.625% Senior Secured Notes due 2029.</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June 23, 2026, the Company made a partial prepayment of $0.6 billion of the aggregate principal amount of a $1.5 billion note issued to the U.S. Treasury under the Payroll Support Program due 2030. The Company also has two outstanding unsecured promissory notes issued to the U.S. Treasury under the Payroll Support Program in the aggregate principal amounts of $0.9 billion and $0.8 billion due 2031.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NOTE 9 - COMMITMENTS AND CONTINGENCIES</w:t>
      </w:r>
    </w:p>
    <w:p>
      <w:pPr>
        <w:pStyle w:val="TextBody"/>
        <w:bidi w:val="0"/>
        <w:spacing w:lineRule="auto" w:line="276" w:before="180" w:after="100"/>
        <w:jc w:val="left"/>
        <w:rPr/>
      </w:pPr>
      <w:r>
        <w:rPr>
          <w:rFonts w:ascii="Times New Roman;serif" w:hAnsi="Times New Roman;serif"/>
          <w:b/>
          <w:i/>
          <w:color w:val="000000"/>
          <w:sz w:val="20"/>
        </w:rPr>
        <w:t>Regional CPAs.</w:t>
      </w:r>
      <w:r>
        <w:rPr>
          <w:color w:val="000000"/>
        </w:rPr>
        <w:t xml:space="preserve"> </w:t>
      </w:r>
      <w:r>
        <w:rPr>
          <w:rFonts w:ascii="Times New Roman;serif" w:hAnsi="Times New Roman;serif"/>
          <w:b w:val="false"/>
          <w:color w:val="000000"/>
          <w:sz w:val="20"/>
        </w:rPr>
        <w:t>During the nine months ended September 30, 2026, United amended some of its CPAs with certain of its regional carriers to modify the terms for certain aircraft and amend the contractually agreed fees paid to those carriers. Our future commitments under our CPAs are dependent on numerous variables, and are, therefore, difficult to predict. The most important of these variables is the number of scheduled block hours. Although we are not required to purchase a minimum number of block hours under certain of our CPAs, we do have contractual minimum utilization levels in other CPAs and we have set forth below estimates of our future payments under the CPAs based on our current assumptions. The actual amounts we pay to our regional operators under CPAs could differ materially from these estimates. United's estimates of its future payments under all of the CPAs do not include the portion of the underlying obligation for any aircraft leased to a regional carrier or deemed to be leased from other regional carriers, or facility rent. For purposes of calculating these estimates, we have assumed (1) the number of block hours flown is based on our anticipated level of flight activity or at any contractual minimum utilization levels if applicable, whichever is higher, (2) that we will reduce the fleet as rapidly as contractually allowed under each CPA, (3) that aircraft utilization, stage length and load factors will remain constant, (4) that each carrier's operational performance will remain at recent historic levels and (5) an annual projected inflation rate. These amounts exclude certain variable pass-through costs such as fuel and landing fees, among others. Based on these assumptions, as of September 30, 2026, our estimated future payments through the end of the terms of our CPAs are presented in the table below (in billions):</w:t>
      </w:r>
    </w:p>
    <w:tbl>
      <w:tblPr>
        <w:tblW w:w="10205" w:type="dxa"/>
        <w:jc w:val="left"/>
        <w:tblInd w:w="0" w:type="dxa"/>
        <w:tblLayout w:type="fixed"/>
        <w:tblCellMar>
          <w:top w:w="28" w:type="dxa"/>
          <w:left w:w="28" w:type="dxa"/>
          <w:bottom w:w="28" w:type="dxa"/>
          <w:right w:w="28" w:type="dxa"/>
        </w:tblCellMar>
      </w:tblPr>
      <w:tblGrid>
        <w:gridCol w:w="676"/>
        <w:gridCol w:w="595"/>
        <w:gridCol w:w="598"/>
        <w:gridCol w:w="411"/>
        <w:gridCol w:w="794"/>
        <w:gridCol w:w="216"/>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44"/>
        <w:gridCol w:w="470"/>
        <w:gridCol w:w="126"/>
        <w:gridCol w:w="109"/>
        <w:gridCol w:w="109"/>
        <w:gridCol w:w="109"/>
        <w:gridCol w:w="211"/>
        <w:gridCol w:w="511"/>
        <w:gridCol w:w="109"/>
        <w:gridCol w:w="109"/>
        <w:gridCol w:w="109"/>
        <w:gridCol w:w="160"/>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Last Three Months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commitments under CPAs</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i/>
          <w:color w:val="000000"/>
          <w:sz w:val="20"/>
        </w:rPr>
        <w:t xml:space="preserve">Increased Cost Provisions. </w:t>
      </w:r>
      <w:r>
        <w:rPr>
          <w:rFonts w:ascii="Times New Roman;serif" w:hAnsi="Times New Roman;serif"/>
          <w:b w:val="false"/>
          <w:color w:val="000000"/>
          <w:sz w:val="20"/>
        </w:rPr>
        <w:t>In United's financing transactions that include loans in which United is the borrower, United typically agrees to reimburse lenders for any reduced returns with respect to the loans due to any change in capital requirements and, in the case of loans with respect to which the interest rate is based on the Secured Overnight Financing Rate (SOFR), for certain other increased costs that the lenders incur in carrying these loans as a result of any change in law, subject, in most cases, to obligations of the lenders to take certain limited steps to mitigate the requirement for, or the amount of, such increased costs. At September 30, 2026, the Company had $11.8 billion principal amount of floating rate debt with remaining terms of up to approximately 12 years that are subject to these increased cost provisions. In several financing transactions with remaining terms of up to approximately 12 years and an aggregate principal amount balance of $9.2 billion, the Company bears the risk of any change in tax laws that would subject loan payments thereunder to withholding taxes, subject to customary exclusions.</w:t>
      </w:r>
    </w:p>
    <w:p>
      <w:pPr>
        <w:pStyle w:val="TextBody"/>
        <w:bidi w:val="0"/>
        <w:spacing w:lineRule="auto" w:line="288" w:before="180" w:after="100"/>
        <w:jc w:val="left"/>
        <w:rPr/>
      </w:pPr>
      <w:r>
        <w:rPr>
          <w:rFonts w:ascii="Times New Roman;serif" w:hAnsi="Times New Roman;serif"/>
          <w:b/>
          <w:i/>
          <w:color w:val="000000"/>
          <w:sz w:val="20"/>
        </w:rPr>
        <w:t>Labor</w:t>
      </w:r>
      <w:r>
        <w:rPr>
          <w:rFonts w:ascii="Times New Roman;serif" w:hAnsi="Times New Roman;serif"/>
          <w:b/>
          <w:i/>
          <w:color w:val="242424"/>
          <w:sz w:val="20"/>
        </w:rPr>
        <w:t>.</w:t>
      </w:r>
      <w:r>
        <w:rPr>
          <w:color w:val="000000"/>
        </w:rPr>
        <w:t xml:space="preserve"> </w:t>
      </w:r>
      <w:r>
        <w:rPr>
          <w:rFonts w:ascii="Times New Roman;serif" w:hAnsi="Times New Roman;serif"/>
          <w:b w:val="false"/>
          <w:color w:val="000000"/>
          <w:sz w:val="20"/>
        </w:rPr>
        <w:t>As of September 30, 2026, the Company had approximately 117,900 employees, of whom 83% were represented by various U.S. labor organizations.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In May 2026, the Company's flight attendants, represented by the Association of Flight Attendants ("AFA"), ratified a five-year agreement, effective May 31, 2026, with the Company that included improvements with respect to scheduling, reserve requirements and other quality of life improvements, as well as pay rate increases. The agreement also included a provision for a one-time ratification payment, which was paid on September 15, 2026 and totaled $740 million. See Note 10 for additional information on the amount recognized in the nine months ended September 30, 2026 related to this ratification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NOTE 10 - SPECIAL CHARGES (CREDITS)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Operating and nonoperating special charges (credits) and unrealized (gains) losses on investments in the statements of consolidated operations consisted of the following (in millions):</w:t>
      </w:r>
    </w:p>
    <w:tbl>
      <w:tblPr>
        <w:tblW w:w="10205" w:type="dxa"/>
        <w:jc w:val="left"/>
        <w:tblInd w:w="0" w:type="dxa"/>
        <w:tblLayout w:type="fixed"/>
        <w:tblCellMar>
          <w:top w:w="28" w:type="dxa"/>
          <w:left w:w="28" w:type="dxa"/>
          <w:bottom w:w="28" w:type="dxa"/>
          <w:right w:w="28" w:type="dxa"/>
        </w:tblCellMar>
      </w:tblPr>
      <w:tblGrid>
        <w:gridCol w:w="1980"/>
        <w:gridCol w:w="1547"/>
        <w:gridCol w:w="1551"/>
        <w:gridCol w:w="264"/>
        <w:gridCol w:w="643"/>
        <w:gridCol w:w="136"/>
        <w:gridCol w:w="136"/>
        <w:gridCol w:w="136"/>
        <w:gridCol w:w="136"/>
        <w:gridCol w:w="264"/>
        <w:gridCol w:w="529"/>
        <w:gridCol w:w="136"/>
        <w:gridCol w:w="109"/>
        <w:gridCol w:w="109"/>
        <w:gridCol w:w="109"/>
        <w:gridCol w:w="255"/>
        <w:gridCol w:w="621"/>
        <w:gridCol w:w="132"/>
        <w:gridCol w:w="132"/>
        <w:gridCol w:w="132"/>
        <w:gridCol w:w="132"/>
        <w:gridCol w:w="255"/>
        <w:gridCol w:w="565"/>
        <w:gridCol w:w="196"/>
      </w:tblGrid>
      <w:tr>
        <w:trPr/>
        <w:tc>
          <w:tcPr>
            <w:tcW w:w="1980"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5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contract ratification bonuses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sale of assets and other special charges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special charges (credits)</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unrealized (gains) losses on investments, net</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debt extinguishment and modification fees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special charges and unrealized (gains) losses on investments, net</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and nonoperating special charges (credits) and unrealized (gains) losses on investments, net</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net of valuation allowance </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and nonoperating special charges (credits) and unrealized (gains) losses on investments, net of income taxes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recorded $182 million of expense associated with the agreements with the Company's flight attendants represented by the AFA that was ratified in May 2026, as discussed in Note 9, and the Company's fleet technical instructors, storekeepers, maintenance instructors and security officers represented by the International Association of Machinists and Aerospace Workers. During the nine months ended September 30, 2025, the Company recorded a $561 million special charge in connection with the then-existing tentative agreement with its flight attendants represented by the AFA.</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2026, the Company recorded $213 million and $931 million, respectively, of net gains on sale of assets and other special charges, which were primarily comprised of $294 million and $1.1 billion, respectively, of gains on various aircraft sale-leaseback transactions. During the three and nine months ended September 30, 2025, the Company recorded $73 million and $295 million, respectively, of net gains on sale of assets and other special charges, which were primarily comprised of $75 million and $336 million, respectively, of gains on various aircraft sale-leaseback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is provided as a supplement to and should be read in conjunction with the unaudited condensed consolidated financial statements and related notes included elsewhere in this Quarterly Report on Form 10-Q and our Annual Report on Form 10-K for the fiscal year ended December 31, 2025 (the "2025 Form 10-K") to enhance the understanding of our results of operations, financial condition and cash flows.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United Airlines Holdings, Inc. (together with its consolidated subsidiaries, "UAL" or the "Company") is a holding company incorporated in Delaware and its wholly-owned subsidiary is United Airlines, Inc. (together with its consolidated subsidiaries, "United"). As UAL consolidates United for financial statement purposes, and United comprises substantially all of UAL's operating revenues, operating expenses, assets, liabilities and operating cash flows, disclosures that relate to activities of United also apply to UAL, unless otherwise noted. We sometimes use the words "we," "our," "us," and the "Company" in this report for disclosures that relate to all of UAL and United.</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Key Trends Impacting Our Business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Our industry is dynamic, highly competitive and subject to a number of industry-specific factors and global macroeconomic conditions that may cause our actual results of operations to differ from our historical results of operations or current expectations. The economic, market and legal factors and trends that we currently believe are or will be most impactful to our results of operations and financial condition include the following:</w:t>
      </w:r>
    </w:p>
    <w:p>
      <w:pPr>
        <w:pStyle w:val="TextBody"/>
        <w:bidi w:val="0"/>
        <w:spacing w:lineRule="auto" w:line="288" w:before="180" w:after="100"/>
        <w:ind w:left="0" w:right="0" w:hanging="360"/>
        <w:jc w:val="left"/>
        <w:rPr/>
      </w:pPr>
      <w:r>
        <w:rPr>
          <w:color w:val="000000"/>
        </w:rPr>
        <w:t>•</w:t>
      </w:r>
      <w:r>
        <w:rPr>
          <w:rFonts w:ascii="Times New Roman;serif" w:hAnsi="Times New Roman;serif"/>
          <w:b/>
          <w:i/>
          <w:color w:val="000000"/>
          <w:sz w:val="20"/>
        </w:rPr>
        <w:t>Geopolitical Conflicts Elevating Fuel Prices.</w:t>
      </w:r>
      <w:r>
        <w:rPr>
          <w:color w:val="000000"/>
        </w:rPr>
        <w:t xml:space="preserve"> </w:t>
      </w:r>
      <w:r>
        <w:rPr>
          <w:rFonts w:ascii="Times New Roman;serif" w:hAnsi="Times New Roman;serif"/>
          <w:b w:val="false"/>
          <w:color w:val="000000"/>
          <w:sz w:val="20"/>
        </w:rPr>
        <w:t>The ongoing geopolitical conflicts in the Middle East and in other regions have caused disruption of flying and/or have contributed to materially higher global fuel prices. In response to the conflicts in the Middle East that arose earlier this year, we have taken immediate and decisive actions to mitigate the impact of the operational disruptions and rising fuel costs, including reducing capacity and adjusting fares and fees. While our long-term outlook is positive due to our expectation that customer demand will remain strong, we may continue to be impacted by future volatility in the fuel market, especially if the geopolitical conflicts in the Middle East or other regions escalate further or expand.</w:t>
      </w:r>
    </w:p>
    <w:p>
      <w:pPr>
        <w:pStyle w:val="TextBody"/>
        <w:bidi w:val="0"/>
        <w:spacing w:lineRule="auto" w:line="288" w:before="180" w:after="100"/>
        <w:ind w:left="0" w:right="0" w:hanging="360"/>
        <w:jc w:val="left"/>
        <w:rPr/>
      </w:pPr>
      <w:r>
        <w:rPr>
          <w:color w:val="000000"/>
        </w:rPr>
        <w:t>•</w:t>
      </w:r>
      <w:r>
        <w:rPr>
          <w:rFonts w:ascii="Times New Roman;serif" w:hAnsi="Times New Roman;serif"/>
          <w:b/>
          <w:i/>
          <w:color w:val="000000"/>
          <w:sz w:val="20"/>
        </w:rPr>
        <w:t>Regulatory or Court Decisions Restricting Our Capacity Targets.</w:t>
      </w:r>
      <w:r>
        <w:rPr>
          <w:color w:val="000000"/>
        </w:rPr>
        <w:t xml:space="preserve"> </w:t>
      </w:r>
      <w:r>
        <w:rPr>
          <w:rFonts w:ascii="Times New Roman;serif" w:hAnsi="Times New Roman;serif"/>
          <w:b w:val="false"/>
          <w:color w:val="000000"/>
          <w:sz w:val="20"/>
        </w:rPr>
        <w:t xml:space="preserve">We remain vulnerable to regulatory actions (including by the Federal Aviation Administration) or court decisions that would require us to adjust our planned capacity at our hub locations. </w:t>
      </w:r>
    </w:p>
    <w:p>
      <w:pPr>
        <w:pStyle w:val="TextBody"/>
        <w:bidi w:val="0"/>
        <w:spacing w:lineRule="auto" w:line="288" w:before="180" w:after="100"/>
        <w:ind w:left="0" w:right="0" w:hanging="360"/>
        <w:jc w:val="left"/>
        <w:rPr/>
      </w:pPr>
      <w:r>
        <w:rPr>
          <w:color w:val="000000"/>
        </w:rPr>
        <w:t>•</w:t>
      </w:r>
      <w:r>
        <w:rPr>
          <w:rFonts w:ascii="Times New Roman;serif" w:hAnsi="Times New Roman;serif"/>
          <w:b/>
          <w:i/>
          <w:color w:val="000000"/>
          <w:sz w:val="20"/>
        </w:rPr>
        <w:t>Governmental Funding Constraints.</w:t>
      </w:r>
      <w:r>
        <w:rPr>
          <w:color w:val="000000"/>
        </w:rPr>
        <w:t xml:space="preserve"> </w:t>
      </w:r>
      <w:r>
        <w:rPr>
          <w:rFonts w:ascii="Times New Roman;serif" w:hAnsi="Times New Roman;serif"/>
          <w:b w:val="false"/>
          <w:color w:val="000000"/>
          <w:sz w:val="20"/>
        </w:rPr>
        <w:t>We have been working with our U.S. federal government partners to reduce passenger travel disruptions due to potential budgetary decisions limiting or delaying government spending or reducing staffing of government agencies with which we interact routinely, including as a result of a federal government shutdown.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We will monitor the potential favorable or unfavorable impacts of these and other factors on our business, operations, financial condition, results of operations, liquidity and financial flexibility, which are dependent on future developments, including as a result of the factors discussed in Part I, Item 1A. Risk Factors,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following discussion provides an analysis of our results of operations and reasons for material changes therein for the three and nine months ended September 30, 2026, as compared to the corresponding periods in 2025.</w:t>
      </w: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Third Quarter 2026 Compared to Third Quarter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Significant components of the Company's operating results for the three months ended September 30 are as follows (in millions, except percentage changes):</w:t>
      </w:r>
    </w:p>
    <w:tbl>
      <w:tblPr>
        <w:tblW w:w="8564" w:type="dxa"/>
        <w:jc w:val="left"/>
        <w:tblInd w:w="0" w:type="dxa"/>
        <w:tblLayout w:type="fixed"/>
        <w:tblCellMar>
          <w:top w:w="28" w:type="dxa"/>
          <w:left w:w="28" w:type="dxa"/>
          <w:bottom w:w="28" w:type="dxa"/>
          <w:right w:w="28" w:type="dxa"/>
        </w:tblCellMar>
      </w:tblPr>
      <w:tblGrid>
        <w:gridCol w:w="863"/>
        <w:gridCol w:w="758"/>
        <w:gridCol w:w="763"/>
        <w:gridCol w:w="109"/>
        <w:gridCol w:w="109"/>
        <w:gridCol w:w="109"/>
        <w:gridCol w:w="211"/>
        <w:gridCol w:w="721"/>
        <w:gridCol w:w="109"/>
        <w:gridCol w:w="109"/>
        <w:gridCol w:w="109"/>
        <w:gridCol w:w="109"/>
        <w:gridCol w:w="211"/>
        <w:gridCol w:w="721"/>
        <w:gridCol w:w="109"/>
        <w:gridCol w:w="109"/>
        <w:gridCol w:w="109"/>
        <w:gridCol w:w="109"/>
        <w:gridCol w:w="395"/>
        <w:gridCol w:w="1155"/>
        <w:gridCol w:w="204"/>
        <w:gridCol w:w="109"/>
        <w:gridCol w:w="109"/>
        <w:gridCol w:w="109"/>
        <w:gridCol w:w="303"/>
        <w:gridCol w:w="303"/>
        <w:gridCol w:w="430"/>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Certain consolidated statistical information for the Company's operations for the three months ended September 30 is as follows:</w:t>
      </w:r>
    </w:p>
    <w:tbl>
      <w:tblPr>
        <w:tblW w:w="10205" w:type="dxa"/>
        <w:jc w:val="left"/>
        <w:tblInd w:w="0" w:type="dxa"/>
        <w:tblLayout w:type="fixed"/>
        <w:tblCellMar>
          <w:top w:w="28" w:type="dxa"/>
          <w:left w:w="28" w:type="dxa"/>
          <w:bottom w:w="28" w:type="dxa"/>
          <w:right w:w="28" w:type="dxa"/>
        </w:tblCellMar>
      </w:tblPr>
      <w:tblGrid>
        <w:gridCol w:w="1591"/>
        <w:gridCol w:w="1398"/>
        <w:gridCol w:w="1405"/>
        <w:gridCol w:w="241"/>
        <w:gridCol w:w="585"/>
        <w:gridCol w:w="271"/>
        <w:gridCol w:w="109"/>
        <w:gridCol w:w="109"/>
        <w:gridCol w:w="109"/>
        <w:gridCol w:w="241"/>
        <w:gridCol w:w="585"/>
        <w:gridCol w:w="271"/>
        <w:gridCol w:w="109"/>
        <w:gridCol w:w="109"/>
        <w:gridCol w:w="109"/>
        <w:gridCol w:w="389"/>
        <w:gridCol w:w="942"/>
        <w:gridCol w:w="202"/>
        <w:gridCol w:w="130"/>
        <w:gridCol w:w="130"/>
        <w:gridCol w:w="131"/>
        <w:gridCol w:w="303"/>
        <w:gridCol w:w="303"/>
        <w:gridCol w:w="433"/>
      </w:tblGrid>
      <w:tr>
        <w:trPr/>
        <w:tc>
          <w:tcPr>
            <w:tcW w:w="1591"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Passengers (thousands) (a)</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Revenue passenger miles ("RPMs" or "traffic") (millions) (b)</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Available seat miles ("ASMs" or "capacity") (millions) (c)</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Passenger load factor (d)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pts.</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 per available seat mile ("PRASM")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revenue per ASM ("TRASM") (cents)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Average yield per revenue passenger mile ("Yield") (cents) (e)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Cargo revenue ton miles ("CTM") (millions) (f)</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Cost per ASM ("CASM")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Average price per gallon of fuel, including fuel taxes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Fuel gallons consumed (millions)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Employee headcount, as of September 30</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 The number of revenue passengers measured by each flight segment flown.</w:t>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 The number of scheduled miles flown by revenue passengers.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 The number of seats available for passengers multiplied by the number of scheduled miles those seats are flown.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 Revenue passenger miles divided by available seat miles.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 The average passenger revenue received for each revenue passenger mile flown.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(f) The number of cargo revenue tons transported multiplied by the number of miles flown.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i/>
          <w:color w:val="000000"/>
          <w:sz w:val="20"/>
        </w:rPr>
        <w:t xml:space="preserve">Operating Revenue. </w:t>
      </w:r>
      <w:r>
        <w:rPr>
          <w:rFonts w:ascii="Times New Roman;serif" w:hAnsi="Times New Roman;serif"/>
          <w:b w:val="false"/>
          <w:color w:val="000000"/>
          <w:sz w:val="20"/>
        </w:rPr>
        <w:t>The table below shows year-over-year comparisons by type of operating revenue for the three months ended September 30 (in millions, except for percentage changes):</w:t>
      </w:r>
    </w:p>
    <w:tbl>
      <w:tblPr>
        <w:tblW w:w="7937" w:type="dxa"/>
        <w:jc w:val="left"/>
        <w:tblInd w:w="0" w:type="dxa"/>
        <w:tblLayout w:type="fixed"/>
        <w:tblCellMar>
          <w:top w:w="28" w:type="dxa"/>
          <w:left w:w="28" w:type="dxa"/>
          <w:bottom w:w="28" w:type="dxa"/>
          <w:right w:w="28" w:type="dxa"/>
        </w:tblCellMar>
      </w:tblPr>
      <w:tblGrid>
        <w:gridCol w:w="756"/>
        <w:gridCol w:w="662"/>
        <w:gridCol w:w="666"/>
        <w:gridCol w:w="211"/>
        <w:gridCol w:w="721"/>
        <w:gridCol w:w="109"/>
        <w:gridCol w:w="109"/>
        <w:gridCol w:w="109"/>
        <w:gridCol w:w="109"/>
        <w:gridCol w:w="211"/>
        <w:gridCol w:w="721"/>
        <w:gridCol w:w="109"/>
        <w:gridCol w:w="109"/>
        <w:gridCol w:w="109"/>
        <w:gridCol w:w="109"/>
        <w:gridCol w:w="395"/>
        <w:gridCol w:w="1155"/>
        <w:gridCol w:w="204"/>
        <w:gridCol w:w="109"/>
        <w:gridCol w:w="109"/>
        <w:gridCol w:w="109"/>
        <w:gridCol w:w="303"/>
        <w:gridCol w:w="303"/>
        <w:gridCol w:w="430"/>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Cargo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selected passenger revenue and operating data, broken out by geographic region, expressed as year-over-year changes for the three months ended September 30:</w:t>
      </w:r>
    </w:p>
    <w:tbl>
      <w:tblPr>
        <w:tblW w:w="9047" w:type="dxa"/>
        <w:jc w:val="left"/>
        <w:tblInd w:w="0" w:type="dxa"/>
        <w:tblLayout w:type="fixed"/>
        <w:tblCellMar>
          <w:top w:w="28" w:type="dxa"/>
          <w:left w:w="28" w:type="dxa"/>
          <w:bottom w:w="28" w:type="dxa"/>
          <w:right w:w="28" w:type="dxa"/>
        </w:tblCellMar>
      </w:tblPr>
      <w:tblGrid>
        <w:gridCol w:w="962"/>
        <w:gridCol w:w="843"/>
        <w:gridCol w:w="849"/>
        <w:gridCol w:w="211"/>
        <w:gridCol w:w="616"/>
        <w:gridCol w:w="271"/>
        <w:gridCol w:w="109"/>
        <w:gridCol w:w="109"/>
        <w:gridCol w:w="109"/>
        <w:gridCol w:w="211"/>
        <w:gridCol w:w="466"/>
        <w:gridCol w:w="271"/>
        <w:gridCol w:w="109"/>
        <w:gridCol w:w="109"/>
        <w:gridCol w:w="109"/>
        <w:gridCol w:w="211"/>
        <w:gridCol w:w="466"/>
        <w:gridCol w:w="271"/>
        <w:gridCol w:w="109"/>
        <w:gridCol w:w="109"/>
        <w:gridCol w:w="109"/>
        <w:gridCol w:w="211"/>
        <w:gridCol w:w="466"/>
        <w:gridCol w:w="271"/>
        <w:gridCol w:w="109"/>
        <w:gridCol w:w="109"/>
        <w:gridCol w:w="109"/>
        <w:gridCol w:w="211"/>
        <w:gridCol w:w="616"/>
        <w:gridCol w:w="316"/>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Increase (Decrease) from 2025:</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Domestic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Atlantic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Latin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 (in millions)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fare per passenger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Yield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PRASM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load factor (points)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Passenger revenue increased $2.4 billion, or 17.6%, in the third quarter of 2026 as compared to the year-ago period, primarily due to a 16.8% increase in yield and a 2.4% increase in the number of passengers flown.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Cargo revenue increased $99 million, or 22.9%, in the third quarter of 2026 as compared to the year-ago period, primarily due to an increase in freight yields as well as a slight increase in tonnage.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Other operating revenue increased $127 million, or 12.9%, in the third quarter of 2026 as compared to the year-ago period, primarily due to an increase in mileage revenue from non-airline partners, including credit card spending with our co-branded credit card partner, JPMorgan Chase Bank, N.A., and an increase in visitor volumes at United Club lounges.</w:t>
      </w:r>
    </w:p>
    <w:p>
      <w:pPr>
        <w:pStyle w:val="TextBody"/>
        <w:bidi w:val="0"/>
        <w:spacing w:lineRule="auto" w:line="288" w:before="180" w:after="100"/>
        <w:jc w:val="left"/>
        <w:rPr/>
      </w:pPr>
      <w:r>
        <w:rPr>
          <w:rFonts w:ascii="Times New Roman;serif" w:hAnsi="Times New Roman;serif"/>
          <w:b/>
          <w:i/>
          <w:color w:val="000000"/>
          <w:sz w:val="20"/>
        </w:rPr>
        <w:t xml:space="preserve">Operating Expenses. </w:t>
      </w:r>
      <w:r>
        <w:rPr>
          <w:rFonts w:ascii="Times New Roman;serif" w:hAnsi="Times New Roman;serif"/>
          <w:b w:val="false"/>
          <w:color w:val="000000"/>
          <w:sz w:val="20"/>
        </w:rPr>
        <w:t>The table below includes data related to the Company's operating expenses for the three months ended September 30 (in millions, except for percentage changes):</w:t>
      </w:r>
    </w:p>
    <w:tbl>
      <w:tblPr>
        <w:tblW w:w="10205" w:type="dxa"/>
        <w:jc w:val="left"/>
        <w:tblInd w:w="0" w:type="dxa"/>
        <w:tblLayout w:type="fixed"/>
        <w:tblCellMar>
          <w:top w:w="28" w:type="dxa"/>
          <w:left w:w="28" w:type="dxa"/>
          <w:bottom w:w="28" w:type="dxa"/>
          <w:right w:w="28" w:type="dxa"/>
        </w:tblCellMar>
      </w:tblPr>
      <w:tblGrid>
        <w:gridCol w:w="1590"/>
        <w:gridCol w:w="1386"/>
        <w:gridCol w:w="1392"/>
        <w:gridCol w:w="211"/>
        <w:gridCol w:w="721"/>
        <w:gridCol w:w="109"/>
        <w:gridCol w:w="109"/>
        <w:gridCol w:w="109"/>
        <w:gridCol w:w="109"/>
        <w:gridCol w:w="211"/>
        <w:gridCol w:w="721"/>
        <w:gridCol w:w="109"/>
        <w:gridCol w:w="109"/>
        <w:gridCol w:w="109"/>
        <w:gridCol w:w="109"/>
        <w:gridCol w:w="391"/>
        <w:gridCol w:w="1143"/>
        <w:gridCol w:w="201"/>
        <w:gridCol w:w="109"/>
        <w:gridCol w:w="109"/>
        <w:gridCol w:w="109"/>
        <w:gridCol w:w="303"/>
        <w:gridCol w:w="303"/>
        <w:gridCol w:w="433"/>
      </w:tblGrid>
      <w:tr>
        <w:trPr/>
        <w:tc>
          <w:tcPr>
            <w:tcW w:w="159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Landing fees and other 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maintenance materials and outside repairs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capacity purchase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NM - Greater than 100% change or otherwise not meaningful.</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Salaries and related costs increased $406 million, or 8.9%, in the third quarter of 2026 as compared to the year-ago period, primarily due to increased pay as a result of the increase in flying activity, a 5.4% increase in headcount and pay rate increases for various eligible employee groups, including employees represented by the Association of Flight Attendants ("AFA") pursuant to the collective bargaining agreement that was ratified in May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Aircraft fuel expense increased $1.8 billion, or 61.6%, in the third quarter of 2026 as compared to the year-ago period, primarily due to a higher average price per gallon of fuel.</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Distribution expense increased $77 million, or 13.9%, in the third quarter of 2026 as compared to the year-ago period, primarily due to higher credit card fees and agency commissions driven by the overall increase in passenger revenue.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Aircraft rent increased $62 million, in the third quarter of 2026 as compared to the year-ago period, primarily due to the addition of new leased aircraft to the Company's fleet.</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For details on the Company's Special charges (credits), see Note 10 to the financial statements included in Part I, Item 1 of this report.</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Other operating expenses increased $194 million, or 7.6%, in the third quarter of 2026 as compared to the year-ago period, primarily due to an increase in flight activity and number of passengers, including increased costs for catering, ground handling and passenger services, crew-related expenses, as well as expenditures related to information technology projects and services.</w:t>
      </w:r>
    </w:p>
    <w:p>
      <w:pPr>
        <w:pStyle w:val="TextBody"/>
        <w:bidi w:val="0"/>
        <w:spacing w:lineRule="auto" w:line="288" w:before="180" w:after="100"/>
        <w:jc w:val="left"/>
        <w:rPr/>
      </w:pPr>
      <w:r>
        <w:rPr>
          <w:rFonts w:ascii="Times New Roman;serif" w:hAnsi="Times New Roman;serif"/>
          <w:b/>
          <w:i/>
          <w:color w:val="000000"/>
          <w:sz w:val="20"/>
        </w:rPr>
        <w:t>Nonoperating Income (Expense</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table below shows year-over-year comparisons of the Company's nonoperating income (expense) for the three months ended September 30 (in millions, except for percentage changes): </w:t>
      </w:r>
    </w:p>
    <w:tbl>
      <w:tblPr>
        <w:tblW w:w="8642" w:type="dxa"/>
        <w:jc w:val="left"/>
        <w:tblInd w:w="0" w:type="dxa"/>
        <w:tblLayout w:type="fixed"/>
        <w:tblCellMar>
          <w:top w:w="28" w:type="dxa"/>
          <w:left w:w="28" w:type="dxa"/>
          <w:bottom w:w="28" w:type="dxa"/>
          <w:right w:w="28" w:type="dxa"/>
        </w:tblCellMar>
      </w:tblPr>
      <w:tblGrid>
        <w:gridCol w:w="1141"/>
        <w:gridCol w:w="999"/>
        <w:gridCol w:w="1009"/>
        <w:gridCol w:w="211"/>
        <w:gridCol w:w="541"/>
        <w:gridCol w:w="109"/>
        <w:gridCol w:w="109"/>
        <w:gridCol w:w="109"/>
        <w:gridCol w:w="109"/>
        <w:gridCol w:w="211"/>
        <w:gridCol w:w="541"/>
        <w:gridCol w:w="109"/>
        <w:gridCol w:w="109"/>
        <w:gridCol w:w="109"/>
        <w:gridCol w:w="109"/>
        <w:gridCol w:w="543"/>
        <w:gridCol w:w="929"/>
        <w:gridCol w:w="282"/>
        <w:gridCol w:w="109"/>
        <w:gridCol w:w="109"/>
        <w:gridCol w:w="109"/>
        <w:gridCol w:w="303"/>
        <w:gridCol w:w="303"/>
        <w:gridCol w:w="430"/>
      </w:tblGrid>
      <w:tr>
        <w:trPr/>
        <w:tc>
          <w:tcPr>
            <w:tcW w:w="114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investments,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$28 million, or 8.3%, in the third quarter of 2026 as compared to the year-ago period, primarily due to new debt issuances in the current year.</w:t>
      </w:r>
    </w:p>
    <w:p>
      <w:pPr>
        <w:pStyle w:val="TextBody"/>
        <w:bidi w:val="0"/>
        <w:spacing w:lineRule="auto" w:line="288" w:before="180" w:after="100"/>
        <w:jc w:val="left"/>
        <w:rPr/>
      </w:pPr>
      <w:r>
        <w:rPr>
          <w:rFonts w:ascii="Times New Roman;serif" w:hAnsi="Times New Roman;serif"/>
          <w:b/>
          <w:i/>
          <w:color w:val="000000"/>
          <w:sz w:val="20"/>
        </w:rPr>
        <w:t>Income Taxes.</w:t>
      </w:r>
      <w:r>
        <w:rPr>
          <w:color w:val="000000"/>
        </w:rPr>
        <w:t xml:space="preserve"> </w:t>
      </w:r>
      <w:r>
        <w:rPr>
          <w:rFonts w:ascii="Times New Roman;serif" w:hAnsi="Times New Roman;serif"/>
          <w:b w:val="false"/>
          <w:color w:val="000000"/>
          <w:sz w:val="20"/>
        </w:rPr>
        <w:t>See Note 5 to the financial statements included in Part I, Item 1 of this report for information related to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 xml:space="preserve">First Nine Months 2026 Compared to First Nine Months 2025 </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Significant components of the Company's operating results for the nine months ended September 30 are as follows (in millions, except percentage changes):</w:t>
      </w:r>
    </w:p>
    <w:tbl>
      <w:tblPr>
        <w:tblW w:w="8564" w:type="dxa"/>
        <w:jc w:val="left"/>
        <w:tblInd w:w="0" w:type="dxa"/>
        <w:tblLayout w:type="fixed"/>
        <w:tblCellMar>
          <w:top w:w="28" w:type="dxa"/>
          <w:left w:w="28" w:type="dxa"/>
          <w:bottom w:w="28" w:type="dxa"/>
          <w:right w:w="28" w:type="dxa"/>
        </w:tblCellMar>
      </w:tblPr>
      <w:tblGrid>
        <w:gridCol w:w="863"/>
        <w:gridCol w:w="758"/>
        <w:gridCol w:w="763"/>
        <w:gridCol w:w="109"/>
        <w:gridCol w:w="109"/>
        <w:gridCol w:w="109"/>
        <w:gridCol w:w="211"/>
        <w:gridCol w:w="721"/>
        <w:gridCol w:w="109"/>
        <w:gridCol w:w="109"/>
        <w:gridCol w:w="109"/>
        <w:gridCol w:w="109"/>
        <w:gridCol w:w="211"/>
        <w:gridCol w:w="721"/>
        <w:gridCol w:w="109"/>
        <w:gridCol w:w="109"/>
        <w:gridCol w:w="109"/>
        <w:gridCol w:w="109"/>
        <w:gridCol w:w="395"/>
        <w:gridCol w:w="1155"/>
        <w:gridCol w:w="204"/>
        <w:gridCol w:w="109"/>
        <w:gridCol w:w="109"/>
        <w:gridCol w:w="109"/>
        <w:gridCol w:w="303"/>
        <w:gridCol w:w="303"/>
        <w:gridCol w:w="430"/>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Certain consolidated statistical information for the Company's operations for the nine months ended September 30 is as follows:</w:t>
      </w:r>
    </w:p>
    <w:tbl>
      <w:tblPr>
        <w:tblW w:w="10205" w:type="dxa"/>
        <w:jc w:val="left"/>
        <w:tblInd w:w="0" w:type="dxa"/>
        <w:tblLayout w:type="fixed"/>
        <w:tblCellMar>
          <w:top w:w="28" w:type="dxa"/>
          <w:left w:w="28" w:type="dxa"/>
          <w:bottom w:w="28" w:type="dxa"/>
          <w:right w:w="28" w:type="dxa"/>
        </w:tblCellMar>
      </w:tblPr>
      <w:tblGrid>
        <w:gridCol w:w="1526"/>
        <w:gridCol w:w="1341"/>
        <w:gridCol w:w="1350"/>
        <w:gridCol w:w="241"/>
        <w:gridCol w:w="585"/>
        <w:gridCol w:w="271"/>
        <w:gridCol w:w="109"/>
        <w:gridCol w:w="109"/>
        <w:gridCol w:w="109"/>
        <w:gridCol w:w="241"/>
        <w:gridCol w:w="585"/>
        <w:gridCol w:w="271"/>
        <w:gridCol w:w="109"/>
        <w:gridCol w:w="109"/>
        <w:gridCol w:w="109"/>
        <w:gridCol w:w="434"/>
        <w:gridCol w:w="1051"/>
        <w:gridCol w:w="225"/>
        <w:gridCol w:w="130"/>
        <w:gridCol w:w="130"/>
        <w:gridCol w:w="131"/>
        <w:gridCol w:w="303"/>
        <w:gridCol w:w="303"/>
        <w:gridCol w:w="433"/>
      </w:tblGrid>
      <w:tr>
        <w:trPr/>
        <w:tc>
          <w:tcPr>
            <w:tcW w:w="152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Passengers (thousands)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RPMs (millions)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ASMs (millions)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Passenger load factor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pts.</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PRASM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TRASM (cents)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Yield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CTM (millions)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CASM (cents)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Average price per gallon of fuel, including fuel taxes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Fuel gallons consumed (millions)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Employee headcount, as of September 30</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5988" w:type="dxa"/>
            <w:gridSpan w:val="21"/>
            <w:tcBorders/>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5988" w:type="dxa"/>
            <w:gridSpan w:val="21"/>
            <w:tcBorders/>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5988" w:type="dxa"/>
            <w:gridSpan w:val="21"/>
            <w:tcBorders/>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5988" w:type="dxa"/>
            <w:gridSpan w:val="21"/>
            <w:tcBorders/>
          </w:tcPr>
          <w:p>
            <w:pPr>
              <w:pStyle w:val="TableContents"/>
              <w:bidi w:val="0"/>
              <w:spacing w:before="0" w:after="283"/>
              <w:jc w:val="left"/>
              <w:rPr>
                <w:sz w:val="4"/>
                <w:szCs w:val="4"/>
              </w:rPr>
            </w:pPr>
            <w:r>
              <w:rPr>
                <w:sz w:val="4"/>
                <w:szCs w:val="4"/>
              </w:rPr>
            </w:r>
          </w:p>
        </w:tc>
      </w:tr>
      <w:tr>
        <w:trPr/>
        <w:tc>
          <w:tcPr>
            <w:tcW w:w="421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i/>
          <w:color w:val="000000"/>
          <w:sz w:val="20"/>
        </w:rPr>
        <w:t xml:space="preserve">Operating Revenue. </w:t>
      </w:r>
      <w:r>
        <w:rPr>
          <w:rFonts w:ascii="Times New Roman;serif" w:hAnsi="Times New Roman;serif"/>
          <w:b w:val="false"/>
          <w:color w:val="000000"/>
          <w:sz w:val="20"/>
        </w:rPr>
        <w:t>The table below shows year-over-year comparisons by type of operating revenue for the nine months ended September 30 (in millions, except for percentage changes):</w:t>
      </w:r>
    </w:p>
    <w:tbl>
      <w:tblPr>
        <w:tblW w:w="7937" w:type="dxa"/>
        <w:jc w:val="left"/>
        <w:tblInd w:w="0" w:type="dxa"/>
        <w:tblLayout w:type="fixed"/>
        <w:tblCellMar>
          <w:top w:w="28" w:type="dxa"/>
          <w:left w:w="28" w:type="dxa"/>
          <w:bottom w:w="28" w:type="dxa"/>
          <w:right w:w="28" w:type="dxa"/>
        </w:tblCellMar>
      </w:tblPr>
      <w:tblGrid>
        <w:gridCol w:w="756"/>
        <w:gridCol w:w="662"/>
        <w:gridCol w:w="666"/>
        <w:gridCol w:w="211"/>
        <w:gridCol w:w="721"/>
        <w:gridCol w:w="109"/>
        <w:gridCol w:w="109"/>
        <w:gridCol w:w="109"/>
        <w:gridCol w:w="109"/>
        <w:gridCol w:w="211"/>
        <w:gridCol w:w="721"/>
        <w:gridCol w:w="109"/>
        <w:gridCol w:w="109"/>
        <w:gridCol w:w="109"/>
        <w:gridCol w:w="109"/>
        <w:gridCol w:w="395"/>
        <w:gridCol w:w="1155"/>
        <w:gridCol w:w="204"/>
        <w:gridCol w:w="109"/>
        <w:gridCol w:w="109"/>
        <w:gridCol w:w="109"/>
        <w:gridCol w:w="303"/>
        <w:gridCol w:w="303"/>
        <w:gridCol w:w="430"/>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Cargo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selected passenger revenue and operating data, broken out by geographic region, expressed as year-over-year changes for the nine months ended September 30:</w:t>
      </w:r>
    </w:p>
    <w:tbl>
      <w:tblPr>
        <w:tblW w:w="9047" w:type="dxa"/>
        <w:jc w:val="left"/>
        <w:tblInd w:w="0" w:type="dxa"/>
        <w:tblLayout w:type="fixed"/>
        <w:tblCellMar>
          <w:top w:w="28" w:type="dxa"/>
          <w:left w:w="28" w:type="dxa"/>
          <w:bottom w:w="28" w:type="dxa"/>
          <w:right w:w="28" w:type="dxa"/>
        </w:tblCellMar>
      </w:tblPr>
      <w:tblGrid>
        <w:gridCol w:w="962"/>
        <w:gridCol w:w="843"/>
        <w:gridCol w:w="849"/>
        <w:gridCol w:w="211"/>
        <w:gridCol w:w="616"/>
        <w:gridCol w:w="271"/>
        <w:gridCol w:w="109"/>
        <w:gridCol w:w="109"/>
        <w:gridCol w:w="109"/>
        <w:gridCol w:w="211"/>
        <w:gridCol w:w="466"/>
        <w:gridCol w:w="271"/>
        <w:gridCol w:w="109"/>
        <w:gridCol w:w="109"/>
        <w:gridCol w:w="109"/>
        <w:gridCol w:w="211"/>
        <w:gridCol w:w="466"/>
        <w:gridCol w:w="271"/>
        <w:gridCol w:w="109"/>
        <w:gridCol w:w="109"/>
        <w:gridCol w:w="109"/>
        <w:gridCol w:w="211"/>
        <w:gridCol w:w="466"/>
        <w:gridCol w:w="271"/>
        <w:gridCol w:w="109"/>
        <w:gridCol w:w="109"/>
        <w:gridCol w:w="109"/>
        <w:gridCol w:w="211"/>
        <w:gridCol w:w="616"/>
        <w:gridCol w:w="316"/>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Increase (Decrease) from 2025:</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Domestic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Atlantic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Latin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 (in millions)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fare per passenger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Yield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PRASM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RPMs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Passenger load factor (points)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Passenger revenue increased $6.0 billion, or 15.2%, in the first nine months of 2026 as compared to the year-ago period, primarily due to an 11.3% increase in yield and a 3.9% increase in the number of passengers flown.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Cargo revenue increased $189 million, or 14.7%, in the first nine months of 2026 as compared to the year-ago period, primarily due to an increase in freight yields as well as a slight increase in tonnage.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revenue increased $298 million, or 10.4%, in the first nine months of 2026 as compared to the year-ago period, primarily due to an increase in mileage revenue from non-airline partners, including credit card spending with our co-branded credit card partner, JPMorgan Chase Bank, N.A., and an increase in visitor volumes at United Club lounges.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i/>
          <w:color w:val="000000"/>
          <w:sz w:val="20"/>
        </w:rPr>
        <w:t xml:space="preserve">Operating Expenses. </w:t>
      </w:r>
      <w:r>
        <w:rPr>
          <w:rFonts w:ascii="Times New Roman;serif" w:hAnsi="Times New Roman;serif"/>
          <w:b w:val="false"/>
          <w:color w:val="000000"/>
          <w:sz w:val="20"/>
        </w:rPr>
        <w:t>The table below presents data related to the Company's operating expenses for the nine months ended September 30 (in millions, except for percentage changes):</w:t>
      </w:r>
    </w:p>
    <w:tbl>
      <w:tblPr>
        <w:tblW w:w="10023" w:type="dxa"/>
        <w:jc w:val="left"/>
        <w:tblInd w:w="0" w:type="dxa"/>
        <w:tblLayout w:type="fixed"/>
        <w:tblCellMar>
          <w:top w:w="28" w:type="dxa"/>
          <w:left w:w="28" w:type="dxa"/>
          <w:bottom w:w="28" w:type="dxa"/>
          <w:right w:w="28" w:type="dxa"/>
        </w:tblCellMar>
      </w:tblPr>
      <w:tblGrid>
        <w:gridCol w:w="1512"/>
        <w:gridCol w:w="1326"/>
        <w:gridCol w:w="1332"/>
        <w:gridCol w:w="211"/>
        <w:gridCol w:w="721"/>
        <w:gridCol w:w="109"/>
        <w:gridCol w:w="109"/>
        <w:gridCol w:w="109"/>
        <w:gridCol w:w="109"/>
        <w:gridCol w:w="211"/>
        <w:gridCol w:w="721"/>
        <w:gridCol w:w="109"/>
        <w:gridCol w:w="109"/>
        <w:gridCol w:w="109"/>
        <w:gridCol w:w="109"/>
        <w:gridCol w:w="395"/>
        <w:gridCol w:w="1155"/>
        <w:gridCol w:w="204"/>
        <w:gridCol w:w="109"/>
        <w:gridCol w:w="109"/>
        <w:gridCol w:w="109"/>
        <w:gridCol w:w="303"/>
        <w:gridCol w:w="303"/>
        <w:gridCol w:w="430"/>
      </w:tblGrid>
      <w:tr>
        <w:trPr/>
        <w:tc>
          <w:tcPr>
            <w:tcW w:w="15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fuel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Landing fees and other 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maintenance materials and outside repairs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capacity purchase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Salaries and related costs increased $1.1 billion, or 8.3%, in the first nine months of 2026 as compared to the year-ago period, primarily due to increased pay as a result of the increase in flying activity, a 5.4% increase in headcount and pay rate increases for various eligible employee groups, including employees represented by the AFA pursuant to the collective bargaining agreement that was ratified in May 2026.</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Aircraft fuel expense increased $4.5 billion, or 53.3%, in the first nine months of 2026 as compared to the year-ago period, primarily due to a higher average price per gallon of fuel as well as increased consumption from increased flight activity.</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Landing fees and other rent increased $214 million, or 7.6%, in the first nine months of 2026 as compared to the year-ago period, primarily due to rate increases at various airports and higher landed weight volume due to increased flight activity.</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Aircraft maintenance materials and outside repairs increased $191 million, or 8.0%, in the first nine months of 2026 as compared to the year-ago period, primarily due to higher volumes of engine overhauls and component part repairs as well as contractual rate increases.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increased $104 million, or 4.8%, in the first nine months of 2026 as compared to the year-ago period, primarily due to the induction of new aircraft as well as certain aircraft improvements.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Regional capacity purchase increased $148 million, or 7.3%, in the first nine months of 2026 as compared to the year-ago period, primarily due to a 2% increase in regional flying activity and annual rate increases under United's capacity purchase agreements.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Distribution expenses increased $260 million, or 16.9%, in the first nine months of 2026 as compared to the year-ago period, primarily due to higher credit card fees and agency commissions driven by the overall increase in passenger revenue as well as the refinement of assumptions used in determining our credit card fees expense in the year-ago period.</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Aircraft rent increased $139 million, or 80.4%, in the first nine months of 2026 as compared to the year-ago period, primarily due to the addition of new leased aircraft to the Company's fleet.</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For details on the Company's Special charges (credits), see Note 10 to the financial statements included in Part I, Item 1 of this report.</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Other operating expenses increased $625 million, or 8.5%, in the first nine months of 2026 as compared to the year-ago period, primarily due to an increase in flight activity and number of passengers, including increased costs for catering, ground handling and passenger services, crew-related expenses, as well as expenditures related to information technology projects and services.</w:t>
      </w:r>
    </w:p>
    <w:p>
      <w:pPr>
        <w:pStyle w:val="TextBody"/>
        <w:bidi w:val="0"/>
        <w:spacing w:lineRule="auto" w:line="288" w:before="180" w:after="100"/>
        <w:jc w:val="left"/>
        <w:rPr/>
      </w:pPr>
      <w:r>
        <w:rPr>
          <w:rFonts w:ascii="Times New Roman;serif" w:hAnsi="Times New Roman;serif"/>
          <w:b/>
          <w:i/>
          <w:color w:val="000000"/>
          <w:sz w:val="20"/>
        </w:rPr>
        <w:t>Nonoperating Income (Expense).</w:t>
      </w:r>
      <w:r>
        <w:rPr>
          <w:color w:val="000000"/>
        </w:rPr>
        <w:t xml:space="preserve"> </w:t>
      </w:r>
      <w:r>
        <w:rPr>
          <w:rFonts w:ascii="Times New Roman;serif" w:hAnsi="Times New Roman;serif"/>
          <w:b w:val="false"/>
          <w:color w:val="000000"/>
          <w:sz w:val="20"/>
        </w:rPr>
        <w:t xml:space="preserve">The following table illustrates the year-over-year dollar and percentage changes in the Company's nonoperating income (expense) for the nine months ended September 30 (in millions, except for percentage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changes): </w:t>
      </w:r>
    </w:p>
    <w:tbl>
      <w:tblPr>
        <w:tblW w:w="9543" w:type="dxa"/>
        <w:jc w:val="left"/>
        <w:tblInd w:w="0" w:type="dxa"/>
        <w:tblLayout w:type="fixed"/>
        <w:tblCellMar>
          <w:top w:w="28" w:type="dxa"/>
          <w:left w:w="28" w:type="dxa"/>
          <w:bottom w:w="28" w:type="dxa"/>
          <w:right w:w="28" w:type="dxa"/>
        </w:tblCellMar>
      </w:tblPr>
      <w:tblGrid>
        <w:gridCol w:w="1359"/>
        <w:gridCol w:w="1190"/>
        <w:gridCol w:w="1201"/>
        <w:gridCol w:w="211"/>
        <w:gridCol w:w="691"/>
        <w:gridCol w:w="109"/>
        <w:gridCol w:w="109"/>
        <w:gridCol w:w="109"/>
        <w:gridCol w:w="109"/>
        <w:gridCol w:w="211"/>
        <w:gridCol w:w="691"/>
        <w:gridCol w:w="109"/>
        <w:gridCol w:w="109"/>
        <w:gridCol w:w="109"/>
        <w:gridCol w:w="109"/>
        <w:gridCol w:w="531"/>
        <w:gridCol w:w="946"/>
        <w:gridCol w:w="277"/>
        <w:gridCol w:w="109"/>
        <w:gridCol w:w="109"/>
        <w:gridCol w:w="109"/>
        <w:gridCol w:w="303"/>
        <w:gridCol w:w="303"/>
        <w:gridCol w:w="430"/>
      </w:tblGrid>
      <w:tr>
        <w:trPr/>
        <w:tc>
          <w:tcPr>
            <w:tcW w:w="135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investments,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Interest income decreased $33 million, or 6.9%, in the first nine months of 2026 as compared to the year-ago period, primarily due to lower interest rates.</w:t>
      </w:r>
    </w:p>
    <w:p>
      <w:pPr>
        <w:pStyle w:val="TextBody"/>
        <w:bidi w:val="0"/>
        <w:spacing w:lineRule="auto" w:line="288" w:before="180" w:after="100"/>
        <w:jc w:val="left"/>
        <w:rPr/>
      </w:pPr>
      <w:r>
        <w:rPr>
          <w:rFonts w:ascii="Times New Roman;serif" w:hAnsi="Times New Roman;serif"/>
          <w:b/>
          <w:i/>
          <w:color w:val="000000"/>
          <w:sz w:val="20"/>
        </w:rPr>
        <w:t xml:space="preserve">Income Taxes. </w:t>
      </w:r>
      <w:r>
        <w:rPr>
          <w:rFonts w:ascii="Times New Roman;serif" w:hAnsi="Times New Roman;serif"/>
          <w:b w:val="false"/>
          <w:color w:val="000000"/>
          <w:sz w:val="20"/>
        </w:rPr>
        <w:t>See Note 5 to the financial statements included in Part I, Item 1 of this report for information related to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Current Liquidity</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Company had $14.7 billion in unrestricted cash, cash equivalents and short-term investments, as compared to $12.2 billion at December 31, 2025. We believe that our existing cash, cash equivalents and short-term investments, together with cash generated from operations, will be sufficient to satisfy our anticipated liquidity needs for the next 12 months, and we expect to meet our long-term liquidity needs with our anticipated access to the capital markets and projected cash from operations.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 had $3.0 billion undrawn and available under its revolving credit facility as of September 30, 2026. No borrowings were outstanding under the revolving credit facility as of September 30, 2026. On October 16, 2026, the Company amended and restated its revolving credit facility to increase total commitments from $3.0 billion to $5.0 billion and to extend the maturity of the commitments to October 16, 2031. The amendment also reduced the applicable interest rate margins on borrowings under the facility. No borrowings were outstanding under the revolving credit facility as of the date of this report. See Note 8 to the financial statements included in Part I, Item 1 of this report and Part II, Item 5 (Other Information) for additional information regarding the Company's revolving credit facility.</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We have a significant amount of fixed obligations, including debt, leases of aircraft, airport and other facilities, and pension funding obligations. As of September 30, 2026, the Company had $34.3 billion of debt, finance lease, operating lease and other financial liabilities, including $2.8 billion that will become due in the next 12 months. In addition, we have substantial noncancelable commitments for capital expenditures, including the acquisition of certain new aircraft and related spare engines. Our debt agreements contain customary terms and conditions as well as various affirmative, negative and financial covenants that, among other things, limit the ability of the Company and its subsidiaries, under certain circumstances, to incur additional indebtedness and pay dividends or repurchase stock. As of September 30, 2026, the Company was in compliance with its covenants under these debt agreements. As of September 30, 2026, a substantial portion of the Company's assets, principally aircraft and certain related assets, certain route authorities and airport slots and gates, was pledged under various loan and other agreements. See Note 8 to the financial statements included in Part I, Item 1 of this report for additional information on aircraft financing and other debt instruments.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February 3, 2026, the Company entered into Amendment No. 4 to Term Loan Credit and Guaranty Agreement that lowered the margin on its interest rate from 2.00% to 1.75%, in the case of Term SOFR (as such term is defined in the Term Loan Credit and Guaranty Agreement, dated as of April 21, 2021, as amended) loans, and from 1.00% to 0.75%, in the case of loans at other market rates.</w:t>
      </w:r>
    </w:p>
    <w:p>
      <w:pPr>
        <w:pStyle w:val="TextBody"/>
        <w:bidi w:val="0"/>
        <w:spacing w:lineRule="auto" w:line="26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 has backstop financing commitments available from certain of its aircraft manufacturers for a limited number of its future aircraft deliveries, subject to certain customary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As of September 30, 2026, United had firm commitments to purchase aircraft from The Boeing Company ("Boeing") and Airbus S.A.S. ("Airbus") as presented in the table below:</w:t>
      </w:r>
    </w:p>
    <w:tbl>
      <w:tblPr>
        <w:tblW w:w="10205" w:type="dxa"/>
        <w:jc w:val="left"/>
        <w:tblInd w:w="0" w:type="dxa"/>
        <w:tblLayout w:type="fixed"/>
        <w:tblCellMar>
          <w:top w:w="28" w:type="dxa"/>
          <w:left w:w="28" w:type="dxa"/>
          <w:bottom w:w="28" w:type="dxa"/>
          <w:right w:w="28" w:type="dxa"/>
        </w:tblCellMar>
      </w:tblPr>
      <w:tblGrid>
        <w:gridCol w:w="485"/>
        <w:gridCol w:w="306"/>
        <w:gridCol w:w="307"/>
        <w:gridCol w:w="117"/>
        <w:gridCol w:w="117"/>
        <w:gridCol w:w="117"/>
        <w:gridCol w:w="497"/>
        <w:gridCol w:w="497"/>
        <w:gridCol w:w="499"/>
        <w:gridCol w:w="117"/>
        <w:gridCol w:w="117"/>
        <w:gridCol w:w="117"/>
        <w:gridCol w:w="362"/>
        <w:gridCol w:w="362"/>
        <w:gridCol w:w="364"/>
        <w:gridCol w:w="131"/>
        <w:gridCol w:w="131"/>
        <w:gridCol w:w="131"/>
        <w:gridCol w:w="219"/>
        <w:gridCol w:w="219"/>
        <w:gridCol w:w="175"/>
        <w:gridCol w:w="131"/>
        <w:gridCol w:w="131"/>
        <w:gridCol w:w="131"/>
        <w:gridCol w:w="314"/>
        <w:gridCol w:w="226"/>
        <w:gridCol w:w="216"/>
        <w:gridCol w:w="117"/>
        <w:gridCol w:w="117"/>
        <w:gridCol w:w="117"/>
        <w:gridCol w:w="362"/>
        <w:gridCol w:w="362"/>
        <w:gridCol w:w="364"/>
        <w:gridCol w:w="131"/>
        <w:gridCol w:w="131"/>
        <w:gridCol w:w="131"/>
        <w:gridCol w:w="219"/>
        <w:gridCol w:w="219"/>
        <w:gridCol w:w="175"/>
        <w:gridCol w:w="131"/>
        <w:gridCol w:w="131"/>
        <w:gridCol w:w="131"/>
        <w:gridCol w:w="310"/>
        <w:gridCol w:w="221"/>
        <w:gridCol w:w="300"/>
      </w:tblGrid>
      <w:tr>
        <w:trPr/>
        <w:tc>
          <w:tcPr>
            <w:tcW w:w="48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Contractual Aircraft Deliveries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Expected Aircraft Deliveries (b)</w:t>
            </w:r>
          </w:p>
        </w:tc>
      </w:tr>
      <w:tr>
        <w:trPr/>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Aircraft Type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Firm</w:t>
              <w:br/>
              <w:t> Commitments (a)</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Last Three Months of 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 2027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Last Three Months of 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After 2027</w:t>
            </w:r>
          </w:p>
        </w:tc>
      </w:tr>
      <w:tr>
        <w:trPr/>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737 MAX 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737 MAX 10</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A321neo</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A321XLR</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A350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United also has options and purchase rights for additional aircraft.</w:t>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 Expected aircraft deliveries reflect adjustments communicated by Boeing and Airbus or estimated by United. However, aircraft deliveries are subject to a number of variables, as further described in Part I, Item 1A. Risk Factors of the 2025 Form 10-K, and we cannot guarantee delivery of any particular aircraft at any specific time notwithstanding firm purchase commitments.</w:t>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aircraft listed in the table above are scheduled for delivery through 2034. The amount and timing of the Company's future capital commitments could change to the extent that: (i) the Company and the aircraft manufacturers, with whom the Company has existing orders for new aircraft, agree to modify (or further modify) the contracts governing those orders; (ii) rights are exercised pursuant to the relevant agreements to cancel deliveries or modify the timing of deliveries; or (iii) the aircraft manufacturers are unable to deliver in accordance with the terms of those orders.</w:t>
      </w: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Sources and Uses of Cash</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nine months ended September 30 (in millions):</w:t>
      </w:r>
    </w:p>
    <w:tbl>
      <w:tblPr>
        <w:tblW w:w="10205" w:type="dxa"/>
        <w:jc w:val="left"/>
        <w:tblInd w:w="0" w:type="dxa"/>
        <w:tblLayout w:type="fixed"/>
        <w:tblCellMar>
          <w:top w:w="28" w:type="dxa"/>
          <w:left w:w="28" w:type="dxa"/>
          <w:bottom w:w="28" w:type="dxa"/>
          <w:right w:w="28" w:type="dxa"/>
        </w:tblCellMar>
      </w:tblPr>
      <w:tblGrid>
        <w:gridCol w:w="1991"/>
        <w:gridCol w:w="1743"/>
        <w:gridCol w:w="1756"/>
        <w:gridCol w:w="109"/>
        <w:gridCol w:w="109"/>
        <w:gridCol w:w="109"/>
        <w:gridCol w:w="211"/>
        <w:gridCol w:w="616"/>
        <w:gridCol w:w="109"/>
        <w:gridCol w:w="109"/>
        <w:gridCol w:w="109"/>
        <w:gridCol w:w="109"/>
        <w:gridCol w:w="211"/>
        <w:gridCol w:w="690"/>
        <w:gridCol w:w="109"/>
        <w:gridCol w:w="109"/>
        <w:gridCol w:w="109"/>
        <w:gridCol w:w="109"/>
        <w:gridCol w:w="384"/>
        <w:gridCol w:w="1121"/>
        <w:gridCol w:w="283"/>
      </w:tblGrid>
      <w:tr>
        <w:trPr/>
        <w:tc>
          <w:tcPr>
            <w:tcW w:w="1991"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pPr>
      <w:r>
        <w:rPr>
          <w:rFonts w:ascii="Times New Roman;serif" w:hAnsi="Times New Roman;serif"/>
          <w:b/>
          <w:i/>
          <w:color w:val="000000"/>
          <w:sz w:val="20"/>
        </w:rPr>
        <w:t>Operating Activities.</w:t>
      </w:r>
      <w:r>
        <w:rPr>
          <w:color w:val="000000"/>
        </w:rPr>
        <w:t xml:space="preserve"> </w:t>
      </w:r>
      <w:r>
        <w:rPr>
          <w:rFonts w:ascii="Times New Roman;serif" w:hAnsi="Times New Roman;serif"/>
          <w:b w:val="false"/>
          <w:color w:val="000000"/>
          <w:sz w:val="20"/>
        </w:rPr>
        <w:t>Cash flows provided by operating activities decreased $271 million in the first nine months of 2026 as compared to the year-ago period, primarily due to a net change in various working capital items, primarily the one-time payment related to the flight attendant contract ratification, partially offset by an increase in advance ticket sales.</w:t>
      </w:r>
    </w:p>
    <w:p>
      <w:pPr>
        <w:pStyle w:val="TextBody"/>
        <w:bidi w:val="0"/>
        <w:spacing w:lineRule="auto" w:line="288" w:before="180" w:after="100"/>
        <w:jc w:val="left"/>
        <w:rPr/>
      </w:pPr>
      <w:r>
        <w:rPr>
          <w:rFonts w:ascii="Times New Roman;serif" w:hAnsi="Times New Roman;serif"/>
          <w:b/>
          <w:i/>
          <w:color w:val="000000"/>
          <w:sz w:val="20"/>
        </w:rPr>
        <w:t>Investing Activities.</w:t>
      </w:r>
      <w:r>
        <w:rPr>
          <w:color w:val="000000"/>
        </w:rPr>
        <w:t xml:space="preserve"> </w:t>
      </w:r>
      <w:r>
        <w:rPr>
          <w:rFonts w:ascii="Times New Roman;serif" w:hAnsi="Times New Roman;serif"/>
          <w:b w:val="false"/>
          <w:color w:val="000000"/>
          <w:sz w:val="20"/>
        </w:rPr>
        <w:t>Cash flows used in investing activities increased $2.4 billion in the first nine months of 2026 as compared to the year-ago period, primarily due to an increase in the purchase of short-term and other investments as well as an increase in capital expenditures attributable to the purchase of aircraft and related spare parts.</w:t>
      </w:r>
    </w:p>
    <w:p>
      <w:pPr>
        <w:pStyle w:val="TextBody"/>
        <w:bidi w:val="0"/>
        <w:spacing w:lineRule="auto" w:line="288" w:before="180" w:after="100"/>
        <w:jc w:val="left"/>
        <w:rPr/>
      </w:pPr>
      <w:r>
        <w:rPr>
          <w:rFonts w:ascii="Times New Roman;serif" w:hAnsi="Times New Roman;serif"/>
          <w:b/>
          <w:i/>
          <w:color w:val="000000"/>
          <w:sz w:val="20"/>
        </w:rPr>
        <w:t>Financing Activities.</w:t>
      </w:r>
      <w:r>
        <w:rPr>
          <w:color w:val="000000"/>
        </w:rPr>
        <w:t xml:space="preserve"> </w:t>
      </w:r>
      <w:r>
        <w:rPr>
          <w:rFonts w:ascii="Times New Roman;serif" w:hAnsi="Times New Roman;serif"/>
          <w:b w:val="false"/>
          <w:color w:val="000000"/>
          <w:sz w:val="20"/>
        </w:rPr>
        <w:t>Significant financing events in the nine months ended September 30, 2026 were as follows:</w:t>
      </w:r>
    </w:p>
    <w:p>
      <w:pPr>
        <w:pStyle w:val="TextBody"/>
        <w:bidi w:val="0"/>
        <w:spacing w:lineRule="auto" w:line="288" w:before="180" w:after="100"/>
        <w:jc w:val="left"/>
        <w:rPr/>
      </w:pPr>
      <w:r>
        <w:rPr>
          <w:rFonts w:ascii="Times New Roman;serif" w:hAnsi="Times New Roman;serif"/>
          <w:b w:val="false"/>
          <w:i/>
          <w:color w:val="000000"/>
          <w:sz w:val="20"/>
        </w:rPr>
        <w:t xml:space="preserve">Debt Issuances. </w:t>
      </w:r>
      <w:r>
        <w:rPr>
          <w:rFonts w:ascii="Times New Roman;serif" w:hAnsi="Times New Roman;serif"/>
          <w:b w:val="false"/>
          <w:color w:val="000000"/>
          <w:sz w:val="20"/>
        </w:rPr>
        <w:t>During the nine months ended September 30, 2026, the Company received and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ind w:left="0" w:right="0" w:hanging="360"/>
        <w:jc w:val="both"/>
        <w:rPr/>
      </w:pPr>
      <w:r>
        <w:rPr>
          <w:color w:val="000000"/>
        </w:rPr>
        <w:t>•</w:t>
      </w:r>
      <w:r>
        <w:rPr>
          <w:rFonts w:ascii="Times New Roman;serif" w:hAnsi="Times New Roman;serif"/>
          <w:b w:val="false"/>
          <w:color w:val="000000"/>
          <w:sz w:val="20"/>
        </w:rPr>
        <w:t>$1.0 billion from the issuance of 5.375% Senior Notes due 2031;</w:t>
      </w:r>
    </w:p>
    <w:p>
      <w:pPr>
        <w:pStyle w:val="TextBody"/>
        <w:bidi w:val="0"/>
        <w:spacing w:lineRule="auto" w:line="288" w:before="180" w:after="100"/>
        <w:ind w:left="0" w:right="0" w:hanging="360"/>
        <w:jc w:val="both"/>
        <w:rPr/>
      </w:pPr>
      <w:r>
        <w:rPr>
          <w:color w:val="000000"/>
        </w:rPr>
        <w:t>•</w:t>
      </w:r>
      <w:r>
        <w:rPr>
          <w:rFonts w:ascii="Times New Roman;serif" w:hAnsi="Times New Roman;serif"/>
          <w:b w:val="false"/>
          <w:color w:val="000000"/>
          <w:sz w:val="20"/>
        </w:rPr>
        <w:t>$1.0 billion from the issuance of 4.875% Senior Notes due 2029; and</w:t>
      </w:r>
    </w:p>
    <w:p>
      <w:pPr>
        <w:pStyle w:val="TextBody"/>
        <w:bidi w:val="0"/>
        <w:spacing w:lineRule="auto" w:line="288" w:before="180" w:after="100"/>
        <w:ind w:left="0" w:right="0" w:hanging="360"/>
        <w:jc w:val="both"/>
        <w:rPr/>
      </w:pPr>
      <w:r>
        <w:rPr>
          <w:color w:val="000000"/>
        </w:rPr>
        <w:t>•</w:t>
      </w:r>
      <w:r>
        <w:rPr>
          <w:rFonts w:ascii="Times New Roman;serif" w:hAnsi="Times New Roman;serif"/>
          <w:b w:val="false"/>
          <w:color w:val="000000"/>
          <w:sz w:val="20"/>
        </w:rPr>
        <w:t>$4.6 billion from various aircraft financings.</w:t>
      </w:r>
    </w:p>
    <w:p>
      <w:pPr>
        <w:pStyle w:val="TextBody"/>
        <w:bidi w:val="0"/>
        <w:spacing w:lineRule="auto" w:line="288" w:before="180" w:after="100"/>
        <w:jc w:val="left"/>
        <w:rPr/>
      </w:pPr>
      <w:r>
        <w:rPr>
          <w:rFonts w:ascii="Times New Roman;serif" w:hAnsi="Times New Roman;serif"/>
          <w:b w:val="false"/>
          <w:i/>
          <w:color w:val="000000"/>
          <w:sz w:val="20"/>
        </w:rPr>
        <w:t>Debt, Finance Lease and Other Financial Liability Principal Payments</w:t>
      </w:r>
      <w:r>
        <w:rPr>
          <w:rFonts w:ascii="Times New Roman;serif" w:hAnsi="Times New Roman;serif"/>
          <w:b w:val="false"/>
          <w:color w:val="000000"/>
          <w:sz w:val="20"/>
        </w:rPr>
        <w:t>. During the nine months ended September 30, 2026, the Company made payments for debt, finance leases, and other financial liabilities of $5.5 billion, including the redemption of $2.0 billion aggregate principal amount of the 4.375% Senior Secured Notes due 2026 and the partial prepayment of $0.6 billion aggregate principal amount of a $1.5 billion note issued to the U.S. Treasury under the Payroll Support Program due 2030.</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See Note 8 to the financial statements included in Part I, Item 1 of this report for additional information on debt issuances and debt prepayments.</w:t>
      </w:r>
    </w:p>
    <w:p>
      <w:pPr>
        <w:pStyle w:val="TextBody"/>
        <w:bidi w:val="0"/>
        <w:spacing w:lineRule="auto" w:line="288" w:before="180" w:after="100"/>
        <w:jc w:val="left"/>
        <w:rPr/>
      </w:pPr>
      <w:r>
        <w:rPr>
          <w:rFonts w:ascii="Times New Roman;serif" w:hAnsi="Times New Roman;serif"/>
          <w:b w:val="false"/>
          <w:i/>
          <w:color w:val="000000"/>
          <w:sz w:val="20"/>
        </w:rPr>
        <w:t xml:space="preserve">Share repurchase. </w:t>
      </w:r>
      <w:r>
        <w:rPr>
          <w:rFonts w:ascii="Times New Roman;serif" w:hAnsi="Times New Roman;serif"/>
          <w:b w:val="false"/>
          <w:color w:val="000000"/>
          <w:sz w:val="20"/>
        </w:rPr>
        <w:t>As part of our capital deployment program, the Company's Board of Directors authorized a share repurchase program in October 2024. In the nine months ended September 30, 2026, the Company repurchased, through open market purchases, 0.3 million shares of UAL common stock for a total of $27 million as part of its share repurchase program. The Company did not make any repurchases during the three months ended September 30, 2026.</w:t>
      </w:r>
    </w:p>
    <w:p>
      <w:pPr>
        <w:pStyle w:val="TextBody"/>
        <w:bidi w:val="0"/>
        <w:spacing w:lineRule="auto" w:line="288" w:before="180" w:after="100"/>
        <w:jc w:val="left"/>
        <w:rPr/>
      </w:pPr>
      <w:r>
        <w:rPr>
          <w:rFonts w:ascii="Times New Roman;serif" w:hAnsi="Times New Roman;serif"/>
          <w:b/>
          <w:i/>
          <w:color w:val="000000"/>
          <w:sz w:val="20"/>
        </w:rPr>
        <w:t>Credit Ratings.</w:t>
      </w:r>
      <w:r>
        <w:rPr>
          <w:color w:val="000000"/>
        </w:rPr>
        <w:t xml:space="preserve"> </w:t>
      </w:r>
      <w:r>
        <w:rPr>
          <w:rFonts w:ascii="Times New Roman;serif" w:hAnsi="Times New Roman;serif"/>
          <w:b w:val="false"/>
          <w:color w:val="000000"/>
          <w:sz w:val="20"/>
        </w:rPr>
        <w:t>As of the filing date of this report, UAL and United had the following corporate credit ratings:</w:t>
      </w:r>
    </w:p>
    <w:tbl>
      <w:tblPr>
        <w:tblW w:w="6712" w:type="dxa"/>
        <w:jc w:val="center"/>
        <w:tblInd w:w="0" w:type="dxa"/>
        <w:tblLayout w:type="fixed"/>
        <w:tblCellMar>
          <w:top w:w="28" w:type="dxa"/>
          <w:left w:w="28" w:type="dxa"/>
          <w:bottom w:w="28" w:type="dxa"/>
          <w:right w:w="28" w:type="dxa"/>
        </w:tblCellMar>
      </w:tblPr>
      <w:tblGrid>
        <w:gridCol w:w="466"/>
        <w:gridCol w:w="408"/>
        <w:gridCol w:w="416"/>
        <w:gridCol w:w="208"/>
        <w:gridCol w:w="208"/>
        <w:gridCol w:w="208"/>
        <w:gridCol w:w="303"/>
        <w:gridCol w:w="303"/>
        <w:gridCol w:w="307"/>
        <w:gridCol w:w="208"/>
        <w:gridCol w:w="208"/>
        <w:gridCol w:w="208"/>
        <w:gridCol w:w="515"/>
        <w:gridCol w:w="515"/>
        <w:gridCol w:w="517"/>
        <w:gridCol w:w="208"/>
        <w:gridCol w:w="208"/>
        <w:gridCol w:w="208"/>
        <w:gridCol w:w="319"/>
        <w:gridCol w:w="319"/>
        <w:gridCol w:w="452"/>
      </w:tblGrid>
      <w:tr>
        <w:trPr/>
        <w:tc>
          <w:tcPr>
            <w:tcW w:w="46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S&amp;P</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Moody's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Fitch</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Ba1</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w:t>
            </w:r>
          </w:p>
        </w:tc>
        <w:tc>
          <w:tcPr>
            <w:tcW w:w="62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c>
          <w:tcPr>
            <w:tcW w:w="62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w:t>
            </w:r>
          </w:p>
        </w:tc>
      </w:tr>
      <w:tr>
        <w:trPr/>
        <w:tc>
          <w:tcPr>
            <w:tcW w:w="67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agency does not issue corporate credit ratings for subsidiary entities. </w:t>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 Company was upgraded by S&amp;P in August 2025 and assigned a positive outlook in January 2026, upgraded by Moody's in November 2025 and assigned a stable outlook, and upgraded by Fitch in December 2025 and assigned a positive outlook in July 2026. A rating reflects only the view of a rating agency and is not a recommendation to buy, sell or hold securities. Ratings can be revised upward or downward at any time by a rating agency if such rating agency decides that circumstances warrant such a change. Downgrades from these rating levels, among other things, could restrict the availability, or increase the cost, of future financing for the Company as well as affect the fair market value of existing debt.</w:t>
      </w:r>
    </w:p>
    <w:p>
      <w:pPr>
        <w:pStyle w:val="TextBody"/>
        <w:bidi w:val="0"/>
        <w:spacing w:lineRule="auto" w:line="288" w:before="180" w:after="100"/>
        <w:jc w:val="left"/>
        <w:rPr/>
      </w:pPr>
      <w:r>
        <w:rPr>
          <w:rFonts w:ascii="Times New Roman;serif" w:hAnsi="Times New Roman;serif"/>
          <w:b/>
          <w:i/>
          <w:color w:val="000000"/>
          <w:sz w:val="20"/>
        </w:rPr>
        <w:t xml:space="preserve">Commitments, Contingencies and Liquidity Matters. </w:t>
      </w:r>
      <w:r>
        <w:rPr>
          <w:rFonts w:ascii="Times New Roman;serif" w:hAnsi="Times New Roman;serif"/>
          <w:b w:val="false"/>
          <w:color w:val="000000"/>
          <w:sz w:val="20"/>
        </w:rPr>
        <w:t>As described in the 2025 Form 10-K, the Company's liquidity may be adversely impacted by a variety of factors, including, but not limited to, pension funding obligations, reserve requirements associated with credit card processing agreements, guarantees, commitments and contingencies.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See the 2025 Form 10-K and Notes 6, 7, 8 and 9 to the financial statements contained in Part I, Item 1 of this report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See "Critical Accounting Policies" in Part II, Item 7, Management's Discussion and Analysis of Financial Condition and Results of Operations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FORWARD-LOOKING INFORMATION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contains certain "forward-looking statements," within the meaning of Section 27A of the Securities Act of 1933, as amended, and Section 21E of the Securities Exchange Act of 1934, as amended, including in Part I, Item 2. Management's Discussion and Analysis of Financial Condition and Results of Operations and elsewhere, relating to, among other things, goals, plans and projections regarding the Company's financial position, results of operations, capital allocation and investments, market position, airline capacity, fleet plan strategy, fares, booking trends, product development, corporate citizenship-related strategy initiatives and business strategy.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and other words and terms of similar meaning and expression are intended to identify forward-looking statements, although not all forward-looking statements contain such terms. All statements, other than those that relate solely to historical facts, are forward-looking statements.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report are based upon information available to us on the date of this report. We undertake no obligation to publicly update or revise any forward-looking statement, whether as a result of new information, future events, changed circumstances or otherwise, except as required by applicable law or regulation.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Our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unfavorable developments affecting our MileagePlus loyalty program; our reliance on a limited number of suppliers to source a majority of our aircraft, engines and certain parts, and the impact of any failure to obtain timely deliveries, additional equipment or support from any of these suppliers;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(including as a result of government shutdowns); geopolitical conflict, terrorist attacks or security events (including the suspension of our overflying in Russian airspace as a result of the Russia-Ukraine military conflict and interruptions of our flying as a result of military conflicts across the globe, as well as any escalation of the broader economic consequences of any conflicts beyond their current scope or a delay in any planned resumption of service to an area impacted by conflict); any damage to our reputation or brand image; disruptions to our regional network and United Express flights provided by third-party regional carriers;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as well as increased employee and retiree health, pension, labor or regulatory compliance costs on our operations or financial performance; any failure to recruit, hire, develop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including as a result of the geopolitical conflicts in the Middle East and in other regions; the impacts of our significant amount of financial leverage from fixed obligations and the impacts of insufficient liquidity on our financial condition and business; failure to comply with financial and other covenants governing our debt;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UAL common stock and warrants; and other risks and uncertainties set forth in Part I, Item 1A. Risk Factors, of our 2025 Form 10-K, and under "Key Trends Impacting Our Business" in Part I, Item 2. Management's Discussion and Analysis of Financial Condition and Results of Operations, of this report, as well as other risks and uncertainties set forth from time to time in the reports we file with the SEC.</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list sets forth many, but not all, of the factors that could impact our ability to achieve results described in any forward-looking statements. Investors should understand that it is not possible to predict or identify all such factors and should not consider this list to be a complete statement of all potential risks and uncertainties. It is routine for our internal projections and expectations to change as the year or each quarter in the year progresses, and therefore it should be clearly understood that the internal projections, beliefs and assumptions upon which we base our expectations may change. For instance, we regularly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monitor future demand and booking trends and adjust capacity, as needed. As such, our actual flown capacity may differ materially from currently published flight schedules or current estimations.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 from the information provided in Part II, Item 7A. Quantitative and Qualitative Disclosures About Market Risk,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Evaluation of Disclosure Control and Procedures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UAL and United each maintains controls and procedures that are designed to ensure that information required to be disclosed in the reports filed or submitted by UAL and United to the SEC is recorded, processed, summarized and reported, within the time periods specified by the SEC's rules and forms, and is accumulated and communicated to management, including the Chief Executive Officer and Chief Financial Officer, as appropriate, to allow timely decisions regarding required disclosure. The management of UAL and United, including the Chief Executive Officer and Chief Financial Officer, performed an evaluation to conclude with reasonable assurance that UAL's and United's disclosure controls and procedures were designed and operating effectively to report the information each company is required to disclose in the reports it files with the SEC on a timely basis. Based on that evaluation, the Chief Executive Officer and the Chief Financial Officer of UAL and United have concluded that as of September 30, 2026, disclosure controls and procedures were effective.</w:t>
      </w:r>
    </w:p>
    <w:p>
      <w:pPr>
        <w:pStyle w:val="TextBody"/>
        <w:bidi w:val="0"/>
        <w:spacing w:lineRule="auto" w:line="288" w:before="180" w:after="10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 during the Quarter Ended September 30, 2026</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there were no changes in UAL's or United's internal control over financial reporting that materially affected, or are reasonably likely to materially affect, their internal control over financial reporting (as defined in Rules 13a-15(f) and 15d-15(f)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See Part I, Item 3, Legal Proceedings, of the 2025 Form 10-K for a description of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See Part I, Item 1A. Risk Factors of the 2025 Form 10-K for a discussion of the risk factors affecting UAL and United.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 Issuer Purchases of Equity Securities: On October 15, 2024, the Company announced that its Board of Directors authorized a new share repurchase program with no stated expiration, allowing for purchases of up to $1.5 billion in the aggregate of outstanding UAL common stock and certain warrants to purchase UAL common stock. The Company did not make any repurchases in the three months ended September 30, 2026. As of October 15, 2026, the dollar value of shares that may yet be purchased under the share repurchase program was $755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(a) The information set forth below is included for the purpose of providing disclosure under “Item 1.01—Entry into a Material Definitive Agreement” and “Item 2.03—Creation of a Direct Financial Obligation or an Obligation Under an Off-Balance Sheet Arrangement of a Registrant” of Form 8-K.</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16, 2026, United entered into a Second Amended and Restated Revolving Credit and Guaranty Agreement (the "Revolving Credit Facility") among United, as borrower, UAL, as parent and guarantor, certain subsidiaries of UAL, as guarantors, the lenders party thereto, JPMorgan Chase Bank, N.A., as administrative agent, and Wilmington Trust, National Association, not in its individual capacity, except as expressly stated therein, but solely as collateral trustee (the "Collateral Trustee"). The Revolving Credit Facility amends and restates United's existing revolving credit facility to increase total revolving loan commitments from $3.0 billion to $5.0 billion and to extend the maturity from February 15, 2029 to October 16, 2031. Revolving Loans (as defined in the Revolving Credit Facility) bear interest at Term SOFR (as defined in the Revolving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tbl>
      <w:tblPr>
        <w:tblW w:w="2273"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Credit Facility) or, at United's election, another rate based on certain market interest rates, in each case subject to a floor, plus a margin based on United's credit ratings ranging from 1.000% to 1.875% for Term SOFR loans and 0.000% to 0.875% for loans at other market rates. United has not made any drawings under the Revolving Credit Facility as of the date of this report.</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is secured on a senior basis by security interests granted by United to the Collateral Trustee in, subject to certain exclusions, all of United's U.S. Department of Transportation route authorities to operate scheduled service between international airports in the United States and international airports in other countries (except Cuba), its rights to substantially all of its foreign and domestic take-off and landing slots (including at John F. Kennedy International Airport, LaGuardia Airport and Ronald Reagan Washington National Airport) and to the extent necessary at the relevant time of determination for servicing the scheduled air carrier service authorized by an applicable route authority, its rights to use or occupy airport terminal space (the "Collateral"). The Collateral also secures on a senior basis United's Term Loan Credit and Guaranty Agreement, dated as of April 21, 2021, as amended, and the Company's 4.625% Senior Secured Notes due 2029. United may be required to pledge additional collateral in the future under the terms of the Revolving Credit Facility.</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also contains mandatory prepayment provisions in connection with dispositions of collateral and, subject to certain cure rights, upon failure to comply with the minimum Collateral Coverage Ratio (as defined in the Revolving Credit Facility). Additionally, the Revolving Credit Facility provides that the lenders may require us to prepay all or a specified portion of such lenders' Revolving Loans if a Change of Control (as defined in the Revolving Credit Facility) occurs and such lender accepts a Change of Control Offer (as defined in the Revolving Credit Facility). In no event will a prepayment premium be payable for a mandatory prepayment or acceleration.</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contains negative covenants that, among other things, limit our ability under certain circumstances to create liens on, or dispose of, Collateral, incur additional debt secured on a senior or junior basis by Collateral and consolidate, merge, or dispose of all or substantially all of our assets. The Revolving Credit Facility also contains financial covenants that require us to maintain unrestricted liquidity of at least $2.0 billion and a minimum Collateral Coverage Ratio of 1.6 to 1.0.</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also contains customary events of default, including, among others, nonpayment, covenant breaches, material inaccuracy of representations, cross-payment default and cross-acceleration to other material indebtedness and certain bankruptcy and insolvency events, subject in certain cases to grace periods and thresholds. Upon an event of default, the outstanding obligations may be accelerated and, upon certain bankruptcy or insolvency events of United, will be accelerated automatically.</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Revolving Credit Facility does not purport to be complete and is qualified in its entirety by reference to the full text of the Revolving Credit Facility, which is filed as Exhibit 10.1 to this Quarterly Report on Form 10-Q and is incorporated herein by reference.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 No director or "officer" (as defined in Rule 16a-1(f) under the Exchange Act) of the Company or United informed the Company or United of the adoption, modification or termination of a "Rule 10b5-1 trading arrangement" or a "non-Rule 10b5-1 trading arrangement," as each term is defined in Item 408(a) of Regulation S-K under the Exchange Act, during the period covered by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32"/>
        <w:gridCol w:w="116"/>
        <w:gridCol w:w="116"/>
        <w:gridCol w:w="116"/>
        <w:gridCol w:w="116"/>
        <w:gridCol w:w="116"/>
        <w:gridCol w:w="290"/>
        <w:gridCol w:w="290"/>
        <w:gridCol w:w="291"/>
        <w:gridCol w:w="2580"/>
        <w:gridCol w:w="2493"/>
        <w:gridCol w:w="3549"/>
      </w:tblGrid>
      <w:tr>
        <w:trPr/>
        <w:tc>
          <w:tcPr>
            <w:tcW w:w="1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3549" w:type="dxa"/>
            <w:tcBorders/>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Registrant</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r>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9302026xex101.htm">
              <w:r>
                <w:rPr>
                  <w:rStyle w:val="InternetLink"/>
                  <w:rFonts w:ascii="Times New Roman;serif" w:hAnsi="Times New Roman;serif"/>
                  <w:b w:val="false"/>
                  <w:color w:val="0000FF"/>
                  <w:sz w:val="20"/>
                  <w:u w:val="single"/>
                </w:rPr>
                <w:t>Second Amended and Restated Revolving Credit and Guaranty Agreement, dated as of October 16, 2026, among United Airlines, Inc., United Airlines Holdings, Inc., each of the several banks and other financial institutions or entities from time to time party thereto, as lenders, JPMorgan Chase Bank, N.A., as administrative agent, and Wilmington Trust, National Association, not in its individual capacity, except as expressly stated therein, but solely as collateral trustee</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9302026xex102.htm">
              <w:r>
                <w:rPr>
                  <w:rStyle w:val="InternetLink"/>
                  <w:rFonts w:ascii="Times New Roman;serif" w:hAnsi="Times New Roman;serif"/>
                  <w:b w:val="false"/>
                  <w:color w:val="0000FF"/>
                  <w:sz w:val="20"/>
                  <w:u w:val="single"/>
                </w:rPr>
                <w:t>Amendment No. 11, dated as of July 31, 2026, to the Amended and Restated A350-900 Purchase Agreement, dated as of September 1, 2017, including a letter agreement related thereto, between Airbus S.A.S. and United Airlines, Inc.</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9302026xex103.htm">
              <w:r>
                <w:rPr>
                  <w:rStyle w:val="InternetLink"/>
                  <w:rFonts w:ascii="Times New Roman;serif" w:hAnsi="Times New Roman;serif"/>
                  <w:b w:val="false"/>
                  <w:color w:val="0000FF"/>
                  <w:sz w:val="20"/>
                  <w:u w:val="single"/>
                </w:rPr>
                <w:t>Supplemental Agreement No. 17 to Purchase Agreement No. 04815, dated as of August 28, 2026, between The Boeing Company and United Airlines, Inc.</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9302026xex104.htm">
              <w:r>
                <w:rPr>
                  <w:rStyle w:val="InternetLink"/>
                  <w:rFonts w:ascii="Times New Roman;serif" w:hAnsi="Times New Roman;serif"/>
                  <w:b w:val="false"/>
                  <w:color w:val="0000FF"/>
                  <w:sz w:val="20"/>
                  <w:u w:val="single"/>
                </w:rPr>
                <w:t>Letter Agreement No. UAL-MISC-2603195, dated June 17, 2026, to Aircraft Purchase Agreement Nos. 04815, 03776 and 04761 (and related Aircraft General Terms Agreements) between The Boeing Company and United Airlines, Inc.</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9302026xex105.htm">
              <w:r>
                <w:rPr>
                  <w:rStyle w:val="InternetLink"/>
                  <w:rFonts w:ascii="Times New Roman;serif" w:hAnsi="Times New Roman;serif"/>
                  <w:b w:val="false"/>
                  <w:color w:val="0000FF"/>
                  <w:sz w:val="20"/>
                  <w:u w:val="single"/>
                </w:rPr>
                <w:t>Letter Agreement No. UAL-MISC-2605350, dated September 30, 2026, to Aircraft Purchase Agreement Nos. 04815, 03776 and 04761 (and related Aircraft General Terms Agreements) between The Boeing Company and United Airlines, Inc.</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9302026xex311.htm">
              <w:r>
                <w:rPr>
                  <w:rStyle w:val="InternetLink"/>
                  <w:rFonts w:ascii="Times New Roman;serif" w:hAnsi="Times New Roman;serif"/>
                  <w:b w:val="false"/>
                  <w:color w:val="0000FF"/>
                  <w:sz w:val="20"/>
                  <w:u w:val="single"/>
                </w:rPr>
                <w:t>Certification of the Principal Executive Officer of United Airlines Holdings, Inc. Pursuant to 15 U.S.C. 78m(a) or 78o(d) (Section 302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9302026xex312.htm">
              <w:r>
                <w:rPr>
                  <w:rStyle w:val="InternetLink"/>
                  <w:rFonts w:ascii="Times New Roman;serif" w:hAnsi="Times New Roman;serif"/>
                  <w:b w:val="false"/>
                  <w:color w:val="0000FF"/>
                  <w:sz w:val="20"/>
                  <w:u w:val="single"/>
                </w:rPr>
                <w:t>Certification of the Principal Financial Officer of United Airlines Holdings, Inc. Pursuant to 15 U.S.C. 78m(a) or 78o(d) (Section 302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9302026xex313.htm">
              <w:r>
                <w:rPr>
                  <w:rStyle w:val="InternetLink"/>
                  <w:rFonts w:ascii="Times New Roman;serif" w:hAnsi="Times New Roman;serif"/>
                  <w:b w:val="false"/>
                  <w:color w:val="0000FF"/>
                  <w:sz w:val="20"/>
                  <w:u w:val="single"/>
                </w:rPr>
                <w:t>Certification of the Principal Executive Officer of United Airlines, Inc. Pursuant to 15 U.S.C. 78m(a) or 78o(d) (Section 302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31.4</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9302026xex314.htm">
              <w:r>
                <w:rPr>
                  <w:rStyle w:val="InternetLink"/>
                  <w:rFonts w:ascii="Times New Roman;serif" w:hAnsi="Times New Roman;serif"/>
                  <w:b w:val="false"/>
                  <w:color w:val="0000FF"/>
                  <w:sz w:val="20"/>
                  <w:u w:val="single"/>
                </w:rPr>
                <w:t>Certification of the Principal Financial Officer of United Airlines, Inc. Pursuant to 15 U.S.C. 78m(a) or 78o(d) (Section 302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9302026xex321.htm">
              <w:r>
                <w:rPr>
                  <w:rStyle w:val="InternetLink"/>
                  <w:rFonts w:ascii="Times New Roman;serif" w:hAnsi="Times New Roman;serif"/>
                  <w:b w:val="false"/>
                  <w:color w:val="0000FF"/>
                  <w:sz w:val="20"/>
                  <w:u w:val="single"/>
                </w:rPr>
                <w:t>Certification of the Chief Executive Officer and Chief Financial Officer of United Airlines Holdings, Inc. Pursuant to 18 U.S.C. 1350 (Section 906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10qx09302026xex322.htm">
              <w:r>
                <w:rPr>
                  <w:rStyle w:val="InternetLink"/>
                  <w:rFonts w:ascii="Times New Roman;serif" w:hAnsi="Times New Roman;serif"/>
                  <w:b w:val="false"/>
                  <w:color w:val="0000FF"/>
                  <w:sz w:val="20"/>
                  <w:u w:val="single"/>
                </w:rPr>
                <w:t>Certification of the Chief Executive Officer and Chief Financial Officer of United Airlines, Inc. Pursuant to 18 U.S.C. 1350 (Section 906 of the Sarbanes-Oxley Act of 2002)</w:t>
              </w:r>
            </w:hyperlink>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combined Quarterly Report of UAL and United on Form 10-Q for the quarter ended September 30, 2026, formatted in Inline XBRL: (i) Statements of Consolidated Operations, (ii) Statements of Consolidated Comprehensive Income (Loss), (iii) Consolidated Balance Sheets, (iv) Condensed Statements of Consolidated Cash Flows, (v) Statements of Consolidated Stockholders' Equity and (vi) Combined Notes to Condensed Consolidated Financial Statements, tagged as blocks of text and including detailed tags.</w:t>
            </w:r>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UAL</w:t>
              <w:br/>
              <w:t>United</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r>
        <w:trPr/>
        <w:tc>
          <w:tcPr>
            <w:tcW w:w="7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Portions of the referenced exhibit have been omitted pursuant to Item 601(b) of Regulation S-K.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tbl>
      <w:tblPr>
        <w:tblW w:w="2273" w:type="dxa"/>
        <w:jc w:val="left"/>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f471e244a14b75bac99a76a2dd9fca_7">
              <w:r>
                <w:rPr>
                  <w:rStyle w:val="InternetLink"/>
                  <w:rFonts w:ascii="Times New Roman;serif" w:hAnsi="Times New Roman;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each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9373"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281"/>
        <w:gridCol w:w="281"/>
        <w:gridCol w:w="281"/>
        <w:gridCol w:w="281"/>
        <w:gridCol w:w="281"/>
        <w:gridCol w:w="281"/>
        <w:gridCol w:w="1638"/>
        <w:gridCol w:w="1638"/>
        <w:gridCol w:w="164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Airlines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Brigitte Bokemeier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Brigitte Bokemeier</w:t>
              <w:br/>
              <w:t>Vice President and Controller</w:t>
              <w:br/>
              <w:t>(Duly Authorized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Airlines,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Brigitte Bokemeier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Brigitte Bokemeier</w:t>
              <w:br/>
              <w:t>Vice President and Controller</w:t>
              <w:br/>
              <w:t>(Duly Authorized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92"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SECOND AMENDED AND RESTATED REVOLVING CREDIT AND GUARANTY AGREEMENT</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dated as of October 16, 2026</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among</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UNITED AIRLINES, INC.,</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as Borrower,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UNITED AIRLINES HOLDINGS, INC.,</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as Parent and a Guarantor,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THE SUBSIDIARIES OF THE PARENT PARTY HERETO </w:t>
        <w:br/>
        <w:t>OTHER THAN THE BORROWER,</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as Guarantors,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THE LENDERS PARTY HERETO,</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JPMORGAN CHASE BANK, N.A.,</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as Administrative Agent,</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WILMINGTON TRUST, NATIONAL ASSOCIATION,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 in its individual capacity,</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except as expressly stated herein,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but solely as Collateral Trustee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JPMORGAN CHASE BANK, N.A., BARCLAYS BANK PLC, BOFA SECURITIES, INC., BNP PARIBAS SECURITIES CORP., CITIGROUP GLOBAL MARKETS INC., CREDIT AGRICOLE CORPORATE AND INVESTMENT BANK, DEUTSCHE BANK SECURITIES INC., GOLDMAN SACHS BANK USA, ING CAPITAL LLC, MIZUHO BANK, LTD., MORGAN STANLEY SENIOR FUNDING, INC., MORGAN STANLEY BANK, N.A., MUFG BANK, LTD., NATIXIS, NEW YORK BRANCH AND NATIONAL WESTMINSTER BANK PLC, </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as Joint Lead Arrangers and Bookrunners,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BANCO BILBAO VIZCAYA ARGENTARIA, S.A. NEW YORK BRANCH, THE BANK OF NEW YORK MELLON, CANADIAN IMPERIAL BANK OF COMMERCE, NEW YORK BRANCH, THE BANK OF NOVA SCOTIA, U.S. BANK NATIONAL ASSOCIATION WELLS FARGO BANK, NATIONAL ASSOCIATION, AND STANDARD CHARTERED BANK,</w:t>
      </w:r>
    </w:p>
    <w:p>
      <w:pPr>
        <w:pStyle w:val="TextBody"/>
        <w:bidi w:val="0"/>
        <w:spacing w:lineRule="auto" w:line="288" w:before="60" w:after="120"/>
        <w:jc w:val="center"/>
        <w:rPr>
          <w:rFonts w:ascii="Times New Roman;serif" w:hAnsi="Times New Roman;serif"/>
          <w:b w:val="false"/>
          <w:color w:val="000000"/>
          <w:sz w:val="24"/>
        </w:rPr>
      </w:pPr>
      <w:r>
        <w:rPr>
          <w:rFonts w:ascii="Times New Roman;serif" w:hAnsi="Times New Roman;serif"/>
          <w:b w:val="false"/>
          <w:color w:val="000000"/>
          <w:sz w:val="24"/>
        </w:rPr>
        <w:t>as Joint Lead Arrangers,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CRÉDIT INDUSTRIEL ET COMMERCIAL, NEW YORK BRANCH AND BANK OF CHINA LIMITED, NEW YORK BRANCH,</w:t>
      </w:r>
    </w:p>
    <w:p>
      <w:pPr>
        <w:pStyle w:val="TextBody"/>
        <w:bidi w:val="0"/>
        <w:spacing w:lineRule="auto" w:line="288" w:before="60" w:after="283"/>
        <w:jc w:val="center"/>
        <w:rPr>
          <w:rFonts w:ascii="Times New Roman;serif" w:hAnsi="Times New Roman;serif"/>
          <w:b w:val="false"/>
          <w:color w:val="000000"/>
          <w:sz w:val="24"/>
        </w:rPr>
      </w:pPr>
      <w:r>
        <w:rPr>
          <w:rFonts w:ascii="Times New Roman;serif" w:hAnsi="Times New Roman;serif"/>
          <w:b w:val="false"/>
          <w:color w:val="000000"/>
          <w:sz w:val="24"/>
        </w:rPr>
        <w:t>as Documentation Agents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14960"/>
                <wp:effectExtent l="0" t="0" r="0" b="0"/>
                <wp:wrapNone/>
                <wp:docPr id="36" name="Frame3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240" w:after="60"/>
        <w:jc w:val="left"/>
        <w:rPr/>
      </w:pPr>
      <w:r>
        <w:rPr/>
      </w:r>
    </w:p>
    <w:tbl>
      <w:tblPr>
        <w:tblW w:w="8130" w:type="dxa"/>
        <w:jc w:val="left"/>
        <w:tblInd w:w="0" w:type="dxa"/>
        <w:tblLayout w:type="fixed"/>
        <w:tblCellMar>
          <w:top w:w="28" w:type="dxa"/>
          <w:left w:w="28" w:type="dxa"/>
          <w:bottom w:w="28" w:type="dxa"/>
          <w:right w:w="28" w:type="dxa"/>
        </w:tblCellMar>
      </w:tblPr>
      <w:tblGrid>
        <w:gridCol w:w="2809"/>
        <w:gridCol w:w="2465"/>
        <w:gridCol w:w="2465"/>
        <w:gridCol w:w="114"/>
        <w:gridCol w:w="114"/>
        <w:gridCol w:w="163"/>
      </w:tblGrid>
      <w:tr>
        <w:trPr/>
        <w:tc>
          <w:tcPr>
            <w:tcW w:w="2809"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28"/>
              <w:jc w:val="both"/>
              <w:rPr/>
            </w:pPr>
            <w:hyperlink w:anchor="i8e8c9786f056477a9f3331a0611fc216">
              <w:r>
                <w:rPr>
                  <w:rStyle w:val="InternetLink"/>
                  <w:rFonts w:ascii="Times New Roman;serif" w:hAnsi="Times New Roman;serif"/>
                  <w:b w:val="false"/>
                  <w:strike w:val="false"/>
                  <w:dstrike w:val="false"/>
                  <w:color w:val="000000"/>
                  <w:sz w:val="24"/>
                  <w:u w:val="none"/>
                  <w:effect w:val="none"/>
                </w:rPr>
                <w:t>SECTION 1.</w:t>
                <w:br/>
                <w:br/>
                <w:t>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8c9786f056477a9f3331a0611fc216">
              <w:r>
                <w:rPr>
                  <w:rStyle w:val="InternetLink"/>
                  <w:rFonts w:ascii="Times New Roman;serif" w:hAnsi="Times New Roman;serif"/>
                  <w:b w:val="false"/>
                  <w:strike w:val="false"/>
                  <w:dstrike w:val="false"/>
                  <w:color w:val="000000"/>
                  <w:sz w:val="24"/>
                  <w:u w:val="none"/>
                  <w:effect w:val="none"/>
                </w:rPr>
                <w:t>2</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2ccb3906d69c4091ac494e95ae7b31b8">
              <w:r>
                <w:rPr>
                  <w:rStyle w:val="InternetLink"/>
                  <w:rFonts w:ascii="Times New Roman;serif" w:hAnsi="Times New Roman;serif"/>
                  <w:b w:val="false"/>
                  <w:strike w:val="false"/>
                  <w:dstrike w:val="false"/>
                  <w:color w:val="000000"/>
                  <w:sz w:val="24"/>
                  <w:u w:val="none"/>
                  <w:effect w:val="none"/>
                </w:rPr>
                <w:t>Section 1.01.    Defined Terms.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cb3906d69c4091ac494e95ae7b31b8">
              <w:r>
                <w:rPr>
                  <w:rStyle w:val="InternetLink"/>
                  <w:rFonts w:ascii="Times New Roman;serif" w:hAnsi="Times New Roman;serif"/>
                  <w:b w:val="false"/>
                  <w:strike w:val="false"/>
                  <w:dstrike w:val="false"/>
                  <w:color w:val="000000"/>
                  <w:sz w:val="24"/>
                  <w:u w:val="none"/>
                  <w:effect w:val="none"/>
                </w:rPr>
                <w:t>2</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7835f314b16f4ea885023d1631a348fa">
              <w:r>
                <w:rPr>
                  <w:rStyle w:val="InternetLink"/>
                  <w:rFonts w:ascii="Times New Roman;serif" w:hAnsi="Times New Roman;serif"/>
                  <w:b w:val="false"/>
                  <w:strike w:val="false"/>
                  <w:dstrike w:val="false"/>
                  <w:color w:val="000000"/>
                  <w:sz w:val="24"/>
                  <w:u w:val="none"/>
                  <w:effect w:val="none"/>
                </w:rPr>
                <w:t xml:space="preserve">Section 1.02.    Terms Generally.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35f314b16f4ea885023d1631a348fa">
              <w:r>
                <w:rPr>
                  <w:rStyle w:val="InternetLink"/>
                  <w:rFonts w:ascii="Times New Roman;serif" w:hAnsi="Times New Roman;serif"/>
                  <w:b w:val="false"/>
                  <w:strike w:val="false"/>
                  <w:dstrike w:val="false"/>
                  <w:color w:val="000000"/>
                  <w:sz w:val="24"/>
                  <w:u w:val="none"/>
                  <w:effect w:val="none"/>
                </w:rPr>
                <w:t>47</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ee35e79d6b994bc1b7aa79b867d34cca">
              <w:r>
                <w:rPr>
                  <w:rStyle w:val="InternetLink"/>
                  <w:rFonts w:ascii="Times New Roman;serif" w:hAnsi="Times New Roman;serif"/>
                  <w:b w:val="false"/>
                  <w:strike w:val="false"/>
                  <w:dstrike w:val="false"/>
                  <w:color w:val="000000"/>
                  <w:sz w:val="24"/>
                  <w:u w:val="none"/>
                  <w:effect w:val="none"/>
                </w:rPr>
                <w:t xml:space="preserve">Section 1.03.    Accounting Terms; GAAP.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35e79d6b994bc1b7aa79b867d34cca">
              <w:r>
                <w:rPr>
                  <w:rStyle w:val="InternetLink"/>
                  <w:rFonts w:ascii="Times New Roman;serif" w:hAnsi="Times New Roman;serif"/>
                  <w:b w:val="false"/>
                  <w:strike w:val="false"/>
                  <w:dstrike w:val="false"/>
                  <w:color w:val="000000"/>
                  <w:sz w:val="24"/>
                  <w:u w:val="none"/>
                  <w:effect w:val="none"/>
                </w:rPr>
                <w:t>48</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eef7679ed0d04d1385001fc6d2b0ad2f">
              <w:r>
                <w:rPr>
                  <w:rStyle w:val="InternetLink"/>
                  <w:rFonts w:ascii="Times New Roman;serif" w:hAnsi="Times New Roman;serif"/>
                  <w:b w:val="false"/>
                  <w:strike w:val="false"/>
                  <w:dstrike w:val="false"/>
                  <w:color w:val="000000"/>
                  <w:sz w:val="24"/>
                  <w:u w:val="none"/>
                  <w:effect w:val="none"/>
                </w:rPr>
                <w:t xml:space="preserve">Section 1.04.    Divisions.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f7679ed0d04d1385001fc6d2b0ad2f">
              <w:r>
                <w:rPr>
                  <w:rStyle w:val="InternetLink"/>
                  <w:rFonts w:ascii="Times New Roman;serif" w:hAnsi="Times New Roman;serif"/>
                  <w:b w:val="false"/>
                  <w:strike w:val="false"/>
                  <w:dstrike w:val="false"/>
                  <w:color w:val="000000"/>
                  <w:sz w:val="24"/>
                  <w:u w:val="none"/>
                  <w:effect w:val="none"/>
                </w:rPr>
                <w:t>48</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696f22e6ab6b4aa9916870f2938b20f0">
              <w:r>
                <w:rPr>
                  <w:rStyle w:val="InternetLink"/>
                  <w:rFonts w:ascii="Times New Roman;serif" w:hAnsi="Times New Roman;serif"/>
                  <w:b w:val="false"/>
                  <w:strike w:val="false"/>
                  <w:dstrike w:val="false"/>
                  <w:color w:val="000000"/>
                  <w:sz w:val="24"/>
                  <w:u w:val="none"/>
                  <w:effect w:val="none"/>
                </w:rPr>
                <w:t xml:space="preserve">Section 1.05.    Interest Rates; Benchmark Notification.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6f22e6ab6b4aa9916870f2938b20f0">
              <w:r>
                <w:rPr>
                  <w:rStyle w:val="InternetLink"/>
                  <w:rFonts w:ascii="Times New Roman;serif" w:hAnsi="Times New Roman;serif"/>
                  <w:b w:val="false"/>
                  <w:strike w:val="false"/>
                  <w:dstrike w:val="false"/>
                  <w:color w:val="000000"/>
                  <w:sz w:val="24"/>
                  <w:u w:val="none"/>
                  <w:effect w:val="none"/>
                </w:rPr>
                <w:t>48</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2a2b5e45a780410fa483c9b081c94434">
              <w:r>
                <w:rPr>
                  <w:rStyle w:val="InternetLink"/>
                  <w:rFonts w:ascii="Times New Roman;serif" w:hAnsi="Times New Roman;serif"/>
                  <w:b w:val="false"/>
                  <w:strike w:val="false"/>
                  <w:dstrike w:val="false"/>
                  <w:color w:val="000000"/>
                  <w:sz w:val="24"/>
                  <w:u w:val="none"/>
                  <w:effect w:val="none"/>
                </w:rPr>
                <w:t xml:space="preserve">Section 1.06.    Acknowledgement Regarding Any Supported QFCs.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2b5e45a780410fa483c9b081c94434">
              <w:r>
                <w:rPr>
                  <w:rStyle w:val="InternetLink"/>
                  <w:rFonts w:ascii="Times New Roman;serif" w:hAnsi="Times New Roman;serif"/>
                  <w:b w:val="false"/>
                  <w:strike w:val="false"/>
                  <w:dstrike w:val="false"/>
                  <w:color w:val="000000"/>
                  <w:sz w:val="24"/>
                  <w:u w:val="none"/>
                  <w:effect w:val="none"/>
                </w:rPr>
                <w:t>49</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28"/>
              <w:jc w:val="both"/>
              <w:rPr/>
            </w:pPr>
            <w:hyperlink w:anchor="iabcb43a885614ea191c31931295afdce">
              <w:r>
                <w:rPr>
                  <w:rStyle w:val="InternetLink"/>
                  <w:rFonts w:ascii="Times New Roman;serif" w:hAnsi="Times New Roman;serif"/>
                  <w:b w:val="false"/>
                  <w:strike w:val="false"/>
                  <w:dstrike w:val="false"/>
                  <w:color w:val="000000"/>
                  <w:sz w:val="24"/>
                  <w:u w:val="none"/>
                  <w:effect w:val="none"/>
                </w:rPr>
                <w:t>SECTION 2.</w:t>
                <w:br/>
                <w:br/>
                <w:t>AMOUNT AND TERMS OF CREDIT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cb43a885614ea191c31931295afdce">
              <w:r>
                <w:rPr>
                  <w:rStyle w:val="InternetLink"/>
                  <w:rFonts w:ascii="Times New Roman;serif" w:hAnsi="Times New Roman;serif"/>
                  <w:b w:val="false"/>
                  <w:strike w:val="false"/>
                  <w:dstrike w:val="false"/>
                  <w:color w:val="000000"/>
                  <w:sz w:val="24"/>
                  <w:u w:val="none"/>
                  <w:effect w:val="none"/>
                </w:rPr>
                <w:t>50</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0df0d977a95c426497076fe7081af2de">
              <w:r>
                <w:rPr>
                  <w:rStyle w:val="InternetLink"/>
                  <w:rFonts w:ascii="Times New Roman;serif" w:hAnsi="Times New Roman;serif"/>
                  <w:b w:val="false"/>
                  <w:strike w:val="false"/>
                  <w:dstrike w:val="false"/>
                  <w:color w:val="000000"/>
                  <w:sz w:val="24"/>
                  <w:u w:val="none"/>
                  <w:effect w:val="none"/>
                </w:rPr>
                <w:t>Section 2.01.    Commitments of the Lenders.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f0d977a95c426497076fe7081af2de">
              <w:r>
                <w:rPr>
                  <w:rStyle w:val="InternetLink"/>
                  <w:rFonts w:ascii="Times New Roman;serif" w:hAnsi="Times New Roman;serif"/>
                  <w:b w:val="false"/>
                  <w:strike w:val="false"/>
                  <w:dstrike w:val="false"/>
                  <w:color w:val="000000"/>
                  <w:sz w:val="24"/>
                  <w:u w:val="none"/>
                  <w:effect w:val="none"/>
                </w:rPr>
                <w:t>50</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89d8bf53c81149dd8db8525475216f2e">
              <w:r>
                <w:rPr>
                  <w:rStyle w:val="InternetLink"/>
                  <w:rFonts w:ascii="Times New Roman;serif" w:hAnsi="Times New Roman;serif"/>
                  <w:b w:val="false"/>
                  <w:strike w:val="false"/>
                  <w:dstrike w:val="false"/>
                  <w:color w:val="000000"/>
                  <w:sz w:val="24"/>
                  <w:u w:val="none"/>
                  <w:effect w:val="none"/>
                </w:rPr>
                <w:t>Section 2.02.    Letters of Credit.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d8bf53c81149dd8db8525475216f2e">
              <w:r>
                <w:rPr>
                  <w:rStyle w:val="InternetLink"/>
                  <w:rFonts w:ascii="Times New Roman;serif" w:hAnsi="Times New Roman;serif"/>
                  <w:b w:val="false"/>
                  <w:strike w:val="false"/>
                  <w:dstrike w:val="false"/>
                  <w:color w:val="000000"/>
                  <w:sz w:val="24"/>
                  <w:u w:val="none"/>
                  <w:effect w:val="none"/>
                </w:rPr>
                <w:t>51</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7f9a508d199148e7ae26ad6d11c2cd86">
              <w:r>
                <w:rPr>
                  <w:rStyle w:val="InternetLink"/>
                  <w:rFonts w:ascii="Times New Roman;serif" w:hAnsi="Times New Roman;serif"/>
                  <w:b w:val="false"/>
                  <w:strike w:val="false"/>
                  <w:dstrike w:val="false"/>
                  <w:color w:val="000000"/>
                  <w:sz w:val="24"/>
                  <w:u w:val="none"/>
                  <w:effect w:val="none"/>
                </w:rPr>
                <w:t xml:space="preserve">Section 2.03.    Requests for Loans.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9a508d199148e7ae26ad6d11c2cd86">
              <w:r>
                <w:rPr>
                  <w:rStyle w:val="InternetLink"/>
                  <w:rFonts w:ascii="Times New Roman;serif" w:hAnsi="Times New Roman;serif"/>
                  <w:b w:val="false"/>
                  <w:strike w:val="false"/>
                  <w:dstrike w:val="false"/>
                  <w:color w:val="000000"/>
                  <w:sz w:val="24"/>
                  <w:u w:val="none"/>
                  <w:effect w:val="none"/>
                </w:rPr>
                <w:t>57</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56e9239fb7424a7c81887afb5a6230ac">
              <w:r>
                <w:rPr>
                  <w:rStyle w:val="InternetLink"/>
                  <w:rFonts w:ascii="Times New Roman;serif" w:hAnsi="Times New Roman;serif"/>
                  <w:b w:val="false"/>
                  <w:strike w:val="false"/>
                  <w:dstrike w:val="false"/>
                  <w:color w:val="000000"/>
                  <w:sz w:val="24"/>
                  <w:u w:val="none"/>
                  <w:effect w:val="none"/>
                </w:rPr>
                <w:t>Section 2.04.    Funding of Loans.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e9239fb7424a7c81887afb5a6230ac">
              <w:r>
                <w:rPr>
                  <w:rStyle w:val="InternetLink"/>
                  <w:rFonts w:ascii="Times New Roman;serif" w:hAnsi="Times New Roman;serif"/>
                  <w:b w:val="false"/>
                  <w:strike w:val="false"/>
                  <w:dstrike w:val="false"/>
                  <w:color w:val="000000"/>
                  <w:sz w:val="24"/>
                  <w:u w:val="none"/>
                  <w:effect w:val="none"/>
                </w:rPr>
                <w:t>57</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80eb9bb3799649c6886a4d8388c8c371">
              <w:r>
                <w:rPr>
                  <w:rStyle w:val="InternetLink"/>
                  <w:rFonts w:ascii="Times New Roman;serif" w:hAnsi="Times New Roman;serif"/>
                  <w:b w:val="false"/>
                  <w:strike w:val="false"/>
                  <w:dstrike w:val="false"/>
                  <w:color w:val="000000"/>
                  <w:sz w:val="24"/>
                  <w:u w:val="none"/>
                  <w:effect w:val="none"/>
                </w:rPr>
                <w:t>Section 2.05.    Interest Elections.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eb9bb3799649c6886a4d8388c8c371">
              <w:r>
                <w:rPr>
                  <w:rStyle w:val="InternetLink"/>
                  <w:rFonts w:ascii="Times New Roman;serif" w:hAnsi="Times New Roman;serif"/>
                  <w:b w:val="false"/>
                  <w:strike w:val="false"/>
                  <w:dstrike w:val="false"/>
                  <w:color w:val="000000"/>
                  <w:sz w:val="24"/>
                  <w:u w:val="none"/>
                  <w:effect w:val="none"/>
                </w:rPr>
                <w:t>58</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b69fa41683144b8fa3c64c60c2dcf9f6">
              <w:r>
                <w:rPr>
                  <w:rStyle w:val="InternetLink"/>
                  <w:rFonts w:ascii="Times New Roman;serif" w:hAnsi="Times New Roman;serif"/>
                  <w:b w:val="false"/>
                  <w:strike w:val="false"/>
                  <w:dstrike w:val="false"/>
                  <w:color w:val="000000"/>
                  <w:sz w:val="24"/>
                  <w:u w:val="none"/>
                  <w:effect w:val="none"/>
                </w:rPr>
                <w:t xml:space="preserve">Section 2.06.    Limitation on Term Benchmark Tranches.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9fa41683144b8fa3c64c60c2dcf9f6">
              <w:r>
                <w:rPr>
                  <w:rStyle w:val="InternetLink"/>
                  <w:rFonts w:ascii="Times New Roman;serif" w:hAnsi="Times New Roman;serif"/>
                  <w:b w:val="false"/>
                  <w:strike w:val="false"/>
                  <w:dstrike w:val="false"/>
                  <w:color w:val="000000"/>
                  <w:sz w:val="24"/>
                  <w:u w:val="none"/>
                  <w:effect w:val="none"/>
                </w:rPr>
                <w:t>59</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709c0f1d508743839b38102c33d2d455">
              <w:r>
                <w:rPr>
                  <w:rStyle w:val="InternetLink"/>
                  <w:rFonts w:ascii="Times New Roman;serif" w:hAnsi="Times New Roman;serif"/>
                  <w:b w:val="false"/>
                  <w:strike w:val="false"/>
                  <w:dstrike w:val="false"/>
                  <w:color w:val="000000"/>
                  <w:sz w:val="24"/>
                  <w:u w:val="none"/>
                  <w:effect w:val="none"/>
                </w:rPr>
                <w:t>Section 2.07.    Interest on Loans.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9c0f1d508743839b38102c33d2d455">
              <w:r>
                <w:rPr>
                  <w:rStyle w:val="InternetLink"/>
                  <w:rFonts w:ascii="Times New Roman;serif" w:hAnsi="Times New Roman;serif"/>
                  <w:b w:val="false"/>
                  <w:strike w:val="false"/>
                  <w:dstrike w:val="false"/>
                  <w:color w:val="000000"/>
                  <w:sz w:val="24"/>
                  <w:u w:val="none"/>
                  <w:effect w:val="none"/>
                </w:rPr>
                <w:t>60</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4ababe02ff7742029186cad3a328bf5d">
              <w:r>
                <w:rPr>
                  <w:rStyle w:val="InternetLink"/>
                  <w:rFonts w:ascii="Times New Roman;serif" w:hAnsi="Times New Roman;serif"/>
                  <w:b w:val="false"/>
                  <w:strike w:val="false"/>
                  <w:dstrike w:val="false"/>
                  <w:color w:val="000000"/>
                  <w:sz w:val="24"/>
                  <w:u w:val="none"/>
                  <w:effect w:val="none"/>
                </w:rPr>
                <w:t xml:space="preserve">Section 2.08.    Default Interest.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abe02ff7742029186cad3a328bf5d">
              <w:r>
                <w:rPr>
                  <w:rStyle w:val="InternetLink"/>
                  <w:rFonts w:ascii="Times New Roman;serif" w:hAnsi="Times New Roman;serif"/>
                  <w:b w:val="false"/>
                  <w:strike w:val="false"/>
                  <w:dstrike w:val="false"/>
                  <w:color w:val="000000"/>
                  <w:sz w:val="24"/>
                  <w:u w:val="none"/>
                  <w:effect w:val="none"/>
                </w:rPr>
                <w:t>60</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143f213e323c40e9b3eb65c5a2bf46b8">
              <w:r>
                <w:rPr>
                  <w:rStyle w:val="InternetLink"/>
                  <w:rFonts w:ascii="Times New Roman;serif" w:hAnsi="Times New Roman;serif"/>
                  <w:b w:val="false"/>
                  <w:strike w:val="false"/>
                  <w:dstrike w:val="false"/>
                  <w:color w:val="000000"/>
                  <w:sz w:val="24"/>
                  <w:u w:val="none"/>
                  <w:effect w:val="none"/>
                </w:rPr>
                <w:t xml:space="preserve">Section 2.09.    Alternate Rate of Interest.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43f213e323c40e9b3eb65c5a2bf46b8">
              <w:r>
                <w:rPr>
                  <w:rStyle w:val="InternetLink"/>
                  <w:rFonts w:ascii="Times New Roman;serif" w:hAnsi="Times New Roman;serif"/>
                  <w:b w:val="false"/>
                  <w:strike w:val="false"/>
                  <w:dstrike w:val="false"/>
                  <w:color w:val="000000"/>
                  <w:sz w:val="24"/>
                  <w:u w:val="none"/>
                  <w:effect w:val="none"/>
                </w:rPr>
                <w:t>60</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5d674361c5194d6bbf191f610c5f1d1f">
              <w:r>
                <w:rPr>
                  <w:rStyle w:val="InternetLink"/>
                  <w:rFonts w:ascii="Times New Roman;serif" w:hAnsi="Times New Roman;serif"/>
                  <w:b w:val="false"/>
                  <w:strike w:val="false"/>
                  <w:dstrike w:val="false"/>
                  <w:color w:val="000000"/>
                  <w:sz w:val="24"/>
                  <w:u w:val="none"/>
                  <w:effect w:val="none"/>
                </w:rPr>
                <w:t>Section 2.10.    Repayment of Loans; Evidence of Debt.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674361c5194d6bbf191f610c5f1d1f">
              <w:r>
                <w:rPr>
                  <w:rStyle w:val="InternetLink"/>
                  <w:rFonts w:ascii="Times New Roman;serif" w:hAnsi="Times New Roman;serif"/>
                  <w:b w:val="false"/>
                  <w:strike w:val="false"/>
                  <w:dstrike w:val="false"/>
                  <w:color w:val="000000"/>
                  <w:sz w:val="24"/>
                  <w:u w:val="none"/>
                  <w:effect w:val="none"/>
                </w:rPr>
                <w:t>61</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1f3e79e619ab43af84388f9d056872df">
              <w:r>
                <w:rPr>
                  <w:rStyle w:val="InternetLink"/>
                  <w:rFonts w:ascii="Times New Roman;serif" w:hAnsi="Times New Roman;serif"/>
                  <w:b w:val="false"/>
                  <w:strike w:val="false"/>
                  <w:dstrike w:val="false"/>
                  <w:color w:val="000000"/>
                  <w:sz w:val="24"/>
                  <w:u w:val="none"/>
                  <w:effect w:val="none"/>
                </w:rPr>
                <w:t xml:space="preserve">Section 2.11.    Optional Termination or Reduction of Revolving Commitments.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e79e619ab43af84388f9d056872df">
              <w:r>
                <w:rPr>
                  <w:rStyle w:val="InternetLink"/>
                  <w:rFonts w:ascii="Times New Roman;serif" w:hAnsi="Times New Roman;serif"/>
                  <w:b w:val="false"/>
                  <w:strike w:val="false"/>
                  <w:dstrike w:val="false"/>
                  <w:color w:val="000000"/>
                  <w:sz w:val="24"/>
                  <w:u w:val="none"/>
                  <w:effect w:val="none"/>
                </w:rPr>
                <w:t>61</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0cc75c9b57414fa0af61cfcc7edb6a13">
              <w:r>
                <w:rPr>
                  <w:rStyle w:val="InternetLink"/>
                  <w:rFonts w:ascii="Times New Roman;serif" w:hAnsi="Times New Roman;serif"/>
                  <w:b w:val="false"/>
                  <w:strike w:val="false"/>
                  <w:dstrike w:val="false"/>
                  <w:color w:val="000000"/>
                  <w:sz w:val="24"/>
                  <w:u w:val="none"/>
                  <w:effect w:val="none"/>
                </w:rPr>
                <w:t>Section 2.12.    Mandatory Prepayment of Loans; Commitment 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c75c9b57414fa0af61cfcc7edb6a13">
              <w:r>
                <w:rPr>
                  <w:rStyle w:val="InternetLink"/>
                  <w:rFonts w:ascii="Times New Roman;serif" w:hAnsi="Times New Roman;serif"/>
                  <w:b w:val="false"/>
                  <w:strike w:val="false"/>
                  <w:dstrike w:val="false"/>
                  <w:color w:val="000000"/>
                  <w:sz w:val="24"/>
                  <w:u w:val="none"/>
                  <w:effect w:val="none"/>
                </w:rPr>
                <w:t>62</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2f91ff6757334ef19468b070cfe6111a">
              <w:r>
                <w:rPr>
                  <w:rStyle w:val="InternetLink"/>
                  <w:rFonts w:ascii="Times New Roman;serif" w:hAnsi="Times New Roman;serif"/>
                  <w:b w:val="false"/>
                  <w:strike w:val="false"/>
                  <w:dstrike w:val="false"/>
                  <w:color w:val="000000"/>
                  <w:sz w:val="24"/>
                  <w:u w:val="none"/>
                  <w:effect w:val="none"/>
                </w:rPr>
                <w:t>Section 2.13.    Optional Prepayment of Loans.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91ff6757334ef19468b070cfe6111a">
              <w:r>
                <w:rPr>
                  <w:rStyle w:val="InternetLink"/>
                  <w:rFonts w:ascii="Times New Roman;serif" w:hAnsi="Times New Roman;serif"/>
                  <w:b w:val="false"/>
                  <w:strike w:val="false"/>
                  <w:dstrike w:val="false"/>
                  <w:color w:val="000000"/>
                  <w:sz w:val="24"/>
                  <w:u w:val="none"/>
                  <w:effect w:val="none"/>
                </w:rPr>
                <w:t>65</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4c4a426771b44ab2879e486e6dacd4a1">
              <w:r>
                <w:rPr>
                  <w:rStyle w:val="InternetLink"/>
                  <w:rFonts w:ascii="Times New Roman;serif" w:hAnsi="Times New Roman;serif"/>
                  <w:b w:val="false"/>
                  <w:strike w:val="false"/>
                  <w:dstrike w:val="false"/>
                  <w:color w:val="000000"/>
                  <w:sz w:val="24"/>
                  <w:u w:val="none"/>
                  <w:effect w:val="none"/>
                </w:rPr>
                <w:t>Section 2.14.    Increased Costs.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4a426771b44ab2879e486e6dacd4a1">
              <w:r>
                <w:rPr>
                  <w:rStyle w:val="InternetLink"/>
                  <w:rFonts w:ascii="Times New Roman;serif" w:hAnsi="Times New Roman;serif"/>
                  <w:b w:val="false"/>
                  <w:strike w:val="false"/>
                  <w:dstrike w:val="false"/>
                  <w:color w:val="000000"/>
                  <w:sz w:val="24"/>
                  <w:u w:val="none"/>
                  <w:effect w:val="none"/>
                </w:rPr>
                <w:t>66</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af8ceb197d7146f795506c78557d327a">
              <w:r>
                <w:rPr>
                  <w:rStyle w:val="InternetLink"/>
                  <w:rFonts w:ascii="Times New Roman;serif" w:hAnsi="Times New Roman;serif"/>
                  <w:b w:val="false"/>
                  <w:strike w:val="false"/>
                  <w:dstrike w:val="false"/>
                  <w:color w:val="000000"/>
                  <w:sz w:val="24"/>
                  <w:u w:val="none"/>
                  <w:effect w:val="none"/>
                </w:rPr>
                <w:t xml:space="preserve">Section 2.15.    Break Funding Payments.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8ceb197d7146f795506c78557d327a">
              <w:r>
                <w:rPr>
                  <w:rStyle w:val="InternetLink"/>
                  <w:rFonts w:ascii="Times New Roman;serif" w:hAnsi="Times New Roman;serif"/>
                  <w:b w:val="false"/>
                  <w:strike w:val="false"/>
                  <w:dstrike w:val="false"/>
                  <w:color w:val="000000"/>
                  <w:sz w:val="24"/>
                  <w:u w:val="none"/>
                  <w:effect w:val="none"/>
                </w:rPr>
                <w:t>68</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4886ee7f06c34ca6ab7025cf9a852d46">
              <w:r>
                <w:rPr>
                  <w:rStyle w:val="InternetLink"/>
                  <w:rFonts w:ascii="Times New Roman;serif" w:hAnsi="Times New Roman;serif"/>
                  <w:b w:val="false"/>
                  <w:strike w:val="false"/>
                  <w:dstrike w:val="false"/>
                  <w:color w:val="000000"/>
                  <w:sz w:val="24"/>
                  <w:u w:val="none"/>
                  <w:effect w:val="none"/>
                </w:rPr>
                <w:t xml:space="preserve">Section 2.16.    Taxes.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6ee7f06c34ca6ab7025cf9a852d46">
              <w:r>
                <w:rPr>
                  <w:rStyle w:val="InternetLink"/>
                  <w:rFonts w:ascii="Times New Roman;serif" w:hAnsi="Times New Roman;serif"/>
                  <w:b w:val="false"/>
                  <w:strike w:val="false"/>
                  <w:dstrike w:val="false"/>
                  <w:color w:val="000000"/>
                  <w:sz w:val="24"/>
                  <w:u w:val="none"/>
                  <w:effect w:val="none"/>
                </w:rPr>
                <w:t>69</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4cd632c734d046b3b486ff5094e99293">
              <w:r>
                <w:rPr>
                  <w:rStyle w:val="InternetLink"/>
                  <w:rFonts w:ascii="Times New Roman;serif" w:hAnsi="Times New Roman;serif"/>
                  <w:b w:val="false"/>
                  <w:strike w:val="false"/>
                  <w:dstrike w:val="false"/>
                  <w:color w:val="000000"/>
                  <w:sz w:val="24"/>
                  <w:u w:val="none"/>
                  <w:effect w:val="none"/>
                </w:rPr>
                <w:t>Section 2.17.    Payments Generally; Pro Rata Treatment.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d632c734d046b3b486ff5094e99293">
              <w:r>
                <w:rPr>
                  <w:rStyle w:val="InternetLink"/>
                  <w:rFonts w:ascii="Times New Roman;serif" w:hAnsi="Times New Roman;serif"/>
                  <w:b w:val="false"/>
                  <w:strike w:val="false"/>
                  <w:dstrike w:val="false"/>
                  <w:color w:val="000000"/>
                  <w:sz w:val="24"/>
                  <w:u w:val="none"/>
                  <w:effect w:val="none"/>
                </w:rPr>
                <w:t>72</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c41466fc758745039ab905928fb6fbfa">
              <w:r>
                <w:rPr>
                  <w:rStyle w:val="InternetLink"/>
                  <w:rFonts w:ascii="Times New Roman;serif" w:hAnsi="Times New Roman;serif"/>
                  <w:b w:val="false"/>
                  <w:strike w:val="false"/>
                  <w:dstrike w:val="false"/>
                  <w:color w:val="000000"/>
                  <w:sz w:val="24"/>
                  <w:u w:val="none"/>
                  <w:effect w:val="none"/>
                </w:rPr>
                <w:t xml:space="preserve">Section 2.18.    Mitigation Obligations; Replacement of Lenders.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1466fc758745039ab905928fb6fbfa">
              <w:r>
                <w:rPr>
                  <w:rStyle w:val="InternetLink"/>
                  <w:rFonts w:ascii="Times New Roman;serif" w:hAnsi="Times New Roman;serif"/>
                  <w:b w:val="false"/>
                  <w:strike w:val="false"/>
                  <w:dstrike w:val="false"/>
                  <w:color w:val="000000"/>
                  <w:sz w:val="24"/>
                  <w:u w:val="none"/>
                  <w:effect w:val="none"/>
                </w:rPr>
                <w:t>74</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fe8da7e3a5404ec6a62204a18b1f09de">
              <w:r>
                <w:rPr>
                  <w:rStyle w:val="InternetLink"/>
                  <w:rFonts w:ascii="Times New Roman;serif" w:hAnsi="Times New Roman;serif"/>
                  <w:b w:val="false"/>
                  <w:strike w:val="false"/>
                  <w:dstrike w:val="false"/>
                  <w:color w:val="000000"/>
                  <w:sz w:val="24"/>
                  <w:u w:val="none"/>
                  <w:effect w:val="none"/>
                </w:rPr>
                <w:t xml:space="preserve">Section 2.19.    Certain Fees.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8da7e3a5404ec6a62204a18b1f09de">
              <w:r>
                <w:rPr>
                  <w:rStyle w:val="InternetLink"/>
                  <w:rFonts w:ascii="Times New Roman;serif" w:hAnsi="Times New Roman;serif"/>
                  <w:b w:val="false"/>
                  <w:strike w:val="false"/>
                  <w:dstrike w:val="false"/>
                  <w:color w:val="000000"/>
                  <w:sz w:val="24"/>
                  <w:u w:val="none"/>
                  <w:effect w:val="none"/>
                </w:rPr>
                <w:t>74</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a49b3063ea3d4863a90bf78eed3358d2">
              <w:r>
                <w:rPr>
                  <w:rStyle w:val="InternetLink"/>
                  <w:rFonts w:ascii="Times New Roman;serif" w:hAnsi="Times New Roman;serif"/>
                  <w:b w:val="false"/>
                  <w:strike w:val="false"/>
                  <w:dstrike w:val="false"/>
                  <w:color w:val="000000"/>
                  <w:sz w:val="24"/>
                  <w:u w:val="none"/>
                  <w:effect w:val="none"/>
                </w:rPr>
                <w:t xml:space="preserve">Section 2.20.    Commitment Fee.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9b3063ea3d4863a90bf78eed3358d2">
              <w:r>
                <w:rPr>
                  <w:rStyle w:val="InternetLink"/>
                  <w:rFonts w:ascii="Times New Roman;serif" w:hAnsi="Times New Roman;serif"/>
                  <w:b w:val="false"/>
                  <w:strike w:val="false"/>
                  <w:dstrike w:val="false"/>
                  <w:color w:val="000000"/>
                  <w:sz w:val="24"/>
                  <w:u w:val="none"/>
                  <w:effect w:val="none"/>
                </w:rPr>
                <w:t>75</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8637b6eafe6a4125b940c1e3eeb9cfba">
              <w:r>
                <w:rPr>
                  <w:rStyle w:val="InternetLink"/>
                  <w:rFonts w:ascii="Times New Roman;serif" w:hAnsi="Times New Roman;serif"/>
                  <w:b w:val="false"/>
                  <w:strike w:val="false"/>
                  <w:dstrike w:val="false"/>
                  <w:color w:val="000000"/>
                  <w:sz w:val="24"/>
                  <w:u w:val="none"/>
                  <w:effect w:val="none"/>
                </w:rPr>
                <w:t xml:space="preserve">Section 2.21.    Letter of Credit Fees.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37b6eafe6a4125b940c1e3eeb9cfba">
              <w:r>
                <w:rPr>
                  <w:rStyle w:val="InternetLink"/>
                  <w:rFonts w:ascii="Times New Roman;serif" w:hAnsi="Times New Roman;serif"/>
                  <w:b w:val="false"/>
                  <w:strike w:val="false"/>
                  <w:dstrike w:val="false"/>
                  <w:color w:val="000000"/>
                  <w:sz w:val="24"/>
                  <w:u w:val="none"/>
                  <w:effect w:val="none"/>
                </w:rPr>
                <w:t>75</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01e077a1b5db470c916143d5a95bcbf1">
              <w:r>
                <w:rPr>
                  <w:rStyle w:val="InternetLink"/>
                  <w:rFonts w:ascii="Times New Roman;serif" w:hAnsi="Times New Roman;serif"/>
                  <w:b w:val="false"/>
                  <w:strike w:val="false"/>
                  <w:dstrike w:val="false"/>
                  <w:color w:val="000000"/>
                  <w:sz w:val="24"/>
                  <w:u w:val="none"/>
                  <w:effect w:val="none"/>
                </w:rPr>
                <w:t xml:space="preserve">Section 2.22.    Nature of Fees.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e077a1b5db470c916143d5a95bcbf1">
              <w:r>
                <w:rPr>
                  <w:rStyle w:val="InternetLink"/>
                  <w:rFonts w:ascii="Times New Roman;serif" w:hAnsi="Times New Roman;serif"/>
                  <w:b w:val="false"/>
                  <w:strike w:val="false"/>
                  <w:dstrike w:val="false"/>
                  <w:color w:val="000000"/>
                  <w:sz w:val="24"/>
                  <w:u w:val="none"/>
                  <w:effect w:val="none"/>
                </w:rPr>
                <w:t>75</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f12fd7b728db4d7c919b3b4fd74d379e">
              <w:r>
                <w:rPr>
                  <w:rStyle w:val="InternetLink"/>
                  <w:rFonts w:ascii="Times New Roman;serif" w:hAnsi="Times New Roman;serif"/>
                  <w:b w:val="false"/>
                  <w:strike w:val="false"/>
                  <w:dstrike w:val="false"/>
                  <w:color w:val="000000"/>
                  <w:sz w:val="24"/>
                  <w:u w:val="none"/>
                  <w:effect w:val="none"/>
                </w:rPr>
                <w:t xml:space="preserve">Section 2.23.    Right of Set-Off.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2fd7b728db4d7c919b3b4fd74d379e">
              <w:r>
                <w:rPr>
                  <w:rStyle w:val="InternetLink"/>
                  <w:rFonts w:ascii="Times New Roman;serif" w:hAnsi="Times New Roman;serif"/>
                  <w:b w:val="false"/>
                  <w:strike w:val="false"/>
                  <w:dstrike w:val="false"/>
                  <w:color w:val="000000"/>
                  <w:sz w:val="24"/>
                  <w:u w:val="none"/>
                  <w:effect w:val="none"/>
                </w:rPr>
                <w:t>75</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9621402b5a2a4aeca82857a6bd13ff15">
              <w:r>
                <w:rPr>
                  <w:rStyle w:val="InternetLink"/>
                  <w:rFonts w:ascii="Times New Roman;serif" w:hAnsi="Times New Roman;serif"/>
                  <w:b w:val="false"/>
                  <w:strike w:val="false"/>
                  <w:dstrike w:val="false"/>
                  <w:color w:val="000000"/>
                  <w:sz w:val="24"/>
                  <w:u w:val="none"/>
                  <w:effect w:val="none"/>
                </w:rPr>
                <w:t xml:space="preserve">Section 2.24.    Security Interest in Letter of Credit Account.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21402b5a2a4aeca82857a6bd13ff15">
              <w:r>
                <w:rPr>
                  <w:rStyle w:val="InternetLink"/>
                  <w:rFonts w:ascii="Times New Roman;serif" w:hAnsi="Times New Roman;serif"/>
                  <w:b w:val="false"/>
                  <w:strike w:val="false"/>
                  <w:dstrike w:val="false"/>
                  <w:color w:val="000000"/>
                  <w:sz w:val="24"/>
                  <w:u w:val="none"/>
                  <w:effect w:val="none"/>
                </w:rPr>
                <w:t>76</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ce080351b1274c269bdb9b467c516511">
              <w:r>
                <w:rPr>
                  <w:rStyle w:val="InternetLink"/>
                  <w:rFonts w:ascii="Times New Roman;serif" w:hAnsi="Times New Roman;serif"/>
                  <w:b w:val="false"/>
                  <w:strike w:val="false"/>
                  <w:dstrike w:val="false"/>
                  <w:color w:val="000000"/>
                  <w:sz w:val="24"/>
                  <w:u w:val="none"/>
                  <w:effect w:val="none"/>
                </w:rPr>
                <w:t xml:space="preserve">Section 2.25.    Payment of Obligations.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080351b1274c269bdb9b467c516511">
              <w:r>
                <w:rPr>
                  <w:rStyle w:val="InternetLink"/>
                  <w:rFonts w:ascii="Times New Roman;serif" w:hAnsi="Times New Roman;serif"/>
                  <w:b w:val="false"/>
                  <w:strike w:val="false"/>
                  <w:dstrike w:val="false"/>
                  <w:color w:val="000000"/>
                  <w:sz w:val="24"/>
                  <w:u w:val="none"/>
                  <w:effect w:val="none"/>
                </w:rPr>
                <w:t>76</w:t>
              </w:r>
            </w:hyperlink>
          </w:p>
        </w:tc>
      </w:tr>
      <w:tr>
        <w:trPr/>
        <w:tc>
          <w:tcPr>
            <w:tcW w:w="7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d6ee45ed406c4adea3af487eaaf7a651">
              <w:r>
                <w:rPr>
                  <w:rStyle w:val="InternetLink"/>
                  <w:rFonts w:ascii="Times New Roman;serif" w:hAnsi="Times New Roman;serif"/>
                  <w:b w:val="false"/>
                  <w:strike w:val="false"/>
                  <w:dstrike w:val="false"/>
                  <w:color w:val="000000"/>
                  <w:sz w:val="24"/>
                  <w:u w:val="none"/>
                  <w:effect w:val="none"/>
                </w:rPr>
                <w:t>Section 2.26.    Defaulting Lenders.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ee45ed406c4adea3af487eaaf7a651">
              <w:r>
                <w:rPr>
                  <w:rStyle w:val="InternetLink"/>
                  <w:rFonts w:ascii="Times New Roman;serif" w:hAnsi="Times New Roman;serif"/>
                  <w:b w:val="false"/>
                  <w:strike w:val="false"/>
                  <w:dstrike w:val="false"/>
                  <w:color w:val="000000"/>
                  <w:sz w:val="24"/>
                  <w:u w:val="none"/>
                  <w:effect w:val="none"/>
                </w:rPr>
                <w:t>76</w:t>
              </w:r>
            </w:hyperlink>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25145"/>
                <wp:effectExtent l="0" t="0" r="0" b="0"/>
                <wp:wrapNone/>
                <wp:docPr id="37" name="Frame3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tbl>
      <w:tblPr>
        <w:tblW w:w="8686" w:type="dxa"/>
        <w:jc w:val="left"/>
        <w:tblInd w:w="0" w:type="dxa"/>
        <w:tblLayout w:type="fixed"/>
        <w:tblCellMar>
          <w:top w:w="28" w:type="dxa"/>
          <w:left w:w="28" w:type="dxa"/>
          <w:bottom w:w="28" w:type="dxa"/>
          <w:right w:w="28" w:type="dxa"/>
        </w:tblCellMar>
      </w:tblPr>
      <w:tblGrid>
        <w:gridCol w:w="2965"/>
        <w:gridCol w:w="2605"/>
        <w:gridCol w:w="2605"/>
        <w:gridCol w:w="148"/>
        <w:gridCol w:w="148"/>
        <w:gridCol w:w="215"/>
      </w:tblGrid>
      <w:tr>
        <w:trPr/>
        <w:tc>
          <w:tcPr>
            <w:tcW w:w="2965"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2ed4092091d84eac809d2229b6e1e199">
              <w:r>
                <w:rPr>
                  <w:rStyle w:val="InternetLink"/>
                  <w:rFonts w:ascii="Times New Roman;serif" w:hAnsi="Times New Roman;serif"/>
                  <w:b w:val="false"/>
                  <w:strike w:val="false"/>
                  <w:dstrike w:val="false"/>
                  <w:color w:val="000000"/>
                  <w:sz w:val="24"/>
                  <w:u w:val="none"/>
                  <w:effect w:val="none"/>
                </w:rPr>
                <w:t xml:space="preserve">Section 2.27.    Increase in Commitment.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d4092091d84eac809d2229b6e1e199">
              <w:r>
                <w:rPr>
                  <w:rStyle w:val="InternetLink"/>
                  <w:rFonts w:ascii="Times New Roman;serif" w:hAnsi="Times New Roman;serif"/>
                  <w:b w:val="false"/>
                  <w:strike w:val="false"/>
                  <w:dstrike w:val="false"/>
                  <w:color w:val="000000"/>
                  <w:sz w:val="24"/>
                  <w:u w:val="none"/>
                  <w:effect w:val="none"/>
                </w:rPr>
                <w:t>81</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1dc8e8aceaf24ac9ad57bc0ed26d09a2">
              <w:r>
                <w:rPr>
                  <w:rStyle w:val="InternetLink"/>
                  <w:rFonts w:ascii="Times New Roman;serif" w:hAnsi="Times New Roman;serif"/>
                  <w:b w:val="false"/>
                  <w:strike w:val="false"/>
                  <w:dstrike w:val="false"/>
                  <w:color w:val="000000"/>
                  <w:sz w:val="24"/>
                  <w:u w:val="none"/>
                  <w:effect w:val="none"/>
                </w:rPr>
                <w:t>Section 2.28.    Extension of the Revolving Facility.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c8e8aceaf24ac9ad57bc0ed26d09a2">
              <w:r>
                <w:rPr>
                  <w:rStyle w:val="InternetLink"/>
                  <w:rFonts w:ascii="Times New Roman;serif" w:hAnsi="Times New Roman;serif"/>
                  <w:b w:val="false"/>
                  <w:strike w:val="false"/>
                  <w:dstrike w:val="false"/>
                  <w:color w:val="000000"/>
                  <w:sz w:val="24"/>
                  <w:u w:val="none"/>
                  <w:effect w:val="none"/>
                </w:rPr>
                <w:t>83</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85ad457c34f248f6b9239957743b955b">
              <w:r>
                <w:rPr>
                  <w:rStyle w:val="InternetLink"/>
                  <w:rFonts w:ascii="Times New Roman;serif" w:hAnsi="Times New Roman;serif"/>
                  <w:b w:val="false"/>
                  <w:strike w:val="false"/>
                  <w:dstrike w:val="false"/>
                  <w:color w:val="000000"/>
                  <w:sz w:val="24"/>
                  <w:u w:val="none"/>
                  <w:effect w:val="none"/>
                </w:rPr>
                <w:t xml:space="preserve">Section 2.29.    Benchmark Replacement Setting.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ad457c34f248f6b9239957743b955b">
              <w:r>
                <w:rPr>
                  <w:rStyle w:val="InternetLink"/>
                  <w:rFonts w:ascii="Times New Roman;serif" w:hAnsi="Times New Roman;serif"/>
                  <w:b w:val="false"/>
                  <w:strike w:val="false"/>
                  <w:dstrike w:val="false"/>
                  <w:color w:val="000000"/>
                  <w:sz w:val="24"/>
                  <w:u w:val="none"/>
                  <w:effect w:val="none"/>
                </w:rPr>
                <w:t>86</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28"/>
              <w:jc w:val="both"/>
              <w:rPr/>
            </w:pPr>
            <w:hyperlink w:anchor="i5c1c4c90467a4469bead8adac88d0d55">
              <w:r>
                <w:rPr>
                  <w:rStyle w:val="InternetLink"/>
                  <w:rFonts w:ascii="Times New Roman;serif" w:hAnsi="Times New Roman;serif"/>
                  <w:b w:val="false"/>
                  <w:strike w:val="false"/>
                  <w:dstrike w:val="false"/>
                  <w:color w:val="000000"/>
                  <w:sz w:val="24"/>
                  <w:u w:val="none"/>
                  <w:effect w:val="none"/>
                </w:rPr>
                <w:t>SECTION 3.</w:t>
                <w:br/>
                <w:br/>
                <w:t>REPRESENTATIONS AND WARRANTIES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1c4c90467a4469bead8adac88d0d55">
              <w:r>
                <w:rPr>
                  <w:rStyle w:val="InternetLink"/>
                  <w:rFonts w:ascii="Times New Roman;serif" w:hAnsi="Times New Roman;serif"/>
                  <w:b w:val="false"/>
                  <w:strike w:val="false"/>
                  <w:dstrike w:val="false"/>
                  <w:color w:val="000000"/>
                  <w:sz w:val="24"/>
                  <w:u w:val="none"/>
                  <w:effect w:val="none"/>
                </w:rPr>
                <w:t>87</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e380e113f318474eb273768ca9b39d23">
              <w:r>
                <w:rPr>
                  <w:rStyle w:val="InternetLink"/>
                  <w:rFonts w:ascii="Times New Roman;serif" w:hAnsi="Times New Roman;serif"/>
                  <w:b w:val="false"/>
                  <w:strike w:val="false"/>
                  <w:dstrike w:val="false"/>
                  <w:color w:val="000000"/>
                  <w:sz w:val="24"/>
                  <w:u w:val="none"/>
                  <w:effect w:val="none"/>
                </w:rPr>
                <w:t xml:space="preserve">Section 3.01.    Organization and Authority.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80e113f318474eb273768ca9b39d23">
              <w:r>
                <w:rPr>
                  <w:rStyle w:val="InternetLink"/>
                  <w:rFonts w:ascii="Times New Roman;serif" w:hAnsi="Times New Roman;serif"/>
                  <w:b w:val="false"/>
                  <w:strike w:val="false"/>
                  <w:dstrike w:val="false"/>
                  <w:color w:val="000000"/>
                  <w:sz w:val="24"/>
                  <w:u w:val="none"/>
                  <w:effect w:val="none"/>
                </w:rPr>
                <w:t>87</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9eea7b01bfe14db59454dc1cdd97f0b8">
              <w:r>
                <w:rPr>
                  <w:rStyle w:val="InternetLink"/>
                  <w:rFonts w:ascii="Times New Roman;serif" w:hAnsi="Times New Roman;serif"/>
                  <w:b w:val="false"/>
                  <w:strike w:val="false"/>
                  <w:dstrike w:val="false"/>
                  <w:color w:val="000000"/>
                  <w:sz w:val="24"/>
                  <w:u w:val="none"/>
                  <w:effect w:val="none"/>
                </w:rPr>
                <w:t xml:space="preserve">Section 3.02.    Air Carrier Status.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ea7b01bfe14db59454dc1cdd97f0b8">
              <w:r>
                <w:rPr>
                  <w:rStyle w:val="InternetLink"/>
                  <w:rFonts w:ascii="Times New Roman;serif" w:hAnsi="Times New Roman;serif"/>
                  <w:b w:val="false"/>
                  <w:strike w:val="false"/>
                  <w:dstrike w:val="false"/>
                  <w:color w:val="000000"/>
                  <w:sz w:val="24"/>
                  <w:u w:val="none"/>
                  <w:effect w:val="none"/>
                </w:rPr>
                <w:t>87</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5047d03611de48af973a603a5ad08e3a">
              <w:r>
                <w:rPr>
                  <w:rStyle w:val="InternetLink"/>
                  <w:rFonts w:ascii="Times New Roman;serif" w:hAnsi="Times New Roman;serif"/>
                  <w:b w:val="false"/>
                  <w:strike w:val="false"/>
                  <w:dstrike w:val="false"/>
                  <w:color w:val="000000"/>
                  <w:sz w:val="24"/>
                  <w:u w:val="none"/>
                  <w:effect w:val="none"/>
                </w:rPr>
                <w:t xml:space="preserve">Section 3.03.    Due Execution.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47d03611de48af973a603a5ad08e3a">
              <w:r>
                <w:rPr>
                  <w:rStyle w:val="InternetLink"/>
                  <w:rFonts w:ascii="Times New Roman;serif" w:hAnsi="Times New Roman;serif"/>
                  <w:b w:val="false"/>
                  <w:strike w:val="false"/>
                  <w:dstrike w:val="false"/>
                  <w:color w:val="000000"/>
                  <w:sz w:val="24"/>
                  <w:u w:val="none"/>
                  <w:effect w:val="none"/>
                </w:rPr>
                <w:t>88</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c4cdc77394cb42cf9885b1625273d978">
              <w:r>
                <w:rPr>
                  <w:rStyle w:val="InternetLink"/>
                  <w:rFonts w:ascii="Times New Roman;serif" w:hAnsi="Times New Roman;serif"/>
                  <w:b w:val="false"/>
                  <w:strike w:val="false"/>
                  <w:dstrike w:val="false"/>
                  <w:color w:val="000000"/>
                  <w:sz w:val="24"/>
                  <w:u w:val="none"/>
                  <w:effect w:val="none"/>
                </w:rPr>
                <w:t>Section 3.04.    Statements Made.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cdc77394cb42cf9885b1625273d978">
              <w:r>
                <w:rPr>
                  <w:rStyle w:val="InternetLink"/>
                  <w:rFonts w:ascii="Times New Roman;serif" w:hAnsi="Times New Roman;serif"/>
                  <w:b w:val="false"/>
                  <w:strike w:val="false"/>
                  <w:dstrike w:val="false"/>
                  <w:color w:val="000000"/>
                  <w:sz w:val="24"/>
                  <w:u w:val="none"/>
                  <w:effect w:val="none"/>
                </w:rPr>
                <w:t>88</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6bd203f5264a400b9e40299e4c6a8293">
              <w:r>
                <w:rPr>
                  <w:rStyle w:val="InternetLink"/>
                  <w:rFonts w:ascii="Times New Roman;serif" w:hAnsi="Times New Roman;serif"/>
                  <w:b w:val="false"/>
                  <w:strike w:val="false"/>
                  <w:dstrike w:val="false"/>
                  <w:color w:val="000000"/>
                  <w:sz w:val="24"/>
                  <w:u w:val="none"/>
                  <w:effect w:val="none"/>
                </w:rPr>
                <w:t>Section 3.05.    Financial Statements; Material Adverse Change.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d203f5264a400b9e40299e4c6a8293">
              <w:r>
                <w:rPr>
                  <w:rStyle w:val="InternetLink"/>
                  <w:rFonts w:ascii="Times New Roman;serif" w:hAnsi="Times New Roman;serif"/>
                  <w:b w:val="false"/>
                  <w:strike w:val="false"/>
                  <w:dstrike w:val="false"/>
                  <w:color w:val="000000"/>
                  <w:sz w:val="24"/>
                  <w:u w:val="none"/>
                  <w:effect w:val="none"/>
                </w:rPr>
                <w:t>89</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897e5a79994b4e389870258e0e36c02f">
              <w:r>
                <w:rPr>
                  <w:rStyle w:val="InternetLink"/>
                  <w:rFonts w:ascii="Times New Roman;serif" w:hAnsi="Times New Roman;serif"/>
                  <w:b w:val="false"/>
                  <w:strike w:val="false"/>
                  <w:dstrike w:val="false"/>
                  <w:color w:val="000000"/>
                  <w:sz w:val="24"/>
                  <w:u w:val="none"/>
                  <w:effect w:val="none"/>
                </w:rPr>
                <w:t xml:space="preserve">Section 3.06.    Ownership of Subsidiaries.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7e5a79994b4e389870258e0e36c02f">
              <w:r>
                <w:rPr>
                  <w:rStyle w:val="InternetLink"/>
                  <w:rFonts w:ascii="Times New Roman;serif" w:hAnsi="Times New Roman;serif"/>
                  <w:b w:val="false"/>
                  <w:strike w:val="false"/>
                  <w:dstrike w:val="false"/>
                  <w:color w:val="000000"/>
                  <w:sz w:val="24"/>
                  <w:u w:val="none"/>
                  <w:effect w:val="none"/>
                </w:rPr>
                <w:t>89</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cbccb75444e24b95b1042739afb9f198">
              <w:r>
                <w:rPr>
                  <w:rStyle w:val="InternetLink"/>
                  <w:rFonts w:ascii="Times New Roman;serif" w:hAnsi="Times New Roman;serif"/>
                  <w:b w:val="false"/>
                  <w:strike w:val="false"/>
                  <w:dstrike w:val="false"/>
                  <w:color w:val="000000"/>
                  <w:sz w:val="24"/>
                  <w:u w:val="none"/>
                  <w:effect w:val="none"/>
                </w:rPr>
                <w:t xml:space="preserve">Section 3.07.    Liens.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cb75444e24b95b1042739afb9f198">
              <w:r>
                <w:rPr>
                  <w:rStyle w:val="InternetLink"/>
                  <w:rFonts w:ascii="Times New Roman;serif" w:hAnsi="Times New Roman;serif"/>
                  <w:b w:val="false"/>
                  <w:strike w:val="false"/>
                  <w:dstrike w:val="false"/>
                  <w:color w:val="000000"/>
                  <w:sz w:val="24"/>
                  <w:u w:val="none"/>
                  <w:effect w:val="none"/>
                </w:rPr>
                <w:t>89</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05151c9c292549de8424b3f8b7a92fed">
              <w:r>
                <w:rPr>
                  <w:rStyle w:val="InternetLink"/>
                  <w:rFonts w:ascii="Times New Roman;serif" w:hAnsi="Times New Roman;serif"/>
                  <w:b w:val="false"/>
                  <w:strike w:val="false"/>
                  <w:dstrike w:val="false"/>
                  <w:color w:val="000000"/>
                  <w:sz w:val="24"/>
                  <w:u w:val="none"/>
                  <w:effect w:val="none"/>
                </w:rPr>
                <w:t xml:space="preserve">Section 3.08.    Use of Proceeds.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151c9c292549de8424b3f8b7a92fed">
              <w:r>
                <w:rPr>
                  <w:rStyle w:val="InternetLink"/>
                  <w:rFonts w:ascii="Times New Roman;serif" w:hAnsi="Times New Roman;serif"/>
                  <w:b w:val="false"/>
                  <w:strike w:val="false"/>
                  <w:dstrike w:val="false"/>
                  <w:color w:val="000000"/>
                  <w:sz w:val="24"/>
                  <w:u w:val="none"/>
                  <w:effect w:val="none"/>
                </w:rPr>
                <w:t>89</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e5fdfb5dcf0b40b6b137f2181a6df799">
              <w:r>
                <w:rPr>
                  <w:rStyle w:val="InternetLink"/>
                  <w:rFonts w:ascii="Times New Roman;serif" w:hAnsi="Times New Roman;serif"/>
                  <w:b w:val="false"/>
                  <w:strike w:val="false"/>
                  <w:dstrike w:val="false"/>
                  <w:color w:val="000000"/>
                  <w:sz w:val="24"/>
                  <w:u w:val="none"/>
                  <w:effect w:val="none"/>
                </w:rPr>
                <w:t>Section 3.09.    Litigation and Compliance with Laws.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dfb5dcf0b40b6b137f2181a6df799">
              <w:r>
                <w:rPr>
                  <w:rStyle w:val="InternetLink"/>
                  <w:rFonts w:ascii="Times New Roman;serif" w:hAnsi="Times New Roman;serif"/>
                  <w:b w:val="false"/>
                  <w:strike w:val="false"/>
                  <w:dstrike w:val="false"/>
                  <w:color w:val="000000"/>
                  <w:sz w:val="24"/>
                  <w:u w:val="none"/>
                  <w:effect w:val="none"/>
                </w:rPr>
                <w:t>89</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87f3adf0ef2041c5b30674fb779354a8">
              <w:r>
                <w:rPr>
                  <w:rStyle w:val="InternetLink"/>
                  <w:rFonts w:ascii="Times New Roman;serif" w:hAnsi="Times New Roman;serif"/>
                  <w:b w:val="false"/>
                  <w:strike w:val="false"/>
                  <w:dstrike w:val="false"/>
                  <w:color w:val="000000"/>
                  <w:sz w:val="24"/>
                  <w:u w:val="none"/>
                  <w:effect w:val="none"/>
                </w:rPr>
                <w:t xml:space="preserve">Section 3.10.    FAA Slot Utilization.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f3adf0ef2041c5b30674fb779354a8">
              <w:r>
                <w:rPr>
                  <w:rStyle w:val="InternetLink"/>
                  <w:rFonts w:ascii="Times New Roman;serif" w:hAnsi="Times New Roman;serif"/>
                  <w:b w:val="false"/>
                  <w:strike w:val="false"/>
                  <w:dstrike w:val="false"/>
                  <w:color w:val="000000"/>
                  <w:sz w:val="24"/>
                  <w:u w:val="none"/>
                  <w:effect w:val="none"/>
                </w:rPr>
                <w:t>90</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3e76cdc8360145c6b03fa451e775756b">
              <w:r>
                <w:rPr>
                  <w:rStyle w:val="InternetLink"/>
                  <w:rFonts w:ascii="Times New Roman;serif" w:hAnsi="Times New Roman;serif"/>
                  <w:b w:val="false"/>
                  <w:strike w:val="false"/>
                  <w:dstrike w:val="false"/>
                  <w:color w:val="000000"/>
                  <w:sz w:val="24"/>
                  <w:u w:val="none"/>
                  <w:effect w:val="none"/>
                </w:rPr>
                <w:t xml:space="preserve">Section 3.11.    Foreign Slot Utilization.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76cdc8360145c6b03fa451e775756b">
              <w:r>
                <w:rPr>
                  <w:rStyle w:val="InternetLink"/>
                  <w:rFonts w:ascii="Times New Roman;serif" w:hAnsi="Times New Roman;serif"/>
                  <w:b w:val="false"/>
                  <w:strike w:val="false"/>
                  <w:dstrike w:val="false"/>
                  <w:color w:val="000000"/>
                  <w:sz w:val="24"/>
                  <w:u w:val="none"/>
                  <w:effect w:val="none"/>
                </w:rPr>
                <w:t>90</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27ff7301ea564c0aab01304679d821d2">
              <w:r>
                <w:rPr>
                  <w:rStyle w:val="InternetLink"/>
                  <w:rFonts w:ascii="Times New Roman;serif" w:hAnsi="Times New Roman;serif"/>
                  <w:b w:val="false"/>
                  <w:strike w:val="false"/>
                  <w:dstrike w:val="false"/>
                  <w:color w:val="000000"/>
                  <w:sz w:val="24"/>
                  <w:u w:val="none"/>
                  <w:effect w:val="none"/>
                </w:rPr>
                <w:t xml:space="preserve">Section 3.12.    Routes.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ff7301ea564c0aab01304679d821d2">
              <w:r>
                <w:rPr>
                  <w:rStyle w:val="InternetLink"/>
                  <w:rFonts w:ascii="Times New Roman;serif" w:hAnsi="Times New Roman;serif"/>
                  <w:b w:val="false"/>
                  <w:strike w:val="false"/>
                  <w:dstrike w:val="false"/>
                  <w:color w:val="000000"/>
                  <w:sz w:val="24"/>
                  <w:u w:val="none"/>
                  <w:effect w:val="none"/>
                </w:rPr>
                <w:t>91</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3325a8696f1944a89c88f448d2a32b50">
              <w:r>
                <w:rPr>
                  <w:rStyle w:val="InternetLink"/>
                  <w:rFonts w:ascii="Times New Roman;serif" w:hAnsi="Times New Roman;serif"/>
                  <w:b w:val="false"/>
                  <w:strike w:val="false"/>
                  <w:dstrike w:val="false"/>
                  <w:color w:val="000000"/>
                  <w:sz w:val="24"/>
                  <w:u w:val="none"/>
                  <w:effect w:val="none"/>
                </w:rPr>
                <w:t xml:space="preserve">Section 3.13.    Margin Regulations; Investment Company Act.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25a8696f1944a89c88f448d2a32b50">
              <w:r>
                <w:rPr>
                  <w:rStyle w:val="InternetLink"/>
                  <w:rFonts w:ascii="Times New Roman;serif" w:hAnsi="Times New Roman;serif"/>
                  <w:b w:val="false"/>
                  <w:strike w:val="false"/>
                  <w:dstrike w:val="false"/>
                  <w:color w:val="000000"/>
                  <w:sz w:val="24"/>
                  <w:u w:val="none"/>
                  <w:effect w:val="none"/>
                </w:rPr>
                <w:t>91</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e0d0ecb8c666459aa6fa23dbb70295b8">
              <w:r>
                <w:rPr>
                  <w:rStyle w:val="InternetLink"/>
                  <w:rFonts w:ascii="Times New Roman;serif" w:hAnsi="Times New Roman;serif"/>
                  <w:b w:val="false"/>
                  <w:strike w:val="false"/>
                  <w:dstrike w:val="false"/>
                  <w:color w:val="000000"/>
                  <w:sz w:val="24"/>
                  <w:u w:val="none"/>
                  <w:effect w:val="none"/>
                </w:rPr>
                <w:t xml:space="preserve">Section 3.14.    Ownership of Collateral.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d0ecb8c666459aa6fa23dbb70295b8">
              <w:r>
                <w:rPr>
                  <w:rStyle w:val="InternetLink"/>
                  <w:rFonts w:ascii="Times New Roman;serif" w:hAnsi="Times New Roman;serif"/>
                  <w:b w:val="false"/>
                  <w:strike w:val="false"/>
                  <w:dstrike w:val="false"/>
                  <w:color w:val="000000"/>
                  <w:sz w:val="24"/>
                  <w:u w:val="none"/>
                  <w:effect w:val="none"/>
                </w:rPr>
                <w:t>91</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2c3a6a7655134c9e9bd8f0ce966f7ea4">
              <w:r>
                <w:rPr>
                  <w:rStyle w:val="InternetLink"/>
                  <w:rFonts w:ascii="Times New Roman;serif" w:hAnsi="Times New Roman;serif"/>
                  <w:b w:val="false"/>
                  <w:strike w:val="false"/>
                  <w:dstrike w:val="false"/>
                  <w:color w:val="000000"/>
                  <w:sz w:val="24"/>
                  <w:u w:val="none"/>
                  <w:effect w:val="none"/>
                </w:rPr>
                <w:t xml:space="preserve">Section 3.15.    Perfected Security Interests.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3a6a7655134c9e9bd8f0ce966f7ea4">
              <w:r>
                <w:rPr>
                  <w:rStyle w:val="InternetLink"/>
                  <w:rFonts w:ascii="Times New Roman;serif" w:hAnsi="Times New Roman;serif"/>
                  <w:b w:val="false"/>
                  <w:strike w:val="false"/>
                  <w:dstrike w:val="false"/>
                  <w:color w:val="000000"/>
                  <w:sz w:val="24"/>
                  <w:u w:val="none"/>
                  <w:effect w:val="none"/>
                </w:rPr>
                <w:t>91</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a919489f44384324a6109c02361ebfdb">
              <w:r>
                <w:rPr>
                  <w:rStyle w:val="InternetLink"/>
                  <w:rFonts w:ascii="Times New Roman;serif" w:hAnsi="Times New Roman;serif"/>
                  <w:b w:val="false"/>
                  <w:strike w:val="false"/>
                  <w:dstrike w:val="false"/>
                  <w:color w:val="000000"/>
                  <w:sz w:val="24"/>
                  <w:u w:val="none"/>
                  <w:effect w:val="none"/>
                </w:rPr>
                <w:t xml:space="preserve">Section 3.16.    Payment of Taxes.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19489f44384324a6109c02361ebfdb">
              <w:r>
                <w:rPr>
                  <w:rStyle w:val="InternetLink"/>
                  <w:rFonts w:ascii="Times New Roman;serif" w:hAnsi="Times New Roman;serif"/>
                  <w:b w:val="false"/>
                  <w:strike w:val="false"/>
                  <w:dstrike w:val="false"/>
                  <w:color w:val="000000"/>
                  <w:sz w:val="24"/>
                  <w:u w:val="none"/>
                  <w:effect w:val="none"/>
                </w:rPr>
                <w:t>92</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925cbcee748d45a685c334af4b7638fb">
              <w:r>
                <w:rPr>
                  <w:rStyle w:val="InternetLink"/>
                  <w:rFonts w:ascii="Times New Roman;serif" w:hAnsi="Times New Roman;serif"/>
                  <w:b w:val="false"/>
                  <w:strike w:val="false"/>
                  <w:dstrike w:val="false"/>
                  <w:color w:val="000000"/>
                  <w:sz w:val="24"/>
                  <w:u w:val="none"/>
                  <w:effect w:val="none"/>
                </w:rPr>
                <w:t xml:space="preserve">Section 3.17.    Anti-Corruption Laws and Sanctions.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5cbcee748d45a685c334af4b7638fb">
              <w:r>
                <w:rPr>
                  <w:rStyle w:val="InternetLink"/>
                  <w:rFonts w:ascii="Times New Roman;serif" w:hAnsi="Times New Roman;serif"/>
                  <w:b w:val="false"/>
                  <w:strike w:val="false"/>
                  <w:dstrike w:val="false"/>
                  <w:color w:val="000000"/>
                  <w:sz w:val="24"/>
                  <w:u w:val="none"/>
                  <w:effect w:val="none"/>
                </w:rPr>
                <w:t>92</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28"/>
              <w:jc w:val="both"/>
              <w:rPr/>
            </w:pPr>
            <w:hyperlink w:anchor="i4799bd7c60a84d62a907289b359d14a9">
              <w:r>
                <w:rPr>
                  <w:rStyle w:val="InternetLink"/>
                  <w:rFonts w:ascii="Times New Roman;serif" w:hAnsi="Times New Roman;serif"/>
                  <w:b w:val="false"/>
                  <w:strike w:val="false"/>
                  <w:dstrike w:val="false"/>
                  <w:color w:val="000000"/>
                  <w:sz w:val="24"/>
                  <w:u w:val="none"/>
                  <w:effect w:val="none"/>
                </w:rPr>
                <w:t>SECTION 4.</w:t>
                <w:br/>
                <w:br/>
                <w:t>CONDITIONS OF LENDING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99bd7c60a84d62a907289b359d14a9">
              <w:r>
                <w:rPr>
                  <w:rStyle w:val="InternetLink"/>
                  <w:rFonts w:ascii="Times New Roman;serif" w:hAnsi="Times New Roman;serif"/>
                  <w:b w:val="false"/>
                  <w:strike w:val="false"/>
                  <w:dstrike w:val="false"/>
                  <w:color w:val="000000"/>
                  <w:sz w:val="24"/>
                  <w:u w:val="none"/>
                  <w:effect w:val="none"/>
                </w:rPr>
                <w:t>92</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d24ef274b5924366b6ba73d84838dd93">
              <w:r>
                <w:rPr>
                  <w:rStyle w:val="InternetLink"/>
                  <w:rFonts w:ascii="Times New Roman;serif" w:hAnsi="Times New Roman;serif"/>
                  <w:b w:val="false"/>
                  <w:strike w:val="false"/>
                  <w:dstrike w:val="false"/>
                  <w:color w:val="000000"/>
                  <w:sz w:val="24"/>
                  <w:u w:val="none"/>
                  <w:effect w:val="none"/>
                </w:rPr>
                <w:t xml:space="preserve">Section 4.01.    Conditions Precedent to Closing.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4ef274b5924366b6ba73d84838dd93">
              <w:r>
                <w:rPr>
                  <w:rStyle w:val="InternetLink"/>
                  <w:rFonts w:ascii="Times New Roman;serif" w:hAnsi="Times New Roman;serif"/>
                  <w:b w:val="false"/>
                  <w:strike w:val="false"/>
                  <w:dstrike w:val="false"/>
                  <w:color w:val="000000"/>
                  <w:sz w:val="24"/>
                  <w:u w:val="none"/>
                  <w:effect w:val="none"/>
                </w:rPr>
                <w:t>92</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d573fc9e00a3463eb13ac0755525a3d9">
              <w:r>
                <w:rPr>
                  <w:rStyle w:val="InternetLink"/>
                  <w:rFonts w:ascii="Times New Roman;serif" w:hAnsi="Times New Roman;serif"/>
                  <w:b w:val="false"/>
                  <w:strike w:val="false"/>
                  <w:dstrike w:val="false"/>
                  <w:color w:val="000000"/>
                  <w:sz w:val="24"/>
                  <w:u w:val="none"/>
                  <w:effect w:val="none"/>
                </w:rPr>
                <w:t xml:space="preserve">Section 4.02.    Conditions Precedent to Each Loan and Each Letter of Credit.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73fc9e00a3463eb13ac0755525a3d9">
              <w:r>
                <w:rPr>
                  <w:rStyle w:val="InternetLink"/>
                  <w:rFonts w:ascii="Times New Roman;serif" w:hAnsi="Times New Roman;serif"/>
                  <w:b w:val="false"/>
                  <w:strike w:val="false"/>
                  <w:dstrike w:val="false"/>
                  <w:color w:val="000000"/>
                  <w:sz w:val="24"/>
                  <w:u w:val="none"/>
                  <w:effect w:val="none"/>
                </w:rPr>
                <w:t>95</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28"/>
              <w:jc w:val="both"/>
              <w:rPr/>
            </w:pPr>
            <w:hyperlink w:anchor="icaa8b568d93644aeac4e44929d57108f">
              <w:r>
                <w:rPr>
                  <w:rStyle w:val="InternetLink"/>
                  <w:rFonts w:ascii="Times New Roman;serif" w:hAnsi="Times New Roman;serif"/>
                  <w:b w:val="false"/>
                  <w:strike w:val="false"/>
                  <w:dstrike w:val="false"/>
                  <w:color w:val="000000"/>
                  <w:sz w:val="24"/>
                  <w:u w:val="none"/>
                  <w:effect w:val="none"/>
                </w:rPr>
                <w:t>SECTION 5.</w:t>
                <w:br/>
                <w:br/>
                <w:t>AFFIRMATIVE COVENANTS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a8b568d93644aeac4e44929d57108f">
              <w:r>
                <w:rPr>
                  <w:rStyle w:val="InternetLink"/>
                  <w:rFonts w:ascii="Times New Roman;serif" w:hAnsi="Times New Roman;serif"/>
                  <w:b w:val="false"/>
                  <w:strike w:val="false"/>
                  <w:dstrike w:val="false"/>
                  <w:color w:val="000000"/>
                  <w:sz w:val="24"/>
                  <w:u w:val="none"/>
                  <w:effect w:val="none"/>
                </w:rPr>
                <w:t>96</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64ba21c0219b44469a68c0b411349713">
              <w:r>
                <w:rPr>
                  <w:rStyle w:val="InternetLink"/>
                  <w:rFonts w:ascii="Times New Roman;serif" w:hAnsi="Times New Roman;serif"/>
                  <w:b w:val="false"/>
                  <w:strike w:val="false"/>
                  <w:dstrike w:val="false"/>
                  <w:color w:val="000000"/>
                  <w:sz w:val="24"/>
                  <w:u w:val="none"/>
                  <w:effect w:val="none"/>
                </w:rPr>
                <w:t xml:space="preserve">Section 5.01.    Financial Statements, Reports, etc.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ba21c0219b44469a68c0b411349713">
              <w:r>
                <w:rPr>
                  <w:rStyle w:val="InternetLink"/>
                  <w:rFonts w:ascii="Times New Roman;serif" w:hAnsi="Times New Roman;serif"/>
                  <w:b w:val="false"/>
                  <w:strike w:val="false"/>
                  <w:dstrike w:val="false"/>
                  <w:color w:val="000000"/>
                  <w:sz w:val="24"/>
                  <w:u w:val="none"/>
                  <w:effect w:val="none"/>
                </w:rPr>
                <w:t>96</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e02a3203a4ce4e0fa184fc3ff0f8921e">
              <w:r>
                <w:rPr>
                  <w:rStyle w:val="InternetLink"/>
                  <w:rFonts w:ascii="Times New Roman;serif" w:hAnsi="Times New Roman;serif"/>
                  <w:b w:val="false"/>
                  <w:strike w:val="false"/>
                  <w:dstrike w:val="false"/>
                  <w:color w:val="000000"/>
                  <w:sz w:val="24"/>
                  <w:u w:val="none"/>
                  <w:effect w:val="none"/>
                </w:rPr>
                <w:t xml:space="preserve">Section 5.02.    Taxes.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2a3203a4ce4e0fa184fc3ff0f8921e">
              <w:r>
                <w:rPr>
                  <w:rStyle w:val="InternetLink"/>
                  <w:rFonts w:ascii="Times New Roman;serif" w:hAnsi="Times New Roman;serif"/>
                  <w:b w:val="false"/>
                  <w:strike w:val="false"/>
                  <w:dstrike w:val="false"/>
                  <w:color w:val="000000"/>
                  <w:sz w:val="24"/>
                  <w:u w:val="none"/>
                  <w:effect w:val="none"/>
                </w:rPr>
                <w:t>98</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886b3c22ffbb4648b4fa10b865b270e0">
              <w:r>
                <w:rPr>
                  <w:rStyle w:val="InternetLink"/>
                  <w:rFonts w:ascii="Times New Roman;serif" w:hAnsi="Times New Roman;serif"/>
                  <w:b w:val="false"/>
                  <w:strike w:val="false"/>
                  <w:dstrike w:val="false"/>
                  <w:color w:val="000000"/>
                  <w:sz w:val="24"/>
                  <w:u w:val="none"/>
                  <w:effect w:val="none"/>
                </w:rPr>
                <w:t xml:space="preserve">Section 5.03.    Stay, Extension and Usury Laws.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6b3c22ffbb4648b4fa10b865b270e0">
              <w:r>
                <w:rPr>
                  <w:rStyle w:val="InternetLink"/>
                  <w:rFonts w:ascii="Times New Roman;serif" w:hAnsi="Times New Roman;serif"/>
                  <w:b w:val="false"/>
                  <w:strike w:val="false"/>
                  <w:dstrike w:val="false"/>
                  <w:color w:val="000000"/>
                  <w:sz w:val="24"/>
                  <w:u w:val="none"/>
                  <w:effect w:val="none"/>
                </w:rPr>
                <w:t>98</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2f958dfb13384580b4989ff5307c72b4">
              <w:r>
                <w:rPr>
                  <w:rStyle w:val="InternetLink"/>
                  <w:rFonts w:ascii="Times New Roman;serif" w:hAnsi="Times New Roman;serif"/>
                  <w:b w:val="false"/>
                  <w:strike w:val="false"/>
                  <w:dstrike w:val="false"/>
                  <w:color w:val="000000"/>
                  <w:sz w:val="24"/>
                  <w:u w:val="none"/>
                  <w:effect w:val="none"/>
                </w:rPr>
                <w:t xml:space="preserve">Section 5.04.    Corporate Existence.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958dfb13384580b4989ff5307c72b4">
              <w:r>
                <w:rPr>
                  <w:rStyle w:val="InternetLink"/>
                  <w:rFonts w:ascii="Times New Roman;serif" w:hAnsi="Times New Roman;serif"/>
                  <w:b w:val="false"/>
                  <w:strike w:val="false"/>
                  <w:dstrike w:val="false"/>
                  <w:color w:val="000000"/>
                  <w:sz w:val="24"/>
                  <w:u w:val="none"/>
                  <w:effect w:val="none"/>
                </w:rPr>
                <w:t>98</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bdb418940ec2450e928ce3060187032f">
              <w:r>
                <w:rPr>
                  <w:rStyle w:val="InternetLink"/>
                  <w:rFonts w:ascii="Times New Roman;serif" w:hAnsi="Times New Roman;serif"/>
                  <w:b w:val="false"/>
                  <w:strike w:val="false"/>
                  <w:dstrike w:val="false"/>
                  <w:color w:val="000000"/>
                  <w:sz w:val="24"/>
                  <w:u w:val="none"/>
                  <w:effect w:val="none"/>
                </w:rPr>
                <w:t xml:space="preserve">Section 5.05.    Compliance with Laws.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b418940ec2450e928ce3060187032f">
              <w:r>
                <w:rPr>
                  <w:rStyle w:val="InternetLink"/>
                  <w:rFonts w:ascii="Times New Roman;serif" w:hAnsi="Times New Roman;serif"/>
                  <w:b w:val="false"/>
                  <w:strike w:val="false"/>
                  <w:dstrike w:val="false"/>
                  <w:color w:val="000000"/>
                  <w:sz w:val="24"/>
                  <w:u w:val="none"/>
                  <w:effect w:val="none"/>
                </w:rPr>
                <w:t>99</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813de5cffbfe457182adf4446e30acca">
              <w:r>
                <w:rPr>
                  <w:rStyle w:val="InternetLink"/>
                  <w:rFonts w:ascii="Times New Roman;serif" w:hAnsi="Times New Roman;serif"/>
                  <w:b w:val="false"/>
                  <w:strike w:val="false"/>
                  <w:dstrike w:val="false"/>
                  <w:color w:val="000000"/>
                  <w:sz w:val="24"/>
                  <w:u w:val="none"/>
                  <w:effect w:val="none"/>
                </w:rPr>
                <w:t>Section 5.06.    Designation of Restricted and Unrestricted Subsidiaries.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3de5cffbfe457182adf4446e30acca">
              <w:r>
                <w:rPr>
                  <w:rStyle w:val="InternetLink"/>
                  <w:rFonts w:ascii="Times New Roman;serif" w:hAnsi="Times New Roman;serif"/>
                  <w:b w:val="false"/>
                  <w:strike w:val="false"/>
                  <w:dstrike w:val="false"/>
                  <w:color w:val="000000"/>
                  <w:sz w:val="24"/>
                  <w:u w:val="none"/>
                  <w:effect w:val="none"/>
                </w:rPr>
                <w:t>99</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156d1250a2424077a164a490beafe571">
              <w:r>
                <w:rPr>
                  <w:rStyle w:val="InternetLink"/>
                  <w:rFonts w:ascii="Times New Roman;serif" w:hAnsi="Times New Roman;serif"/>
                  <w:b w:val="false"/>
                  <w:strike w:val="false"/>
                  <w:dstrike w:val="false"/>
                  <w:color w:val="000000"/>
                  <w:sz w:val="24"/>
                  <w:u w:val="none"/>
                  <w:effect w:val="none"/>
                </w:rPr>
                <w:t xml:space="preserve">Section 5.07.    Delivery of Appraisals.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6d1250a2424077a164a490beafe571">
              <w:r>
                <w:rPr>
                  <w:rStyle w:val="InternetLink"/>
                  <w:rFonts w:ascii="Times New Roman;serif" w:hAnsi="Times New Roman;serif"/>
                  <w:b w:val="false"/>
                  <w:strike w:val="false"/>
                  <w:dstrike w:val="false"/>
                  <w:color w:val="000000"/>
                  <w:sz w:val="24"/>
                  <w:u w:val="none"/>
                  <w:effect w:val="none"/>
                </w:rPr>
                <w:t>99</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e58574a52ac8485a8ddc02042ce5842a">
              <w:r>
                <w:rPr>
                  <w:rStyle w:val="InternetLink"/>
                  <w:rFonts w:ascii="Times New Roman;serif" w:hAnsi="Times New Roman;serif"/>
                  <w:b w:val="false"/>
                  <w:strike w:val="false"/>
                  <w:dstrike w:val="false"/>
                  <w:color w:val="000000"/>
                  <w:sz w:val="24"/>
                  <w:u w:val="none"/>
                  <w:effect w:val="none"/>
                </w:rPr>
                <w:t xml:space="preserve">Section 5.08.    Regulatory Cooperation.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8574a52ac8485a8ddc02042ce5842a">
              <w:r>
                <w:rPr>
                  <w:rStyle w:val="InternetLink"/>
                  <w:rFonts w:ascii="Times New Roman;serif" w:hAnsi="Times New Roman;serif"/>
                  <w:b w:val="false"/>
                  <w:strike w:val="false"/>
                  <w:dstrike w:val="false"/>
                  <w:color w:val="000000"/>
                  <w:sz w:val="24"/>
                  <w:u w:val="none"/>
                  <w:effect w:val="none"/>
                </w:rPr>
                <w:t>99</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76c5816bc0c2484a8a30e7da61913250">
              <w:r>
                <w:rPr>
                  <w:rStyle w:val="InternetLink"/>
                  <w:rFonts w:ascii="Times New Roman;serif" w:hAnsi="Times New Roman;serif"/>
                  <w:b w:val="false"/>
                  <w:strike w:val="false"/>
                  <w:dstrike w:val="false"/>
                  <w:color w:val="000000"/>
                  <w:sz w:val="24"/>
                  <w:u w:val="none"/>
                  <w:effect w:val="none"/>
                </w:rPr>
                <w:t>Section 5.09.    Regulatory Matters; Citizenship; Utilization; Collateral Requirements.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c5816bc0c2484a8a30e7da61913250">
              <w:r>
                <w:rPr>
                  <w:rStyle w:val="InternetLink"/>
                  <w:rFonts w:ascii="Times New Roman;serif" w:hAnsi="Times New Roman;serif"/>
                  <w:b w:val="false"/>
                  <w:strike w:val="false"/>
                  <w:dstrike w:val="false"/>
                  <w:color w:val="000000"/>
                  <w:sz w:val="24"/>
                  <w:u w:val="none"/>
                  <w:effect w:val="none"/>
                </w:rPr>
                <w:t>100</w:t>
              </w:r>
            </w:hyperlink>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898e80f2c3c04657aa54bb9ed401db33">
              <w:r>
                <w:rPr>
                  <w:rStyle w:val="InternetLink"/>
                  <w:rFonts w:ascii="Times New Roman;serif" w:hAnsi="Times New Roman;serif"/>
                  <w:b w:val="false"/>
                  <w:strike w:val="false"/>
                  <w:dstrike w:val="false"/>
                  <w:color w:val="000000"/>
                  <w:sz w:val="24"/>
                  <w:u w:val="none"/>
                  <w:effect w:val="none"/>
                </w:rPr>
                <w:t xml:space="preserve">Section 5.10.    Collateral Ownership.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8e80f2c3c04657aa54bb9ed401db33">
              <w:r>
                <w:rPr>
                  <w:rStyle w:val="InternetLink"/>
                  <w:rFonts w:ascii="Times New Roman;serif" w:hAnsi="Times New Roman;serif"/>
                  <w:b w:val="false"/>
                  <w:strike w:val="false"/>
                  <w:dstrike w:val="false"/>
                  <w:color w:val="000000"/>
                  <w:sz w:val="24"/>
                  <w:u w:val="none"/>
                  <w:effect w:val="none"/>
                </w:rPr>
                <w:t>102</w:t>
              </w:r>
            </w:hyperlink>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25145"/>
                <wp:effectExtent l="0" t="0" r="0" b="0"/>
                <wp:wrapNone/>
                <wp:docPr id="38" name="Frame3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tbl>
      <w:tblPr>
        <w:tblW w:w="7350" w:type="dxa"/>
        <w:jc w:val="left"/>
        <w:tblInd w:w="0" w:type="dxa"/>
        <w:tblLayout w:type="fixed"/>
        <w:tblCellMar>
          <w:top w:w="28" w:type="dxa"/>
          <w:left w:w="28" w:type="dxa"/>
          <w:bottom w:w="28" w:type="dxa"/>
          <w:right w:w="28" w:type="dxa"/>
        </w:tblCellMar>
      </w:tblPr>
      <w:tblGrid>
        <w:gridCol w:w="2479"/>
        <w:gridCol w:w="2180"/>
        <w:gridCol w:w="2180"/>
        <w:gridCol w:w="149"/>
        <w:gridCol w:w="149"/>
        <w:gridCol w:w="213"/>
      </w:tblGrid>
      <w:tr>
        <w:trPr/>
        <w:tc>
          <w:tcPr>
            <w:tcW w:w="247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44f9e94874b04024afc3b413078e2593">
              <w:r>
                <w:rPr>
                  <w:rStyle w:val="InternetLink"/>
                  <w:rFonts w:ascii="Times New Roman;serif" w:hAnsi="Times New Roman;serif"/>
                  <w:b w:val="false"/>
                  <w:strike w:val="false"/>
                  <w:dstrike w:val="false"/>
                  <w:color w:val="000000"/>
                  <w:sz w:val="24"/>
                  <w:u w:val="none"/>
                  <w:effect w:val="none"/>
                </w:rPr>
                <w:t xml:space="preserve">Section 5.11.    Reserved.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f9e94874b04024afc3b413078e2593">
              <w:r>
                <w:rPr>
                  <w:rStyle w:val="InternetLink"/>
                  <w:rFonts w:ascii="Times New Roman;serif" w:hAnsi="Times New Roman;serif"/>
                  <w:b w:val="false"/>
                  <w:strike w:val="false"/>
                  <w:dstrike w:val="false"/>
                  <w:color w:val="000000"/>
                  <w:sz w:val="24"/>
                  <w:u w:val="none"/>
                  <w:effect w:val="none"/>
                </w:rPr>
                <w:t>102</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926105b8abeb4ba4886a60ebeeb0dd0c">
              <w:r>
                <w:rPr>
                  <w:rStyle w:val="InternetLink"/>
                  <w:rFonts w:ascii="Times New Roman;serif" w:hAnsi="Times New Roman;serif"/>
                  <w:b w:val="false"/>
                  <w:strike w:val="false"/>
                  <w:dstrike w:val="false"/>
                  <w:color w:val="000000"/>
                  <w:sz w:val="24"/>
                  <w:u w:val="none"/>
                  <w:effect w:val="none"/>
                </w:rPr>
                <w:t xml:space="preserve">Section 5.12.    Additional Guarantors; Grantors; Collateral.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105b8abeb4ba4886a60ebeeb0dd0c">
              <w:r>
                <w:rPr>
                  <w:rStyle w:val="InternetLink"/>
                  <w:rFonts w:ascii="Times New Roman;serif" w:hAnsi="Times New Roman;serif"/>
                  <w:b w:val="false"/>
                  <w:strike w:val="false"/>
                  <w:dstrike w:val="false"/>
                  <w:color w:val="000000"/>
                  <w:sz w:val="24"/>
                  <w:u w:val="none"/>
                  <w:effect w:val="none"/>
                </w:rPr>
                <w:t>102</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42cabc51841b4195bff102372aee42b7">
              <w:r>
                <w:rPr>
                  <w:rStyle w:val="InternetLink"/>
                  <w:rFonts w:ascii="Times New Roman;serif" w:hAnsi="Times New Roman;serif"/>
                  <w:b w:val="false"/>
                  <w:strike w:val="false"/>
                  <w:dstrike w:val="false"/>
                  <w:color w:val="000000"/>
                  <w:sz w:val="24"/>
                  <w:u w:val="none"/>
                  <w:effect w:val="none"/>
                </w:rPr>
                <w:t xml:space="preserve">Section 5.13.    Access to Books and Records.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cabc51841b4195bff102372aee42b7">
              <w:r>
                <w:rPr>
                  <w:rStyle w:val="InternetLink"/>
                  <w:rFonts w:ascii="Times New Roman;serif" w:hAnsi="Times New Roman;serif"/>
                  <w:b w:val="false"/>
                  <w:strike w:val="false"/>
                  <w:dstrike w:val="false"/>
                  <w:color w:val="000000"/>
                  <w:sz w:val="24"/>
                  <w:u w:val="none"/>
                  <w:effect w:val="none"/>
                </w:rPr>
                <w:t>102</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2acab1a8ebb14faa8635ae6e1e757f1b">
              <w:r>
                <w:rPr>
                  <w:rStyle w:val="InternetLink"/>
                  <w:rFonts w:ascii="Times New Roman;serif" w:hAnsi="Times New Roman;serif"/>
                  <w:b w:val="false"/>
                  <w:strike w:val="false"/>
                  <w:dstrike w:val="false"/>
                  <w:color w:val="000000"/>
                  <w:sz w:val="24"/>
                  <w:u w:val="none"/>
                  <w:effect w:val="none"/>
                </w:rPr>
                <w:t xml:space="preserve">Section 5.14.    Further Assurances.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cab1a8ebb14faa8635ae6e1e757f1b">
              <w:r>
                <w:rPr>
                  <w:rStyle w:val="InternetLink"/>
                  <w:rFonts w:ascii="Times New Roman;serif" w:hAnsi="Times New Roman;serif"/>
                  <w:b w:val="false"/>
                  <w:strike w:val="false"/>
                  <w:dstrike w:val="false"/>
                  <w:color w:val="000000"/>
                  <w:sz w:val="24"/>
                  <w:u w:val="none"/>
                  <w:effect w:val="none"/>
                </w:rPr>
                <w:t>103</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28"/>
              <w:jc w:val="both"/>
              <w:rPr/>
            </w:pPr>
            <w:hyperlink w:anchor="ifa4a821a4d634c7b906fb06fd219d9dd">
              <w:r>
                <w:rPr>
                  <w:rStyle w:val="InternetLink"/>
                  <w:rFonts w:ascii="Times New Roman;serif" w:hAnsi="Times New Roman;serif"/>
                  <w:b w:val="false"/>
                  <w:strike w:val="false"/>
                  <w:dstrike w:val="false"/>
                  <w:color w:val="000000"/>
                  <w:sz w:val="24"/>
                  <w:u w:val="none"/>
                  <w:effect w:val="none"/>
                </w:rPr>
                <w:t>SECTION 6.</w:t>
                <w:br/>
                <w:br/>
                <w:t>NEGATIVE COVENANTS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4a821a4d634c7b906fb06fd219d9dd">
              <w:r>
                <w:rPr>
                  <w:rStyle w:val="InternetLink"/>
                  <w:rFonts w:ascii="Times New Roman;serif" w:hAnsi="Times New Roman;serif"/>
                  <w:b w:val="false"/>
                  <w:strike w:val="false"/>
                  <w:dstrike w:val="false"/>
                  <w:color w:val="000000"/>
                  <w:sz w:val="24"/>
                  <w:u w:val="none"/>
                  <w:effect w:val="none"/>
                </w:rPr>
                <w:t>104</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c1e92c00a07f45828e94a1532ad5d014">
              <w:r>
                <w:rPr>
                  <w:rStyle w:val="InternetLink"/>
                  <w:rFonts w:ascii="Times New Roman;serif" w:hAnsi="Times New Roman;serif"/>
                  <w:b w:val="false"/>
                  <w:strike w:val="false"/>
                  <w:dstrike w:val="false"/>
                  <w:color w:val="000000"/>
                  <w:sz w:val="24"/>
                  <w:u w:val="none"/>
                  <w:effect w:val="none"/>
                </w:rPr>
                <w:t>Section 6.01.    [Intentionally Omitted].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e92c00a07f45828e94a1532ad5d014">
              <w:r>
                <w:rPr>
                  <w:rStyle w:val="InternetLink"/>
                  <w:rFonts w:ascii="Times New Roman;serif" w:hAnsi="Times New Roman;serif"/>
                  <w:b w:val="false"/>
                  <w:strike w:val="false"/>
                  <w:dstrike w:val="false"/>
                  <w:color w:val="000000"/>
                  <w:sz w:val="24"/>
                  <w:u w:val="none"/>
                  <w:effect w:val="none"/>
                </w:rPr>
                <w:t>104</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fec734f0e7454dbba5d9c8c414758d81">
              <w:r>
                <w:rPr>
                  <w:rStyle w:val="InternetLink"/>
                  <w:rFonts w:ascii="Times New Roman;serif" w:hAnsi="Times New Roman;serif"/>
                  <w:b w:val="false"/>
                  <w:strike w:val="false"/>
                  <w:dstrike w:val="false"/>
                  <w:color w:val="000000"/>
                  <w:sz w:val="24"/>
                  <w:u w:val="none"/>
                  <w:effect w:val="none"/>
                </w:rPr>
                <w:t>Section 6.02.    [Intentionally Omitted].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c734f0e7454dbba5d9c8c414758d81">
              <w:r>
                <w:rPr>
                  <w:rStyle w:val="InternetLink"/>
                  <w:rFonts w:ascii="Times New Roman;serif" w:hAnsi="Times New Roman;serif"/>
                  <w:b w:val="false"/>
                  <w:strike w:val="false"/>
                  <w:dstrike w:val="false"/>
                  <w:color w:val="000000"/>
                  <w:sz w:val="24"/>
                  <w:u w:val="none"/>
                  <w:effect w:val="none"/>
                </w:rPr>
                <w:t>104</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6fe3c1dbfd774e1ea8252b341c309210">
              <w:r>
                <w:rPr>
                  <w:rStyle w:val="InternetLink"/>
                  <w:rFonts w:ascii="Times New Roman;serif" w:hAnsi="Times New Roman;serif"/>
                  <w:b w:val="false"/>
                  <w:strike w:val="false"/>
                  <w:dstrike w:val="false"/>
                  <w:color w:val="000000"/>
                  <w:sz w:val="24"/>
                  <w:u w:val="none"/>
                  <w:effect w:val="none"/>
                </w:rPr>
                <w:t>Section 6.03.    [Intentionally Omitted].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e3c1dbfd774e1ea8252b341c309210">
              <w:r>
                <w:rPr>
                  <w:rStyle w:val="InternetLink"/>
                  <w:rFonts w:ascii="Times New Roman;serif" w:hAnsi="Times New Roman;serif"/>
                  <w:b w:val="false"/>
                  <w:strike w:val="false"/>
                  <w:dstrike w:val="false"/>
                  <w:color w:val="000000"/>
                  <w:sz w:val="24"/>
                  <w:u w:val="none"/>
                  <w:effect w:val="none"/>
                </w:rPr>
                <w:t>104</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d86659bab2264fe7a8fd08397a2bfdad">
              <w:r>
                <w:rPr>
                  <w:rStyle w:val="InternetLink"/>
                  <w:rFonts w:ascii="Times New Roman;serif" w:hAnsi="Times New Roman;serif"/>
                  <w:b w:val="false"/>
                  <w:strike w:val="false"/>
                  <w:dstrike w:val="false"/>
                  <w:color w:val="000000"/>
                  <w:sz w:val="24"/>
                  <w:u w:val="none"/>
                  <w:effect w:val="none"/>
                </w:rPr>
                <w:t xml:space="preserve">Section 6.04.    Disposition of Collateral.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6659bab2264fe7a8fd08397a2bfdad">
              <w:r>
                <w:rPr>
                  <w:rStyle w:val="InternetLink"/>
                  <w:rFonts w:ascii="Times New Roman;serif" w:hAnsi="Times New Roman;serif"/>
                  <w:b w:val="false"/>
                  <w:strike w:val="false"/>
                  <w:dstrike w:val="false"/>
                  <w:color w:val="000000"/>
                  <w:sz w:val="24"/>
                  <w:u w:val="none"/>
                  <w:effect w:val="none"/>
                </w:rPr>
                <w:t>104</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47c88dcae0a94be48398aca21c7506f2">
              <w:r>
                <w:rPr>
                  <w:rStyle w:val="InternetLink"/>
                  <w:rFonts w:ascii="Times New Roman;serif" w:hAnsi="Times New Roman;serif"/>
                  <w:b w:val="false"/>
                  <w:strike w:val="false"/>
                  <w:dstrike w:val="false"/>
                  <w:color w:val="000000"/>
                  <w:sz w:val="24"/>
                  <w:u w:val="none"/>
                  <w:effect w:val="none"/>
                </w:rPr>
                <w:t>Section 6.05.    [Intentionally Omitted].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c88dcae0a94be48398aca21c7506f2">
              <w:r>
                <w:rPr>
                  <w:rStyle w:val="InternetLink"/>
                  <w:rFonts w:ascii="Times New Roman;serif" w:hAnsi="Times New Roman;serif"/>
                  <w:b w:val="false"/>
                  <w:strike w:val="false"/>
                  <w:dstrike w:val="false"/>
                  <w:color w:val="000000"/>
                  <w:sz w:val="24"/>
                  <w:u w:val="none"/>
                  <w:effect w:val="none"/>
                </w:rPr>
                <w:t>105</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8f3cc395d6564f2283c1c275ffd49fbe">
              <w:r>
                <w:rPr>
                  <w:rStyle w:val="InternetLink"/>
                  <w:rFonts w:ascii="Times New Roman;serif" w:hAnsi="Times New Roman;serif"/>
                  <w:b w:val="false"/>
                  <w:strike w:val="false"/>
                  <w:dstrike w:val="false"/>
                  <w:color w:val="000000"/>
                  <w:sz w:val="24"/>
                  <w:u w:val="none"/>
                  <w:effect w:val="none"/>
                </w:rPr>
                <w:t xml:space="preserve">Section 6.06.    Liens.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3cc395d6564f2283c1c275ffd49fbe">
              <w:r>
                <w:rPr>
                  <w:rStyle w:val="InternetLink"/>
                  <w:rFonts w:ascii="Times New Roman;serif" w:hAnsi="Times New Roman;serif"/>
                  <w:b w:val="false"/>
                  <w:strike w:val="false"/>
                  <w:dstrike w:val="false"/>
                  <w:color w:val="000000"/>
                  <w:sz w:val="24"/>
                  <w:u w:val="none"/>
                  <w:effect w:val="none"/>
                </w:rPr>
                <w:t>105</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4017b9de4b5e4ce792a31e20fb28bd64">
              <w:r>
                <w:rPr>
                  <w:rStyle w:val="InternetLink"/>
                  <w:rFonts w:ascii="Times New Roman;serif" w:hAnsi="Times New Roman;serif"/>
                  <w:b w:val="false"/>
                  <w:strike w:val="false"/>
                  <w:dstrike w:val="false"/>
                  <w:color w:val="000000"/>
                  <w:sz w:val="24"/>
                  <w:u w:val="none"/>
                  <w:effect w:val="none"/>
                </w:rPr>
                <w:t xml:space="preserve">Section 6.07.    Business Activities.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17b9de4b5e4ce792a31e20fb28bd64">
              <w:r>
                <w:rPr>
                  <w:rStyle w:val="InternetLink"/>
                  <w:rFonts w:ascii="Times New Roman;serif" w:hAnsi="Times New Roman;serif"/>
                  <w:b w:val="false"/>
                  <w:strike w:val="false"/>
                  <w:dstrike w:val="false"/>
                  <w:color w:val="000000"/>
                  <w:sz w:val="24"/>
                  <w:u w:val="none"/>
                  <w:effect w:val="none"/>
                </w:rPr>
                <w:t>105</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374bb1e8badc427a9a572d8e50622ccd">
              <w:r>
                <w:rPr>
                  <w:rStyle w:val="InternetLink"/>
                  <w:rFonts w:ascii="Times New Roman;serif" w:hAnsi="Times New Roman;serif"/>
                  <w:b w:val="false"/>
                  <w:strike w:val="false"/>
                  <w:dstrike w:val="false"/>
                  <w:color w:val="000000"/>
                  <w:sz w:val="24"/>
                  <w:u w:val="none"/>
                  <w:effect w:val="none"/>
                </w:rPr>
                <w:t xml:space="preserve">Section 6.08.    Liquidity.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4bb1e8badc427a9a572d8e50622ccd">
              <w:r>
                <w:rPr>
                  <w:rStyle w:val="InternetLink"/>
                  <w:rFonts w:ascii="Times New Roman;serif" w:hAnsi="Times New Roman;serif"/>
                  <w:b w:val="false"/>
                  <w:strike w:val="false"/>
                  <w:dstrike w:val="false"/>
                  <w:color w:val="000000"/>
                  <w:sz w:val="24"/>
                  <w:u w:val="none"/>
                  <w:effect w:val="none"/>
                </w:rPr>
                <w:t>105</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dc1523056c304a4e925ea3ac596a07ae">
              <w:r>
                <w:rPr>
                  <w:rStyle w:val="InternetLink"/>
                  <w:rFonts w:ascii="Times New Roman;serif" w:hAnsi="Times New Roman;serif"/>
                  <w:b w:val="false"/>
                  <w:strike w:val="false"/>
                  <w:dstrike w:val="false"/>
                  <w:color w:val="000000"/>
                  <w:sz w:val="24"/>
                  <w:u w:val="none"/>
                  <w:effect w:val="none"/>
                </w:rPr>
                <w:t xml:space="preserve">Section 6.09.    Collateral Coverage Ratio.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1523056c304a4e925ea3ac596a07ae">
              <w:r>
                <w:rPr>
                  <w:rStyle w:val="InternetLink"/>
                  <w:rFonts w:ascii="Times New Roman;serif" w:hAnsi="Times New Roman;serif"/>
                  <w:b w:val="false"/>
                  <w:strike w:val="false"/>
                  <w:dstrike w:val="false"/>
                  <w:color w:val="000000"/>
                  <w:sz w:val="24"/>
                  <w:u w:val="none"/>
                  <w:effect w:val="none"/>
                </w:rPr>
                <w:t>105</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d392796c89944074bbbe8e29b8d07c0a">
              <w:r>
                <w:rPr>
                  <w:rStyle w:val="InternetLink"/>
                  <w:rFonts w:ascii="Times New Roman;serif" w:hAnsi="Times New Roman;serif"/>
                  <w:b w:val="false"/>
                  <w:strike w:val="false"/>
                  <w:dstrike w:val="false"/>
                  <w:color w:val="000000"/>
                  <w:sz w:val="24"/>
                  <w:u w:val="none"/>
                  <w:effect w:val="none"/>
                </w:rPr>
                <w:t>Section 6.10.    Merger, Consolidation, or Sale of Assets.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92796c89944074bbbe8e29b8d07c0a">
              <w:r>
                <w:rPr>
                  <w:rStyle w:val="InternetLink"/>
                  <w:rFonts w:ascii="Times New Roman;serif" w:hAnsi="Times New Roman;serif"/>
                  <w:b w:val="false"/>
                  <w:strike w:val="false"/>
                  <w:dstrike w:val="false"/>
                  <w:color w:val="000000"/>
                  <w:sz w:val="24"/>
                  <w:u w:val="none"/>
                  <w:effect w:val="none"/>
                </w:rPr>
                <w:t>106</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cb2816b64ddd404190f3e55b04454be6">
              <w:r>
                <w:rPr>
                  <w:rStyle w:val="InternetLink"/>
                  <w:rFonts w:ascii="Times New Roman;serif" w:hAnsi="Times New Roman;serif"/>
                  <w:b w:val="false"/>
                  <w:strike w:val="false"/>
                  <w:dstrike w:val="false"/>
                  <w:color w:val="000000"/>
                  <w:sz w:val="24"/>
                  <w:u w:val="none"/>
                  <w:effect w:val="none"/>
                </w:rPr>
                <w:t xml:space="preserve">Section 6.11.    Use of Proceeds.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2816b64ddd404190f3e55b04454be6">
              <w:r>
                <w:rPr>
                  <w:rStyle w:val="InternetLink"/>
                  <w:rFonts w:ascii="Times New Roman;serif" w:hAnsi="Times New Roman;serif"/>
                  <w:b w:val="false"/>
                  <w:strike w:val="false"/>
                  <w:dstrike w:val="false"/>
                  <w:color w:val="000000"/>
                  <w:sz w:val="24"/>
                  <w:u w:val="none"/>
                  <w:effect w:val="none"/>
                </w:rPr>
                <w:t>108</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28"/>
              <w:jc w:val="both"/>
              <w:rPr/>
            </w:pPr>
            <w:hyperlink w:anchor="ib64eda53decd4cb2a2e19d189489deae">
              <w:r>
                <w:rPr>
                  <w:rStyle w:val="InternetLink"/>
                  <w:rFonts w:ascii="Times New Roman;serif" w:hAnsi="Times New Roman;serif"/>
                  <w:b w:val="false"/>
                  <w:strike w:val="false"/>
                  <w:dstrike w:val="false"/>
                  <w:color w:val="000000"/>
                  <w:sz w:val="24"/>
                  <w:u w:val="none"/>
                  <w:effect w:val="none"/>
                </w:rPr>
                <w:t>SECTION 7.</w:t>
                <w:br/>
                <w:br/>
                <w:t>EVENTS OF DEFAULT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4eda53decd4cb2a2e19d189489deae">
              <w:r>
                <w:rPr>
                  <w:rStyle w:val="InternetLink"/>
                  <w:rFonts w:ascii="Times New Roman;serif" w:hAnsi="Times New Roman;serif"/>
                  <w:b w:val="false"/>
                  <w:strike w:val="false"/>
                  <w:dstrike w:val="false"/>
                  <w:color w:val="000000"/>
                  <w:sz w:val="24"/>
                  <w:u w:val="none"/>
                  <w:effect w:val="none"/>
                </w:rPr>
                <w:t>108</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a1f6c7dcd3ff45e9ac9dbc91f6e1d8b0">
              <w:r>
                <w:rPr>
                  <w:rStyle w:val="InternetLink"/>
                  <w:rFonts w:ascii="Times New Roman;serif" w:hAnsi="Times New Roman;serif"/>
                  <w:b w:val="false"/>
                  <w:strike w:val="false"/>
                  <w:dstrike w:val="false"/>
                  <w:color w:val="000000"/>
                  <w:sz w:val="24"/>
                  <w:u w:val="none"/>
                  <w:effect w:val="none"/>
                </w:rPr>
                <w:t xml:space="preserve">Section 7.01.    Events of Default.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f6c7dcd3ff45e9ac9dbc91f6e1d8b0">
              <w:r>
                <w:rPr>
                  <w:rStyle w:val="InternetLink"/>
                  <w:rFonts w:ascii="Times New Roman;serif" w:hAnsi="Times New Roman;serif"/>
                  <w:b w:val="false"/>
                  <w:strike w:val="false"/>
                  <w:dstrike w:val="false"/>
                  <w:color w:val="000000"/>
                  <w:sz w:val="24"/>
                  <w:u w:val="none"/>
                  <w:effect w:val="none"/>
                </w:rPr>
                <w:t>108</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28"/>
              <w:jc w:val="both"/>
              <w:rPr/>
            </w:pPr>
            <w:hyperlink w:anchor="i33440b70188a4c289f40abf053b89bc4">
              <w:r>
                <w:rPr>
                  <w:rStyle w:val="InternetLink"/>
                  <w:rFonts w:ascii="Times New Roman;serif" w:hAnsi="Times New Roman;serif"/>
                  <w:b w:val="false"/>
                  <w:strike w:val="false"/>
                  <w:dstrike w:val="false"/>
                  <w:color w:val="000000"/>
                  <w:sz w:val="24"/>
                  <w:u w:val="none"/>
                  <w:effect w:val="none"/>
                </w:rPr>
                <w:t>SECTION 8.</w:t>
                <w:br/>
                <w:br/>
                <w:t>THE AGENTS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40b70188a4c289f40abf053b89bc4">
              <w:r>
                <w:rPr>
                  <w:rStyle w:val="InternetLink"/>
                  <w:rFonts w:ascii="Times New Roman;serif" w:hAnsi="Times New Roman;serif"/>
                  <w:b w:val="false"/>
                  <w:strike w:val="false"/>
                  <w:dstrike w:val="false"/>
                  <w:color w:val="000000"/>
                  <w:sz w:val="24"/>
                  <w:u w:val="none"/>
                  <w:effect w:val="none"/>
                </w:rPr>
                <w:t>111</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80d31636420249aeb5beeed88bd05e49">
              <w:r>
                <w:rPr>
                  <w:rStyle w:val="InternetLink"/>
                  <w:rFonts w:ascii="Times New Roman;serif" w:hAnsi="Times New Roman;serif"/>
                  <w:b w:val="false"/>
                  <w:strike w:val="false"/>
                  <w:dstrike w:val="false"/>
                  <w:color w:val="000000"/>
                  <w:sz w:val="24"/>
                  <w:u w:val="none"/>
                  <w:effect w:val="none"/>
                </w:rPr>
                <w:t>Section 8.01.    Administration by Agents.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d31636420249aeb5beeed88bd05e49">
              <w:r>
                <w:rPr>
                  <w:rStyle w:val="InternetLink"/>
                  <w:rFonts w:ascii="Times New Roman;serif" w:hAnsi="Times New Roman;serif"/>
                  <w:b w:val="false"/>
                  <w:strike w:val="false"/>
                  <w:dstrike w:val="false"/>
                  <w:color w:val="000000"/>
                  <w:sz w:val="24"/>
                  <w:u w:val="none"/>
                  <w:effect w:val="none"/>
                </w:rPr>
                <w:t>111</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0f07eb6bc2e84e66bfc5550cd34882aa">
              <w:r>
                <w:rPr>
                  <w:rStyle w:val="InternetLink"/>
                  <w:rFonts w:ascii="Times New Roman;serif" w:hAnsi="Times New Roman;serif"/>
                  <w:b w:val="false"/>
                  <w:strike w:val="false"/>
                  <w:dstrike w:val="false"/>
                  <w:color w:val="000000"/>
                  <w:sz w:val="24"/>
                  <w:u w:val="none"/>
                  <w:effect w:val="none"/>
                </w:rPr>
                <w:t xml:space="preserve">Section 8.02.    Rights of Administrative Agent and Collateral Trustee.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7eb6bc2e84e66bfc5550cd34882aa">
              <w:r>
                <w:rPr>
                  <w:rStyle w:val="InternetLink"/>
                  <w:rFonts w:ascii="Times New Roman;serif" w:hAnsi="Times New Roman;serif"/>
                  <w:b w:val="false"/>
                  <w:strike w:val="false"/>
                  <w:dstrike w:val="false"/>
                  <w:color w:val="000000"/>
                  <w:sz w:val="24"/>
                  <w:u w:val="none"/>
                  <w:effect w:val="none"/>
                </w:rPr>
                <w:t>113</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85ff648494f64e3caa14459c50972764">
              <w:r>
                <w:rPr>
                  <w:rStyle w:val="InternetLink"/>
                  <w:rFonts w:ascii="Times New Roman;serif" w:hAnsi="Times New Roman;serif"/>
                  <w:b w:val="false"/>
                  <w:strike w:val="false"/>
                  <w:dstrike w:val="false"/>
                  <w:color w:val="000000"/>
                  <w:sz w:val="24"/>
                  <w:u w:val="none"/>
                  <w:effect w:val="none"/>
                </w:rPr>
                <w:t>Section 8.03.    Liability of Agents.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f648494f64e3caa14459c50972764">
              <w:r>
                <w:rPr>
                  <w:rStyle w:val="InternetLink"/>
                  <w:rFonts w:ascii="Times New Roman;serif" w:hAnsi="Times New Roman;serif"/>
                  <w:b w:val="false"/>
                  <w:strike w:val="false"/>
                  <w:dstrike w:val="false"/>
                  <w:color w:val="000000"/>
                  <w:sz w:val="24"/>
                  <w:u w:val="none"/>
                  <w:effect w:val="none"/>
                </w:rPr>
                <w:t>113</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e7780fcb20324553b66e45279649c201">
              <w:r>
                <w:rPr>
                  <w:rStyle w:val="InternetLink"/>
                  <w:rFonts w:ascii="Times New Roman;serif" w:hAnsi="Times New Roman;serif"/>
                  <w:b w:val="false"/>
                  <w:strike w:val="false"/>
                  <w:dstrike w:val="false"/>
                  <w:color w:val="000000"/>
                  <w:sz w:val="24"/>
                  <w:u w:val="none"/>
                  <w:effect w:val="none"/>
                </w:rPr>
                <w:t xml:space="preserve">Section 8.04.    Reimbursement and Indemnification.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780fcb20324553b66e45279649c201">
              <w:r>
                <w:rPr>
                  <w:rStyle w:val="InternetLink"/>
                  <w:rFonts w:ascii="Times New Roman;serif" w:hAnsi="Times New Roman;serif"/>
                  <w:b w:val="false"/>
                  <w:strike w:val="false"/>
                  <w:dstrike w:val="false"/>
                  <w:color w:val="000000"/>
                  <w:sz w:val="24"/>
                  <w:u w:val="none"/>
                  <w:effect w:val="none"/>
                </w:rPr>
                <w:t>115</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54acc7d4fd5147108c3ed247714142a8">
              <w:r>
                <w:rPr>
                  <w:rStyle w:val="InternetLink"/>
                  <w:rFonts w:ascii="Times New Roman;serif" w:hAnsi="Times New Roman;serif"/>
                  <w:b w:val="false"/>
                  <w:strike w:val="false"/>
                  <w:dstrike w:val="false"/>
                  <w:color w:val="000000"/>
                  <w:sz w:val="24"/>
                  <w:u w:val="none"/>
                  <w:effect w:val="none"/>
                </w:rPr>
                <w:t xml:space="preserve">Section 8.05.    Successor Agents.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acc7d4fd5147108c3ed247714142a8">
              <w:r>
                <w:rPr>
                  <w:rStyle w:val="InternetLink"/>
                  <w:rFonts w:ascii="Times New Roman;serif" w:hAnsi="Times New Roman;serif"/>
                  <w:b w:val="false"/>
                  <w:strike w:val="false"/>
                  <w:dstrike w:val="false"/>
                  <w:color w:val="000000"/>
                  <w:sz w:val="24"/>
                  <w:u w:val="none"/>
                  <w:effect w:val="none"/>
                </w:rPr>
                <w:t>115</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eb3731e1a6314bc6847637494af71822">
              <w:r>
                <w:rPr>
                  <w:rStyle w:val="InternetLink"/>
                  <w:rFonts w:ascii="Times New Roman;serif" w:hAnsi="Times New Roman;serif"/>
                  <w:b w:val="false"/>
                  <w:strike w:val="false"/>
                  <w:dstrike w:val="false"/>
                  <w:color w:val="000000"/>
                  <w:sz w:val="24"/>
                  <w:u w:val="none"/>
                  <w:effect w:val="none"/>
                </w:rPr>
                <w:t xml:space="preserve">Section 8.06.    Independent Lenders.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b3731e1a6314bc6847637494af71822">
              <w:r>
                <w:rPr>
                  <w:rStyle w:val="InternetLink"/>
                  <w:rFonts w:ascii="Times New Roman;serif" w:hAnsi="Times New Roman;serif"/>
                  <w:b w:val="false"/>
                  <w:strike w:val="false"/>
                  <w:dstrike w:val="false"/>
                  <w:color w:val="000000"/>
                  <w:sz w:val="24"/>
                  <w:u w:val="none"/>
                  <w:effect w:val="none"/>
                </w:rPr>
                <w:t>116</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2794fd784a96424e8c64cd8942b99977">
              <w:r>
                <w:rPr>
                  <w:rStyle w:val="InternetLink"/>
                  <w:rFonts w:ascii="Times New Roman;serif" w:hAnsi="Times New Roman;serif"/>
                  <w:b w:val="false"/>
                  <w:strike w:val="false"/>
                  <w:dstrike w:val="false"/>
                  <w:color w:val="000000"/>
                  <w:sz w:val="24"/>
                  <w:u w:val="none"/>
                  <w:effect w:val="none"/>
                </w:rPr>
                <w:t>Section 8.07.    Advances and Payments.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94fd784a96424e8c64cd8942b99977">
              <w:r>
                <w:rPr>
                  <w:rStyle w:val="InternetLink"/>
                  <w:rFonts w:ascii="Times New Roman;serif" w:hAnsi="Times New Roman;serif"/>
                  <w:b w:val="false"/>
                  <w:strike w:val="false"/>
                  <w:dstrike w:val="false"/>
                  <w:color w:val="000000"/>
                  <w:sz w:val="24"/>
                  <w:u w:val="none"/>
                  <w:effect w:val="none"/>
                </w:rPr>
                <w:t>116</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4b66fbde13854698ac6d232ac7de8fe6">
              <w:r>
                <w:rPr>
                  <w:rStyle w:val="InternetLink"/>
                  <w:rFonts w:ascii="Times New Roman;serif" w:hAnsi="Times New Roman;serif"/>
                  <w:b w:val="false"/>
                  <w:strike w:val="false"/>
                  <w:dstrike w:val="false"/>
                  <w:color w:val="000000"/>
                  <w:sz w:val="24"/>
                  <w:u w:val="none"/>
                  <w:effect w:val="none"/>
                </w:rPr>
                <w:t xml:space="preserve">Section 8.08.    Sharing of Setoffs.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66fbde13854698ac6d232ac7de8fe6">
              <w:r>
                <w:rPr>
                  <w:rStyle w:val="InternetLink"/>
                  <w:rFonts w:ascii="Times New Roman;serif" w:hAnsi="Times New Roman;serif"/>
                  <w:b w:val="false"/>
                  <w:strike w:val="false"/>
                  <w:dstrike w:val="false"/>
                  <w:color w:val="000000"/>
                  <w:sz w:val="24"/>
                  <w:u w:val="none"/>
                  <w:effect w:val="none"/>
                </w:rPr>
                <w:t>118</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7a376500acc44dc09254aac4090cfb1a">
              <w:r>
                <w:rPr>
                  <w:rStyle w:val="InternetLink"/>
                  <w:rFonts w:ascii="Times New Roman;serif" w:hAnsi="Times New Roman;serif"/>
                  <w:b w:val="false"/>
                  <w:strike w:val="false"/>
                  <w:dstrike w:val="false"/>
                  <w:color w:val="000000"/>
                  <w:sz w:val="24"/>
                  <w:u w:val="none"/>
                  <w:effect w:val="none"/>
                </w:rPr>
                <w:t xml:space="preserve">Section 8.09.    Withholding Taxes.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376500acc44dc09254aac4090cfb1a">
              <w:r>
                <w:rPr>
                  <w:rStyle w:val="InternetLink"/>
                  <w:rFonts w:ascii="Times New Roman;serif" w:hAnsi="Times New Roman;serif"/>
                  <w:b w:val="false"/>
                  <w:strike w:val="false"/>
                  <w:dstrike w:val="false"/>
                  <w:color w:val="000000"/>
                  <w:sz w:val="24"/>
                  <w:u w:val="none"/>
                  <w:effect w:val="none"/>
                </w:rPr>
                <w:t>119</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5c7a4a71ad534ccba54f60d0a36d61c2">
              <w:r>
                <w:rPr>
                  <w:rStyle w:val="InternetLink"/>
                  <w:rFonts w:ascii="Times New Roman;serif" w:hAnsi="Times New Roman;serif"/>
                  <w:b w:val="false"/>
                  <w:strike w:val="false"/>
                  <w:dstrike w:val="false"/>
                  <w:color w:val="000000"/>
                  <w:sz w:val="24"/>
                  <w:u w:val="none"/>
                  <w:effect w:val="none"/>
                </w:rPr>
                <w:t xml:space="preserve">Section 8.10.    Appointment by Secured Parties.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7a4a71ad534ccba54f60d0a36d61c2">
              <w:r>
                <w:rPr>
                  <w:rStyle w:val="InternetLink"/>
                  <w:rFonts w:ascii="Times New Roman;serif" w:hAnsi="Times New Roman;serif"/>
                  <w:b w:val="false"/>
                  <w:strike w:val="false"/>
                  <w:dstrike w:val="false"/>
                  <w:color w:val="000000"/>
                  <w:sz w:val="24"/>
                  <w:u w:val="none"/>
                  <w:effect w:val="none"/>
                </w:rPr>
                <w:t>119</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10e7027b36204113b046ed6ec8beb6c1">
              <w:r>
                <w:rPr>
                  <w:rStyle w:val="InternetLink"/>
                  <w:rFonts w:ascii="Times New Roman;serif" w:hAnsi="Times New Roman;serif"/>
                  <w:b w:val="false"/>
                  <w:strike w:val="false"/>
                  <w:dstrike w:val="false"/>
                  <w:color w:val="000000"/>
                  <w:sz w:val="24"/>
                  <w:u w:val="none"/>
                  <w:effect w:val="none"/>
                </w:rPr>
                <w:t xml:space="preserve">Section 8.11.    Non-Extending Lenders.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e7027b36204113b046ed6ec8beb6c1">
              <w:r>
                <w:rPr>
                  <w:rStyle w:val="InternetLink"/>
                  <w:rFonts w:ascii="Times New Roman;serif" w:hAnsi="Times New Roman;serif"/>
                  <w:b w:val="false"/>
                  <w:strike w:val="false"/>
                  <w:dstrike w:val="false"/>
                  <w:color w:val="000000"/>
                  <w:sz w:val="24"/>
                  <w:u w:val="none"/>
                  <w:effect w:val="none"/>
                </w:rPr>
                <w:t>119</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28"/>
              <w:jc w:val="both"/>
              <w:rPr/>
            </w:pPr>
            <w:hyperlink w:anchor="ia6f917804eba4503aec63f558931bffc">
              <w:r>
                <w:rPr>
                  <w:rStyle w:val="InternetLink"/>
                  <w:rFonts w:ascii="Times New Roman;serif" w:hAnsi="Times New Roman;serif"/>
                  <w:b w:val="false"/>
                  <w:strike w:val="false"/>
                  <w:dstrike w:val="false"/>
                  <w:color w:val="000000"/>
                  <w:sz w:val="24"/>
                  <w:u w:val="none"/>
                  <w:effect w:val="none"/>
                </w:rPr>
                <w:t>SECTION 9.</w:t>
                <w:br/>
                <w:br/>
                <w:t>GUARANTY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f917804eba4503aec63f558931bffc">
              <w:r>
                <w:rPr>
                  <w:rStyle w:val="InternetLink"/>
                  <w:rFonts w:ascii="Times New Roman;serif" w:hAnsi="Times New Roman;serif"/>
                  <w:b w:val="false"/>
                  <w:strike w:val="false"/>
                  <w:dstrike w:val="false"/>
                  <w:color w:val="000000"/>
                  <w:sz w:val="24"/>
                  <w:u w:val="none"/>
                  <w:effect w:val="none"/>
                </w:rPr>
                <w:t>119</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e68234ed0ae34e4c9d1abd2cf2bfc4fb">
              <w:r>
                <w:rPr>
                  <w:rStyle w:val="InternetLink"/>
                  <w:rFonts w:ascii="Times New Roman;serif" w:hAnsi="Times New Roman;serif"/>
                  <w:b w:val="false"/>
                  <w:strike w:val="false"/>
                  <w:dstrike w:val="false"/>
                  <w:color w:val="000000"/>
                  <w:sz w:val="24"/>
                  <w:u w:val="none"/>
                  <w:effect w:val="none"/>
                </w:rPr>
                <w:t>Section 9.01.    Guaranty.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8234ed0ae34e4c9d1abd2cf2bfc4fb">
              <w:r>
                <w:rPr>
                  <w:rStyle w:val="InternetLink"/>
                  <w:rFonts w:ascii="Times New Roman;serif" w:hAnsi="Times New Roman;serif"/>
                  <w:b w:val="false"/>
                  <w:strike w:val="false"/>
                  <w:dstrike w:val="false"/>
                  <w:color w:val="000000"/>
                  <w:sz w:val="24"/>
                  <w:u w:val="none"/>
                  <w:effect w:val="none"/>
                </w:rPr>
                <w:t>119</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c3f9b7d389064e688ab66e4e713a9b19">
              <w:r>
                <w:rPr>
                  <w:rStyle w:val="InternetLink"/>
                  <w:rFonts w:ascii="Times New Roman;serif" w:hAnsi="Times New Roman;serif"/>
                  <w:b w:val="false"/>
                  <w:strike w:val="false"/>
                  <w:dstrike w:val="false"/>
                  <w:color w:val="000000"/>
                  <w:sz w:val="24"/>
                  <w:u w:val="none"/>
                  <w:effect w:val="none"/>
                </w:rPr>
                <w:t xml:space="preserve">Section 9.02.    No Impairment of Guaranty.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3f9b7d389064e688ab66e4e713a9b19">
              <w:r>
                <w:rPr>
                  <w:rStyle w:val="InternetLink"/>
                  <w:rFonts w:ascii="Times New Roman;serif" w:hAnsi="Times New Roman;serif"/>
                  <w:b w:val="false"/>
                  <w:strike w:val="false"/>
                  <w:dstrike w:val="false"/>
                  <w:color w:val="000000"/>
                  <w:sz w:val="24"/>
                  <w:u w:val="none"/>
                  <w:effect w:val="none"/>
                </w:rPr>
                <w:t>121</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66e33d6748e84a86830bb6b41738caef">
              <w:r>
                <w:rPr>
                  <w:rStyle w:val="InternetLink"/>
                  <w:rFonts w:ascii="Times New Roman;serif" w:hAnsi="Times New Roman;serif"/>
                  <w:b w:val="false"/>
                  <w:strike w:val="false"/>
                  <w:dstrike w:val="false"/>
                  <w:color w:val="000000"/>
                  <w:sz w:val="24"/>
                  <w:u w:val="none"/>
                  <w:effect w:val="none"/>
                </w:rPr>
                <w:t xml:space="preserve">Section 9.03.    Continuation and Reinstatement, etc.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e33d6748e84a86830bb6b41738caef">
              <w:r>
                <w:rPr>
                  <w:rStyle w:val="InternetLink"/>
                  <w:rFonts w:ascii="Times New Roman;serif" w:hAnsi="Times New Roman;serif"/>
                  <w:b w:val="false"/>
                  <w:strike w:val="false"/>
                  <w:dstrike w:val="false"/>
                  <w:color w:val="000000"/>
                  <w:sz w:val="24"/>
                  <w:u w:val="none"/>
                  <w:effect w:val="none"/>
                </w:rPr>
                <w:t>121</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ee659613b8df4a8283fba37fd4054002">
              <w:r>
                <w:rPr>
                  <w:rStyle w:val="InternetLink"/>
                  <w:rFonts w:ascii="Times New Roman;serif" w:hAnsi="Times New Roman;serif"/>
                  <w:b w:val="false"/>
                  <w:strike w:val="false"/>
                  <w:dstrike w:val="false"/>
                  <w:color w:val="000000"/>
                  <w:sz w:val="24"/>
                  <w:u w:val="none"/>
                  <w:effect w:val="none"/>
                </w:rPr>
                <w:t xml:space="preserve">Section 9.04.    Subrogation.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59613b8df4a8283fba37fd4054002">
              <w:r>
                <w:rPr>
                  <w:rStyle w:val="InternetLink"/>
                  <w:rFonts w:ascii="Times New Roman;serif" w:hAnsi="Times New Roman;serif"/>
                  <w:b w:val="false"/>
                  <w:strike w:val="false"/>
                  <w:dstrike w:val="false"/>
                  <w:color w:val="000000"/>
                  <w:sz w:val="24"/>
                  <w:u w:val="none"/>
                  <w:effect w:val="none"/>
                </w:rPr>
                <w:t>121</w:t>
              </w:r>
            </w:hyperlink>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25145"/>
                <wp:effectExtent l="0" t="0" r="0" b="0"/>
                <wp:wrapNone/>
                <wp:docPr id="39" name="Frame3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tbl>
      <w:tblPr>
        <w:tblW w:w="9526" w:type="dxa"/>
        <w:jc w:val="left"/>
        <w:tblInd w:w="0" w:type="dxa"/>
        <w:tblLayout w:type="fixed"/>
        <w:tblCellMar>
          <w:top w:w="28" w:type="dxa"/>
          <w:left w:w="28" w:type="dxa"/>
          <w:bottom w:w="28" w:type="dxa"/>
          <w:right w:w="28" w:type="dxa"/>
        </w:tblCellMar>
      </w:tblPr>
      <w:tblGrid>
        <w:gridCol w:w="3269"/>
        <w:gridCol w:w="2873"/>
        <w:gridCol w:w="2873"/>
        <w:gridCol w:w="149"/>
        <w:gridCol w:w="149"/>
        <w:gridCol w:w="21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351fa06dfd9046f5abdaa321bd6b561c">
              <w:r>
                <w:rPr>
                  <w:rStyle w:val="InternetLink"/>
                  <w:rFonts w:ascii="Times New Roman;serif" w:hAnsi="Times New Roman;serif"/>
                  <w:b w:val="false"/>
                  <w:strike w:val="false"/>
                  <w:dstrike w:val="false"/>
                  <w:color w:val="000000"/>
                  <w:sz w:val="24"/>
                  <w:u w:val="none"/>
                  <w:effect w:val="none"/>
                </w:rPr>
                <w:t>Section 9.05.    Discharge of Guaranty.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1fa06dfd9046f5abdaa321bd6b561c">
              <w:r>
                <w:rPr>
                  <w:rStyle w:val="InternetLink"/>
                  <w:rFonts w:ascii="Times New Roman;serif" w:hAnsi="Times New Roman;serif"/>
                  <w:b w:val="false"/>
                  <w:strike w:val="false"/>
                  <w:dstrike w:val="false"/>
                  <w:color w:val="000000"/>
                  <w:sz w:val="24"/>
                  <w:u w:val="none"/>
                  <w:effect w:val="none"/>
                </w:rPr>
                <w:t>121</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28"/>
              <w:jc w:val="both"/>
              <w:rPr/>
            </w:pPr>
            <w:hyperlink w:anchor="i3247263843a34895a6a7bc34521667bd">
              <w:r>
                <w:rPr>
                  <w:rStyle w:val="InternetLink"/>
                  <w:rFonts w:ascii="Times New Roman;serif" w:hAnsi="Times New Roman;serif"/>
                  <w:b w:val="false"/>
                  <w:strike w:val="false"/>
                  <w:dstrike w:val="false"/>
                  <w:color w:val="000000"/>
                  <w:sz w:val="24"/>
                  <w:u w:val="none"/>
                  <w:effect w:val="none"/>
                </w:rPr>
                <w:t>SECTION 10.</w:t>
                <w:br/>
                <w:br/>
                <w:t>MISCELLANEOUS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47263843a34895a6a7bc34521667bd">
              <w:r>
                <w:rPr>
                  <w:rStyle w:val="InternetLink"/>
                  <w:rFonts w:ascii="Times New Roman;serif" w:hAnsi="Times New Roman;serif"/>
                  <w:b w:val="false"/>
                  <w:strike w:val="false"/>
                  <w:dstrike w:val="false"/>
                  <w:color w:val="000000"/>
                  <w:sz w:val="24"/>
                  <w:u w:val="none"/>
                  <w:effect w:val="none"/>
                </w:rPr>
                <w:t>122</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627d146013fa478493dabcf864356c19">
              <w:r>
                <w:rPr>
                  <w:rStyle w:val="InternetLink"/>
                  <w:rFonts w:ascii="Times New Roman;serif" w:hAnsi="Times New Roman;serif"/>
                  <w:b w:val="false"/>
                  <w:strike w:val="false"/>
                  <w:dstrike w:val="false"/>
                  <w:color w:val="000000"/>
                  <w:sz w:val="24"/>
                  <w:u w:val="none"/>
                  <w:effect w:val="none"/>
                </w:rPr>
                <w:t>Section 10.01.    Notices.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7d146013fa478493dabcf864356c19">
              <w:r>
                <w:rPr>
                  <w:rStyle w:val="InternetLink"/>
                  <w:rFonts w:ascii="Times New Roman;serif" w:hAnsi="Times New Roman;serif"/>
                  <w:b w:val="false"/>
                  <w:strike w:val="false"/>
                  <w:dstrike w:val="false"/>
                  <w:color w:val="000000"/>
                  <w:sz w:val="24"/>
                  <w:u w:val="none"/>
                  <w:effect w:val="none"/>
                </w:rPr>
                <w:t>122</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aeb9fd078bcf40b5acb6936d15233cfb">
              <w:r>
                <w:rPr>
                  <w:rStyle w:val="InternetLink"/>
                  <w:rFonts w:ascii="Times New Roman;serif" w:hAnsi="Times New Roman;serif"/>
                  <w:b w:val="false"/>
                  <w:strike w:val="false"/>
                  <w:dstrike w:val="false"/>
                  <w:color w:val="000000"/>
                  <w:sz w:val="24"/>
                  <w:u w:val="none"/>
                  <w:effect w:val="none"/>
                </w:rPr>
                <w:t>Section 10.02.    Successors and Assigns.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b9fd078bcf40b5acb6936d15233cfb">
              <w:r>
                <w:rPr>
                  <w:rStyle w:val="InternetLink"/>
                  <w:rFonts w:ascii="Times New Roman;serif" w:hAnsi="Times New Roman;serif"/>
                  <w:b w:val="false"/>
                  <w:strike w:val="false"/>
                  <w:dstrike w:val="false"/>
                  <w:color w:val="000000"/>
                  <w:sz w:val="24"/>
                  <w:u w:val="none"/>
                  <w:effect w:val="none"/>
                </w:rPr>
                <w:t>123</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0fc818567dfa43eebf1dcb0e0eab4356">
              <w:r>
                <w:rPr>
                  <w:rStyle w:val="InternetLink"/>
                  <w:rFonts w:ascii="Times New Roman;serif" w:hAnsi="Times New Roman;serif"/>
                  <w:b w:val="false"/>
                  <w:strike w:val="false"/>
                  <w:dstrike w:val="false"/>
                  <w:color w:val="000000"/>
                  <w:sz w:val="24"/>
                  <w:u w:val="none"/>
                  <w:effect w:val="none"/>
                </w:rPr>
                <w:t xml:space="preserve">Section 10.03.    Confidentiality.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c818567dfa43eebf1dcb0e0eab4356">
              <w:r>
                <w:rPr>
                  <w:rStyle w:val="InternetLink"/>
                  <w:rFonts w:ascii="Times New Roman;serif" w:hAnsi="Times New Roman;serif"/>
                  <w:b w:val="false"/>
                  <w:strike w:val="false"/>
                  <w:dstrike w:val="false"/>
                  <w:color w:val="000000"/>
                  <w:sz w:val="24"/>
                  <w:u w:val="none"/>
                  <w:effect w:val="none"/>
                </w:rPr>
                <w:t>128</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9e015f5fd3734a5aa6481e1155607d7a">
              <w:r>
                <w:rPr>
                  <w:rStyle w:val="InternetLink"/>
                  <w:rFonts w:ascii="Times New Roman;serif" w:hAnsi="Times New Roman;serif"/>
                  <w:b w:val="false"/>
                  <w:strike w:val="false"/>
                  <w:dstrike w:val="false"/>
                  <w:color w:val="000000"/>
                  <w:sz w:val="24"/>
                  <w:u w:val="none"/>
                  <w:effect w:val="none"/>
                </w:rPr>
                <w:t>Section 10.04.    Expenses; Indemnity; Damage Waiver.</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015f5fd3734a5aa6481e1155607d7a">
              <w:r>
                <w:rPr>
                  <w:rStyle w:val="InternetLink"/>
                  <w:rFonts w:ascii="Times New Roman;serif" w:hAnsi="Times New Roman;serif"/>
                  <w:b w:val="false"/>
                  <w:strike w:val="false"/>
                  <w:dstrike w:val="false"/>
                  <w:color w:val="000000"/>
                  <w:sz w:val="24"/>
                  <w:u w:val="none"/>
                  <w:effect w:val="none"/>
                </w:rPr>
                <w:t>129</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a6cfd57108684b9f8ed18348ed269e68">
              <w:r>
                <w:rPr>
                  <w:rStyle w:val="InternetLink"/>
                  <w:rFonts w:ascii="Times New Roman;serif" w:hAnsi="Times New Roman;serif"/>
                  <w:b w:val="false"/>
                  <w:strike w:val="false"/>
                  <w:dstrike w:val="false"/>
                  <w:color w:val="000000"/>
                  <w:sz w:val="24"/>
                  <w:u w:val="none"/>
                  <w:effect w:val="none"/>
                </w:rPr>
                <w:t>Section 10.05.    Governing Law; Jurisdiction; Consent to Service of Process.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cfd57108684b9f8ed18348ed269e68">
              <w:r>
                <w:rPr>
                  <w:rStyle w:val="InternetLink"/>
                  <w:rFonts w:ascii="Times New Roman;serif" w:hAnsi="Times New Roman;serif"/>
                  <w:b w:val="false"/>
                  <w:strike w:val="false"/>
                  <w:dstrike w:val="false"/>
                  <w:color w:val="000000"/>
                  <w:sz w:val="24"/>
                  <w:u w:val="none"/>
                  <w:effect w:val="none"/>
                </w:rPr>
                <w:t>131</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1957748bc847418d995feee11a25da88">
              <w:r>
                <w:rPr>
                  <w:rStyle w:val="InternetLink"/>
                  <w:rFonts w:ascii="Times New Roman;serif" w:hAnsi="Times New Roman;serif"/>
                  <w:b w:val="false"/>
                  <w:strike w:val="false"/>
                  <w:dstrike w:val="false"/>
                  <w:color w:val="000000"/>
                  <w:sz w:val="24"/>
                  <w:u w:val="none"/>
                  <w:effect w:val="none"/>
                </w:rPr>
                <w:t xml:space="preserve">Section 10.06.    No Waiver.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57748bc847418d995feee11a25da88">
              <w:r>
                <w:rPr>
                  <w:rStyle w:val="InternetLink"/>
                  <w:rFonts w:ascii="Times New Roman;serif" w:hAnsi="Times New Roman;serif"/>
                  <w:b w:val="false"/>
                  <w:strike w:val="false"/>
                  <w:dstrike w:val="false"/>
                  <w:color w:val="000000"/>
                  <w:sz w:val="24"/>
                  <w:u w:val="none"/>
                  <w:effect w:val="none"/>
                </w:rPr>
                <w:t>132</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8cbc76bfe23c435fa79ac5672d9a291a">
              <w:r>
                <w:rPr>
                  <w:rStyle w:val="InternetLink"/>
                  <w:rFonts w:ascii="Times New Roman;serif" w:hAnsi="Times New Roman;serif"/>
                  <w:b w:val="false"/>
                  <w:strike w:val="false"/>
                  <w:dstrike w:val="false"/>
                  <w:color w:val="000000"/>
                  <w:sz w:val="24"/>
                  <w:u w:val="none"/>
                  <w:effect w:val="none"/>
                </w:rPr>
                <w:t xml:space="preserve">Section 10.07.    Extension of Maturity.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bc76bfe23c435fa79ac5672d9a291a">
              <w:r>
                <w:rPr>
                  <w:rStyle w:val="InternetLink"/>
                  <w:rFonts w:ascii="Times New Roman;serif" w:hAnsi="Times New Roman;serif"/>
                  <w:b w:val="false"/>
                  <w:strike w:val="false"/>
                  <w:dstrike w:val="false"/>
                  <w:color w:val="000000"/>
                  <w:sz w:val="24"/>
                  <w:u w:val="none"/>
                  <w:effect w:val="none"/>
                </w:rPr>
                <w:t>132</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85ce686f9d394ddf9ee6a7e60c2be4e5">
              <w:r>
                <w:rPr>
                  <w:rStyle w:val="InternetLink"/>
                  <w:rFonts w:ascii="Times New Roman;serif" w:hAnsi="Times New Roman;serif"/>
                  <w:b w:val="false"/>
                  <w:strike w:val="false"/>
                  <w:dstrike w:val="false"/>
                  <w:color w:val="000000"/>
                  <w:sz w:val="24"/>
                  <w:u w:val="none"/>
                  <w:effect w:val="none"/>
                </w:rPr>
                <w:t>Section 10.08.    Amendments, etc.</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ce686f9d394ddf9ee6a7e60c2be4e5">
              <w:r>
                <w:rPr>
                  <w:rStyle w:val="InternetLink"/>
                  <w:rFonts w:ascii="Times New Roman;serif" w:hAnsi="Times New Roman;serif"/>
                  <w:b w:val="false"/>
                  <w:strike w:val="false"/>
                  <w:dstrike w:val="false"/>
                  <w:color w:val="000000"/>
                  <w:sz w:val="24"/>
                  <w:u w:val="none"/>
                  <w:effect w:val="none"/>
                </w:rPr>
                <w:t>132</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36cb343e0e404521b2177764a6697ce4">
              <w:r>
                <w:rPr>
                  <w:rStyle w:val="InternetLink"/>
                  <w:rFonts w:ascii="Times New Roman;serif" w:hAnsi="Times New Roman;serif"/>
                  <w:b w:val="false"/>
                  <w:strike w:val="false"/>
                  <w:dstrike w:val="false"/>
                  <w:color w:val="000000"/>
                  <w:sz w:val="24"/>
                  <w:u w:val="none"/>
                  <w:effect w:val="none"/>
                </w:rPr>
                <w:t xml:space="preserve">Section 10.09.    Severability.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b343e0e404521b2177764a6697ce4">
              <w:r>
                <w:rPr>
                  <w:rStyle w:val="InternetLink"/>
                  <w:rFonts w:ascii="Times New Roman;serif" w:hAnsi="Times New Roman;serif"/>
                  <w:b w:val="false"/>
                  <w:strike w:val="false"/>
                  <w:dstrike w:val="false"/>
                  <w:color w:val="000000"/>
                  <w:sz w:val="24"/>
                  <w:u w:val="none"/>
                  <w:effect w:val="none"/>
                </w:rPr>
                <w:t>135</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9fec8fa8e94f4c90b5a5aa25f4cc8df8">
              <w:r>
                <w:rPr>
                  <w:rStyle w:val="InternetLink"/>
                  <w:rFonts w:ascii="Times New Roman;serif" w:hAnsi="Times New Roman;serif"/>
                  <w:b w:val="false"/>
                  <w:strike w:val="false"/>
                  <w:dstrike w:val="false"/>
                  <w:color w:val="000000"/>
                  <w:sz w:val="24"/>
                  <w:u w:val="none"/>
                  <w:effect w:val="none"/>
                </w:rPr>
                <w:t xml:space="preserve">Section 10.10.    Headings.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ec8fa8e94f4c90b5a5aa25f4cc8df8">
              <w:r>
                <w:rPr>
                  <w:rStyle w:val="InternetLink"/>
                  <w:rFonts w:ascii="Times New Roman;serif" w:hAnsi="Times New Roman;serif"/>
                  <w:b w:val="false"/>
                  <w:strike w:val="false"/>
                  <w:dstrike w:val="false"/>
                  <w:color w:val="000000"/>
                  <w:sz w:val="24"/>
                  <w:u w:val="none"/>
                  <w:effect w:val="none"/>
                </w:rPr>
                <w:t>135</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2ea8aaebdad24fcc83eddd851f4dcfcf">
              <w:r>
                <w:rPr>
                  <w:rStyle w:val="InternetLink"/>
                  <w:rFonts w:ascii="Times New Roman;serif" w:hAnsi="Times New Roman;serif"/>
                  <w:b w:val="false"/>
                  <w:strike w:val="false"/>
                  <w:dstrike w:val="false"/>
                  <w:color w:val="000000"/>
                  <w:sz w:val="24"/>
                  <w:u w:val="none"/>
                  <w:effect w:val="none"/>
                </w:rPr>
                <w:t xml:space="preserve">Section 10.11.    Survival.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a8aaebdad24fcc83eddd851f4dcfcf">
              <w:r>
                <w:rPr>
                  <w:rStyle w:val="InternetLink"/>
                  <w:rFonts w:ascii="Times New Roman;serif" w:hAnsi="Times New Roman;serif"/>
                  <w:b w:val="false"/>
                  <w:strike w:val="false"/>
                  <w:dstrike w:val="false"/>
                  <w:color w:val="000000"/>
                  <w:sz w:val="24"/>
                  <w:u w:val="none"/>
                  <w:effect w:val="none"/>
                </w:rPr>
                <w:t>135</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7e2086a310c94ea2adb9489276e09313">
              <w:r>
                <w:rPr>
                  <w:rStyle w:val="InternetLink"/>
                  <w:rFonts w:ascii="Times New Roman;serif" w:hAnsi="Times New Roman;serif"/>
                  <w:b w:val="false"/>
                  <w:strike w:val="false"/>
                  <w:dstrike w:val="false"/>
                  <w:color w:val="000000"/>
                  <w:sz w:val="24"/>
                  <w:u w:val="none"/>
                  <w:effect w:val="none"/>
                </w:rPr>
                <w:t xml:space="preserve">Section 10.12.    Execution in Counterparts; Integration; Effectiveness.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2086a310c94ea2adb9489276e09313">
              <w:r>
                <w:rPr>
                  <w:rStyle w:val="InternetLink"/>
                  <w:rFonts w:ascii="Times New Roman;serif" w:hAnsi="Times New Roman;serif"/>
                  <w:b w:val="false"/>
                  <w:strike w:val="false"/>
                  <w:dstrike w:val="false"/>
                  <w:color w:val="000000"/>
                  <w:sz w:val="24"/>
                  <w:u w:val="none"/>
                  <w:effect w:val="none"/>
                </w:rPr>
                <w:t>136</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bb3590236c5b4e26a5445772904460b6">
              <w:r>
                <w:rPr>
                  <w:rStyle w:val="InternetLink"/>
                  <w:rFonts w:ascii="Times New Roman;serif" w:hAnsi="Times New Roman;serif"/>
                  <w:b w:val="false"/>
                  <w:strike w:val="false"/>
                  <w:dstrike w:val="false"/>
                  <w:color w:val="000000"/>
                  <w:sz w:val="24"/>
                  <w:u w:val="none"/>
                  <w:effect w:val="none"/>
                </w:rPr>
                <w:t xml:space="preserve">Section 10.13.    USA Patriot Act; Beneficial Ownership Regulation.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3590236c5b4e26a5445772904460b6">
              <w:r>
                <w:rPr>
                  <w:rStyle w:val="InternetLink"/>
                  <w:rFonts w:ascii="Times New Roman;serif" w:hAnsi="Times New Roman;serif"/>
                  <w:b w:val="false"/>
                  <w:strike w:val="false"/>
                  <w:dstrike w:val="false"/>
                  <w:color w:val="000000"/>
                  <w:sz w:val="24"/>
                  <w:u w:val="none"/>
                  <w:effect w:val="none"/>
                </w:rPr>
                <w:t>136</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cdb338ad376e4f2ea5c5081f719b7251">
              <w:r>
                <w:rPr>
                  <w:rStyle w:val="InternetLink"/>
                  <w:rFonts w:ascii="Times New Roman;serif" w:hAnsi="Times New Roman;serif"/>
                  <w:b w:val="false"/>
                  <w:strike w:val="false"/>
                  <w:dstrike w:val="false"/>
                  <w:color w:val="000000"/>
                  <w:sz w:val="24"/>
                  <w:u w:val="none"/>
                  <w:effect w:val="none"/>
                </w:rPr>
                <w:t xml:space="preserve">Section 10.14.    New Value.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b338ad376e4f2ea5c5081f719b7251">
              <w:r>
                <w:rPr>
                  <w:rStyle w:val="InternetLink"/>
                  <w:rFonts w:ascii="Times New Roman;serif" w:hAnsi="Times New Roman;serif"/>
                  <w:b w:val="false"/>
                  <w:strike w:val="false"/>
                  <w:dstrike w:val="false"/>
                  <w:color w:val="000000"/>
                  <w:sz w:val="24"/>
                  <w:u w:val="none"/>
                  <w:effect w:val="none"/>
                </w:rPr>
                <w:t>136</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75e34c0539c0435a9ec208f865bde434">
              <w:r>
                <w:rPr>
                  <w:rStyle w:val="InternetLink"/>
                  <w:rFonts w:ascii="Times New Roman;serif" w:hAnsi="Times New Roman;serif"/>
                  <w:b w:val="false"/>
                  <w:strike w:val="false"/>
                  <w:dstrike w:val="false"/>
                  <w:color w:val="000000"/>
                  <w:sz w:val="24"/>
                  <w:u w:val="none"/>
                  <w:effect w:val="none"/>
                </w:rPr>
                <w:t xml:space="preserve">Section 10.15.    WAIVER OF JURY TRIAL.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e34c0539c0435a9ec208f865bde434">
              <w:r>
                <w:rPr>
                  <w:rStyle w:val="InternetLink"/>
                  <w:rFonts w:ascii="Times New Roman;serif" w:hAnsi="Times New Roman;serif"/>
                  <w:b w:val="false"/>
                  <w:strike w:val="false"/>
                  <w:dstrike w:val="false"/>
                  <w:color w:val="000000"/>
                  <w:sz w:val="24"/>
                  <w:u w:val="none"/>
                  <w:effect w:val="none"/>
                </w:rPr>
                <w:t>136</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a9131ab57b774bbe90f4e1e22686a65b">
              <w:r>
                <w:rPr>
                  <w:rStyle w:val="InternetLink"/>
                  <w:rFonts w:ascii="Times New Roman;serif" w:hAnsi="Times New Roman;serif"/>
                  <w:b w:val="false"/>
                  <w:strike w:val="false"/>
                  <w:dstrike w:val="false"/>
                  <w:color w:val="000000"/>
                  <w:sz w:val="24"/>
                  <w:u w:val="none"/>
                  <w:effect w:val="none"/>
                </w:rPr>
                <w:t xml:space="preserve">Section 10.16.    No Fiduciary Duty, etc.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131ab57b774bbe90f4e1e22686a65b">
              <w:r>
                <w:rPr>
                  <w:rStyle w:val="InternetLink"/>
                  <w:rFonts w:ascii="Times New Roman;serif" w:hAnsi="Times New Roman;serif"/>
                  <w:b w:val="false"/>
                  <w:strike w:val="false"/>
                  <w:dstrike w:val="false"/>
                  <w:color w:val="000000"/>
                  <w:sz w:val="24"/>
                  <w:u w:val="none"/>
                  <w:effect w:val="none"/>
                </w:rPr>
                <w:t>137</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d1018c0a221d4eb8aaf0bb29f33cb0a7">
              <w:r>
                <w:rPr>
                  <w:rStyle w:val="InternetLink"/>
                  <w:rFonts w:ascii="Times New Roman;serif" w:hAnsi="Times New Roman;serif"/>
                  <w:b w:val="false"/>
                  <w:strike w:val="false"/>
                  <w:dstrike w:val="false"/>
                  <w:color w:val="000000"/>
                  <w:sz w:val="24"/>
                  <w:u w:val="none"/>
                  <w:effect w:val="none"/>
                </w:rPr>
                <w:t>Section 10.17.    [Intentionally Omitted].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018c0a221d4eb8aaf0bb29f33cb0a7">
              <w:r>
                <w:rPr>
                  <w:rStyle w:val="InternetLink"/>
                  <w:rFonts w:ascii="Times New Roman;serif" w:hAnsi="Times New Roman;serif"/>
                  <w:b w:val="false"/>
                  <w:strike w:val="false"/>
                  <w:dstrike w:val="false"/>
                  <w:color w:val="000000"/>
                  <w:sz w:val="24"/>
                  <w:u w:val="none"/>
                  <w:effect w:val="none"/>
                </w:rPr>
                <w:t>137</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dfec293398df4e59b8a1149f8a017b96">
              <w:r>
                <w:rPr>
                  <w:rStyle w:val="InternetLink"/>
                  <w:rFonts w:ascii="Times New Roman;serif" w:hAnsi="Times New Roman;serif"/>
                  <w:b w:val="false"/>
                  <w:strike w:val="false"/>
                  <w:dstrike w:val="false"/>
                  <w:color w:val="000000"/>
                  <w:sz w:val="24"/>
                  <w:u w:val="none"/>
                  <w:effect w:val="none"/>
                </w:rPr>
                <w:t xml:space="preserve">Section 10.18.    Collateral Trust Agreement.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c293398df4e59b8a1149f8a017b96">
              <w:r>
                <w:rPr>
                  <w:rStyle w:val="InternetLink"/>
                  <w:rFonts w:ascii="Times New Roman;serif" w:hAnsi="Times New Roman;serif"/>
                  <w:b w:val="false"/>
                  <w:strike w:val="false"/>
                  <w:dstrike w:val="false"/>
                  <w:color w:val="000000"/>
                  <w:sz w:val="24"/>
                  <w:u w:val="none"/>
                  <w:effect w:val="none"/>
                </w:rPr>
                <w:t>138</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14ec41210aa044c1ac214e9b4986ba00">
              <w:r>
                <w:rPr>
                  <w:rStyle w:val="InternetLink"/>
                  <w:rFonts w:ascii="Times New Roman;serif" w:hAnsi="Times New Roman;serif"/>
                  <w:b w:val="false"/>
                  <w:strike w:val="false"/>
                  <w:dstrike w:val="false"/>
                  <w:color w:val="000000"/>
                  <w:sz w:val="24"/>
                  <w:u w:val="none"/>
                  <w:effect w:val="none"/>
                </w:rPr>
                <w:t xml:space="preserve">Section 10.19.    Acknowledgement and Consent to Bail-In of Affected Financial Institutions.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4ec41210aa044c1ac214e9b4986ba00">
              <w:r>
                <w:rPr>
                  <w:rStyle w:val="InternetLink"/>
                  <w:rFonts w:ascii="Times New Roman;serif" w:hAnsi="Times New Roman;serif"/>
                  <w:b w:val="false"/>
                  <w:strike w:val="false"/>
                  <w:dstrike w:val="false"/>
                  <w:color w:val="000000"/>
                  <w:sz w:val="24"/>
                  <w:u w:val="none"/>
                  <w:effect w:val="none"/>
                </w:rPr>
                <w:t>138</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f922b5029a6d4486ab9bab3fef8dbf5d">
              <w:r>
                <w:rPr>
                  <w:rStyle w:val="InternetLink"/>
                  <w:rFonts w:ascii="Times New Roman;serif" w:hAnsi="Times New Roman;serif"/>
                  <w:b w:val="false"/>
                  <w:strike w:val="false"/>
                  <w:dstrike w:val="false"/>
                  <w:color w:val="000000"/>
                  <w:sz w:val="24"/>
                  <w:u w:val="none"/>
                  <w:effect w:val="none"/>
                </w:rPr>
                <w:t>Section 10.20.    Certain ERISA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22b5029a6d4486ab9bab3fef8dbf5d">
              <w:r>
                <w:rPr>
                  <w:rStyle w:val="InternetLink"/>
                  <w:rFonts w:ascii="Times New Roman;serif" w:hAnsi="Times New Roman;serif"/>
                  <w:b w:val="false"/>
                  <w:strike w:val="false"/>
                  <w:dstrike w:val="false"/>
                  <w:color w:val="000000"/>
                  <w:sz w:val="24"/>
                  <w:u w:val="none"/>
                  <w:effect w:val="none"/>
                </w:rPr>
                <w:t>138</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a50e8aa1eb1545ef8d76379a3d7650bd">
              <w:r>
                <w:rPr>
                  <w:rStyle w:val="InternetLink"/>
                  <w:rFonts w:ascii="Times New Roman;serif" w:hAnsi="Times New Roman;serif"/>
                  <w:b w:val="false"/>
                  <w:strike w:val="false"/>
                  <w:dstrike w:val="false"/>
                  <w:color w:val="000000"/>
                  <w:sz w:val="24"/>
                  <w:u w:val="none"/>
                  <w:effect w:val="none"/>
                </w:rPr>
                <w:t xml:space="preserve">Section 10.21.    Sustainability Linked Loan.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0e8aa1eb1545ef8d76379a3d7650bd">
              <w:r>
                <w:rPr>
                  <w:rStyle w:val="InternetLink"/>
                  <w:rFonts w:ascii="Times New Roman;serif" w:hAnsi="Times New Roman;serif"/>
                  <w:b w:val="false"/>
                  <w:strike w:val="false"/>
                  <w:dstrike w:val="false"/>
                  <w:color w:val="000000"/>
                  <w:sz w:val="24"/>
                  <w:u w:val="none"/>
                  <w:effect w:val="none"/>
                </w:rPr>
                <w:t>139</w:t>
              </w:r>
            </w:hyperlink>
          </w:p>
        </w:tc>
      </w:tr>
      <w:tr>
        <w:trPr/>
        <w:tc>
          <w:tcPr>
            <w:tcW w:w="90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791"/>
              <w:jc w:val="left"/>
              <w:rPr/>
            </w:pPr>
            <w:hyperlink w:anchor="icc565fd4284e4b76b269ef81f9baa3e0">
              <w:r>
                <w:rPr>
                  <w:rStyle w:val="InternetLink"/>
                  <w:rFonts w:ascii="Times New Roman;serif" w:hAnsi="Times New Roman;serif"/>
                  <w:b w:val="false"/>
                  <w:strike w:val="false"/>
                  <w:dstrike w:val="false"/>
                  <w:color w:val="000000"/>
                  <w:sz w:val="24"/>
                  <w:u w:val="none"/>
                  <w:effect w:val="none"/>
                </w:rPr>
                <w:t xml:space="preserve">Section 10.22.    Amendment and Restatement; No Novation; Lien Confirmation.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565fd4284e4b76b269ef81f9baa3e0">
              <w:r>
                <w:rPr>
                  <w:rStyle w:val="InternetLink"/>
                  <w:rFonts w:ascii="Times New Roman;serif" w:hAnsi="Times New Roman;serif"/>
                  <w:b w:val="false"/>
                  <w:strike w:val="false"/>
                  <w:dstrike w:val="false"/>
                  <w:color w:val="000000"/>
                  <w:sz w:val="24"/>
                  <w:u w:val="none"/>
                  <w:effect w:val="none"/>
                </w:rPr>
                <w:t>140</w:t>
              </w:r>
            </w:hyperlink>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ANNEX A        LENDERS AND COMMITMENTS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ANNEX B        LIST OF AIRCRAFT APPRAISERS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A-1        SRG SECURITY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A-2        UK DEBENTURE</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EXHIBIT B    FORM OF PRIORITY LIEN OFFICER’S CERTIFICATE (COLLATERAL TRUST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C        COLLATERAL TRUST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D        FORM OF INSTRUMENT OF ASSUMPTION AND JOINDER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E        FORM OF ASSIGNMENT AND ACCEPTANCE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F        FORM OF LOAN REQUEST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3.06    SUBSIDIARIES OF PARENT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25145"/>
                <wp:effectExtent l="0" t="0" r="0" b="0"/>
                <wp:wrapNone/>
                <wp:docPr id="40" name="Frame3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rFonts w:ascii="Times New Roman;serif" w:hAnsi="Times New Roman;serif"/>
          <w:b w:val="false"/>
          <w:color w:val="000000"/>
          <w:sz w:val="24"/>
        </w:rPr>
        <w:t>SECOND AMENDED AND RESTATED REVOLVING CREDIT AND GUARANTY AGREEMENT, dated as of October 16, 2026, among UNITED AIRLINES, INC., a Delaware corporation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UNITED AIRLINES HOLDINGS, INC., a Delaware corporation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the direct and indirect Subsidiaries of the Parent from time to time party hereto other than the Borrower, each of the several banks and other financial institutions or entities from time to time party hereto as a lender (the “</w:t>
      </w:r>
      <w:r>
        <w:rPr>
          <w:rFonts w:ascii="Times New Roman;serif" w:hAnsi="Times New Roman;serif"/>
          <w:b w:val="false"/>
          <w:color w:val="000000"/>
          <w:sz w:val="24"/>
          <w:u w:val="single"/>
        </w:rPr>
        <w:t>Lenders</w:t>
      </w:r>
      <w:r>
        <w:rPr>
          <w:color w:val="000000"/>
        </w:rPr>
        <w:t>”</w:t>
      </w:r>
      <w:r>
        <w:rPr>
          <w:rFonts w:ascii="Times New Roman;serif" w:hAnsi="Times New Roman;serif"/>
          <w:b w:val="false"/>
          <w:color w:val="000000"/>
          <w:sz w:val="24"/>
        </w:rPr>
        <w:t>), JPMORGAN CHASE BANK, N.A. (“</w:t>
      </w:r>
      <w:r>
        <w:rPr>
          <w:rFonts w:ascii="Times New Roman;serif" w:hAnsi="Times New Roman;serif"/>
          <w:b w:val="false"/>
          <w:color w:val="000000"/>
          <w:sz w:val="24"/>
          <w:u w:val="single"/>
        </w:rPr>
        <w:t>JPMCB</w:t>
      </w:r>
      <w:r>
        <w:rPr>
          <w:color w:val="000000"/>
        </w:rPr>
        <w:t>”</w:t>
      </w:r>
      <w:r>
        <w:rPr>
          <w:rFonts w:ascii="Times New Roman;serif" w:hAnsi="Times New Roman;serif"/>
          <w:b w:val="false"/>
          <w:color w:val="000000"/>
          <w:sz w:val="24"/>
        </w:rPr>
        <w:t>), as administrative agent for the Lenders (together with its permitted successors in such capacity,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and WILMINGTON TRUST, NATIONAL ASSOCIATION, not in its individual capacity, except as expressly stated herein, but solely as collateral trustee for the Secured Parties (together with its permitted successors, in such capacity, the “</w:t>
      </w:r>
      <w:r>
        <w:rPr>
          <w:rFonts w:ascii="Times New Roman;serif" w:hAnsi="Times New Roman;serif"/>
          <w:b w:val="false"/>
          <w:color w:val="000000"/>
          <w:sz w:val="24"/>
          <w:u w:val="single"/>
        </w:rPr>
        <w:t>Collateral Trustee</w:t>
      </w:r>
      <w:r>
        <w:rPr>
          <w:color w:val="000000"/>
        </w:rPr>
        <w:t>”</w:t>
      </w:r>
      <w:r>
        <w:rPr>
          <w:rFonts w:ascii="Times New Roman;serif" w:hAnsi="Times New Roman;serif"/>
          <w:b w:val="false"/>
          <w:color w:val="000000"/>
          <w:sz w:val="24"/>
        </w:rPr>
        <w:t>).</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INTRODUCTORY STATEMENT</w:t>
      </w:r>
    </w:p>
    <w:p>
      <w:pPr>
        <w:pStyle w:val="TextBody"/>
        <w:bidi w:val="0"/>
        <w:spacing w:before="0" w:after="0"/>
        <w:ind w:left="0" w:right="0" w:firstLine="1440"/>
        <w:jc w:val="left"/>
        <w:rPr/>
      </w:pPr>
      <w:r>
        <w:rPr/>
      </w:r>
    </w:p>
    <w:p>
      <w:pPr>
        <w:pStyle w:val="TextBody"/>
        <w:bidi w:val="0"/>
        <w:spacing w:lineRule="auto" w:line="276" w:before="0" w:after="0"/>
        <w:ind w:left="0" w:right="0" w:firstLine="1440"/>
        <w:jc w:val="left"/>
        <w:rPr/>
      </w:pPr>
      <w:r>
        <w:rPr>
          <w:rFonts w:ascii="Times New Roman;serif" w:hAnsi="Times New Roman;serif"/>
          <w:b w:val="false"/>
          <w:color w:val="000000"/>
          <w:sz w:val="24"/>
        </w:rPr>
        <w:t>The Borrower, Parent, the “Lenders” party thereto, (the “</w:t>
      </w:r>
      <w:r>
        <w:rPr>
          <w:rFonts w:ascii="Times New Roman;serif" w:hAnsi="Times New Roman;serif"/>
          <w:b w:val="false"/>
          <w:color w:val="000000"/>
          <w:sz w:val="24"/>
          <w:u w:val="single"/>
        </w:rPr>
        <w:t>Existing Lenders</w:t>
      </w:r>
      <w:r>
        <w:rPr>
          <w:color w:val="000000"/>
        </w:rPr>
        <w:t>”</w:t>
      </w:r>
      <w:r>
        <w:rPr>
          <w:rFonts w:ascii="Times New Roman;serif" w:hAnsi="Times New Roman;serif"/>
          <w:b w:val="false"/>
          <w:color w:val="000000"/>
          <w:sz w:val="24"/>
        </w:rPr>
        <w:t>) and the Administrative Agent, are parties to an Amended and Restated Revolving Credit and Guaranty Agreement dated as of February 15, 2024 (as amended, supplemented or otherwise modified prior to the date hereof, the “</w:t>
      </w:r>
      <w:r>
        <w:rPr>
          <w:rFonts w:ascii="Times New Roman;serif" w:hAnsi="Times New Roman;serif"/>
          <w:b w:val="false"/>
          <w:color w:val="000000"/>
          <w:sz w:val="24"/>
          <w:u w:val="single"/>
        </w:rPr>
        <w:t>Existing Credit Facility</w:t>
      </w:r>
      <w:r>
        <w:rPr>
          <w:color w:val="000000"/>
        </w:rPr>
        <w:t>”</w:t>
      </w:r>
      <w:r>
        <w:rPr>
          <w:rFonts w:ascii="Times New Roman;serif" w:hAnsi="Times New Roman;serif"/>
          <w:b w:val="false"/>
          <w:color w:val="000000"/>
          <w:sz w:val="24"/>
        </w:rPr>
        <w:t xml:space="preserve">). </w:t>
      </w:r>
    </w:p>
    <w:p>
      <w:pPr>
        <w:pStyle w:val="TextBody"/>
        <w:bidi w:val="0"/>
        <w:spacing w:before="0" w:after="0"/>
        <w:ind w:left="0" w:right="0" w:firstLine="1440"/>
        <w:jc w:val="left"/>
        <w:rPr/>
      </w:pPr>
      <w:r>
        <w:rPr/>
      </w:r>
    </w:p>
    <w:p>
      <w:pPr>
        <w:pStyle w:val="TextBody"/>
        <w:bidi w:val="0"/>
        <w:spacing w:lineRule="auto" w:line="276"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Each lender party hereto shall become or continue as a “Lender” under the Existing Credit Facility as amended and restated by this Agreement.</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Borrower has applied to the Lenders for a revolving credit and revolving letter of credit facility in an aggregate principal amount not to exceed $5,000,000,000 as of the date hereof as set forth herein.</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proceeds of the Loans will be used to pay related transaction costs, fees and expenses, and for working capital and other general corporate purposes of the Parent and its Subsidiaries.</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To provide guarantees and security for the repayment of the Loans, the reimbursement of any draft drawn under a Letter of Credit and the payment of the other obligations of the Borrower and the Guarantors hereunder and under the other Loan Documents, the Borrower and the Guarantors will, among other things, provide the following (each as more fully described herein):</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(a)    to the Administrative Agent and the Lenders, a guaranty from each Guarantor of the due and punctual payment and performance of the Obligations of the Borrower pursuant to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hereof; and</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to the Collateral Trustee, for the benefit of the Secured Parties and the other Priority Lien Secured Parties (as defined in the Collateral Trust Agreement), a security interest or mortgages (or comparable Liens) with respect to the Collateral from the Borrower and each Grantor (if any) pursuant to the Security Agreement and the other Collateral Documents, subject to the Collateral Trust Agreement.</w:t>
      </w:r>
    </w:p>
    <w:p>
      <w:pPr>
        <w:pStyle w:val="TextBody"/>
        <w:bidi w:val="0"/>
        <w:spacing w:lineRule="auto" w:line="288" w:before="18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Accordingly, the parties hereto hereby agree as follows:</w:t>
      </w:r>
    </w:p>
    <w:p>
      <w:pPr>
        <w:pStyle w:val="TextBody"/>
        <w:bidi w:val="0"/>
        <w:spacing w:before="0" w:after="0"/>
        <w:jc w:val="center"/>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90220"/>
                <wp:effectExtent l="0" t="0" r="0" b="0"/>
                <wp:wrapNone/>
                <wp:docPr id="41" name="Frame40"/>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bookmarkStart w:id="1" w:name="i8e8c9786f056477a9f3331a0611fc216"/>
      <w:bookmarkEnd w:id="1"/>
      <w:r>
        <w:rPr>
          <w:rFonts w:ascii="Times New Roman;serif" w:hAnsi="Times New Roman;serif"/>
          <w:b/>
          <w:color w:val="000000"/>
          <w:sz w:val="24"/>
        </w:rPr>
        <w:t>SECTION 1.</w:t>
        <w:br/>
        <w:br/>
        <w:t>DEFINITIONS</w:t>
      </w:r>
    </w:p>
    <w:p>
      <w:pPr>
        <w:pStyle w:val="TextBody"/>
        <w:bidi w:val="0"/>
        <w:spacing w:lineRule="auto" w:line="288" w:before="240" w:after="283"/>
        <w:ind w:left="0" w:right="0" w:firstLine="720"/>
        <w:jc w:val="left"/>
        <w:rPr/>
      </w:pPr>
      <w:bookmarkStart w:id="2" w:name="i2ccb3906d69c4091ac494e95ae7b31b8"/>
      <w:bookmarkEnd w:id="2"/>
      <w:r>
        <w:rPr>
          <w:rFonts w:ascii="Times New Roman;serif" w:hAnsi="Times New Roman;serif"/>
          <w:b w:val="false"/>
          <w:color w:val="000000"/>
          <w:sz w:val="24"/>
        </w:rPr>
        <w:t>Section 1.01.    </w:t>
      </w:r>
      <w:r>
        <w:rPr>
          <w:rFonts w:ascii="Times New Roman;serif" w:hAnsi="Times New Roman;serif"/>
          <w:b w:val="false"/>
          <w:color w:val="000000"/>
          <w:sz w:val="24"/>
          <w:u w:val="single"/>
        </w:rPr>
        <w:t>Defined Terms</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ABR</w:t>
      </w:r>
      <w:r>
        <w:rPr>
          <w:color w:val="000000"/>
        </w:rPr>
        <w:t>”</w:t>
      </w:r>
      <w:r>
        <w:rPr>
          <w:rFonts w:ascii="Times New Roman;serif" w:hAnsi="Times New Roman;serif"/>
          <w:b w:val="false"/>
          <w:color w:val="000000"/>
          <w:sz w:val="24"/>
        </w:rPr>
        <w:t>, when used in reference to any Loan or Borrowing, refers to whether such Loan is, or the Loans comprising such Borrowing are, bearing interest at a rate determined by reference to the Alternate Base Rate.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Account</w:t>
      </w:r>
      <w:r>
        <w:rPr>
          <w:color w:val="000000"/>
        </w:rPr>
        <w:t xml:space="preserve">” </w:t>
      </w:r>
      <w:r>
        <w:rPr>
          <w:rFonts w:ascii="Times New Roman;serif" w:hAnsi="Times New Roman;serif"/>
          <w:b w:val="false"/>
          <w:color w:val="000000"/>
          <w:sz w:val="24"/>
        </w:rPr>
        <w:t>shall have the meaning given to such term in the Collateral Trust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Account Control Agreements</w:t>
      </w:r>
      <w:r>
        <w:rPr>
          <w:color w:val="000000"/>
        </w:rPr>
        <w:t xml:space="preserve">” </w:t>
      </w:r>
      <w:r>
        <w:rPr>
          <w:rFonts w:ascii="Times New Roman;serif" w:hAnsi="Times New Roman;serif"/>
          <w:b w:val="false"/>
          <w:color w:val="000000"/>
          <w:sz w:val="24"/>
        </w:rPr>
        <w:t>shall have the meaning given to such term in the Collateral Trust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Administrative Agent</w:t>
      </w:r>
      <w:r>
        <w:rPr>
          <w:color w:val="000000"/>
        </w:rPr>
        <w:t xml:space="preserve">” </w:t>
      </w:r>
      <w:r>
        <w:rPr>
          <w:rFonts w:ascii="Times New Roman;serif" w:hAnsi="Times New Roman;serif"/>
          <w:b w:val="false"/>
          <w:color w:val="000000"/>
          <w:sz w:val="24"/>
        </w:rPr>
        <w:t>shall have the meaning set forth in the first paragraph of this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Administrative Agent Fee Letter</w:t>
      </w:r>
      <w:r>
        <w:rPr>
          <w:color w:val="000000"/>
        </w:rPr>
        <w:t xml:space="preserve">” </w:t>
      </w:r>
      <w:r>
        <w:rPr>
          <w:rFonts w:ascii="Times New Roman;serif" w:hAnsi="Times New Roman;serif"/>
          <w:b w:val="false"/>
          <w:color w:val="000000"/>
          <w:sz w:val="24"/>
        </w:rPr>
        <w:t>shall mean that certain Administrative Fee Letter, dated as of the date hereof, between the Administrative Agent and the Borrower.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Affected Financial Institution</w:t>
      </w:r>
      <w:r>
        <w:rPr>
          <w:color w:val="000000"/>
        </w:rPr>
        <w:t xml:space="preserve">” </w:t>
      </w:r>
      <w:r>
        <w:rPr>
          <w:rFonts w:ascii="Times New Roman;serif" w:hAnsi="Times New Roman;serif"/>
          <w:b w:val="false"/>
          <w:color w:val="000000"/>
          <w:sz w:val="24"/>
        </w:rPr>
        <w:t>means (a) any EEA Financial Institution or (b) any UK Financial Institution.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shall mean, as to any Person, any other Person which, directly or indirectly, is in control of, is controlled by, or is under common control with, such Person. For purposes of this definition, a Person (a “</w:t>
      </w:r>
      <w:r>
        <w:rPr>
          <w:rFonts w:ascii="Times New Roman;serif" w:hAnsi="Times New Roman;serif"/>
          <w:b w:val="false"/>
          <w:color w:val="000000"/>
          <w:sz w:val="24"/>
          <w:u w:val="single"/>
        </w:rPr>
        <w:t>Controlled Person</w:t>
      </w:r>
      <w:r>
        <w:rPr>
          <w:color w:val="000000"/>
        </w:rPr>
        <w:t>”</w:t>
      </w:r>
      <w:r>
        <w:rPr>
          <w:rFonts w:ascii="Times New Roman;serif" w:hAnsi="Times New Roman;serif"/>
          <w:b w:val="false"/>
          <w:color w:val="000000"/>
          <w:sz w:val="24"/>
        </w:rPr>
        <w:t>) shall be deemed to be “controlled by” another Person (a “</w:t>
      </w:r>
      <w:r>
        <w:rPr>
          <w:rFonts w:ascii="Times New Roman;serif" w:hAnsi="Times New Roman;serif"/>
          <w:b w:val="false"/>
          <w:color w:val="000000"/>
          <w:sz w:val="24"/>
          <w:u w:val="single"/>
        </w:rPr>
        <w:t>Controlling Person</w:t>
      </w:r>
      <w:r>
        <w:rPr>
          <w:color w:val="000000"/>
        </w:rPr>
        <w:t>”</w:t>
      </w:r>
      <w:r>
        <w:rPr>
          <w:rFonts w:ascii="Times New Roman;serif" w:hAnsi="Times New Roman;serif"/>
          <w:b w:val="false"/>
          <w:color w:val="000000"/>
          <w:sz w:val="24"/>
        </w:rPr>
        <w:t xml:space="preserve">) if the Controlling Person possesses, directly or indirectly, power to direct or cause the direction of the management and policies of the Controlled Person whether by contract or otherwise;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PBGC shall not be an Affiliate of the Borrower or any Guarantor.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shall mean this Second Amended and Restated Revolving Credit and Guaranty Agreement, as the same may be amended, restated, modified, supplemented, extended or amended and restated from time to time.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Aggregate Exposure</w:t>
      </w:r>
      <w:r>
        <w:rPr>
          <w:color w:val="000000"/>
        </w:rPr>
        <w:t xml:space="preserve">” </w:t>
      </w:r>
      <w:r>
        <w:rPr>
          <w:rFonts w:ascii="Times New Roman;serif" w:hAnsi="Times New Roman;serif"/>
          <w:b w:val="false"/>
          <w:color w:val="000000"/>
          <w:sz w:val="24"/>
        </w:rPr>
        <w:t>shall mean, with respect to any Lender at any time, an amount equal to the sum of the amount of such Lender’s Revolving Commitment then in effect or, if the Revolving Commitments of such Lender have been terminated, the amount of such Lender’s Revolving Extensions of Credit then outstanding.</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Aggregate Exposure Percentage</w:t>
      </w:r>
      <w:r>
        <w:rPr>
          <w:color w:val="000000"/>
        </w:rPr>
        <w:t xml:space="preserve">” </w:t>
      </w:r>
      <w:r>
        <w:rPr>
          <w:rFonts w:ascii="Times New Roman;serif" w:hAnsi="Times New Roman;serif"/>
          <w:b w:val="false"/>
          <w:color w:val="000000"/>
          <w:sz w:val="24"/>
        </w:rPr>
        <w:t>shall mean, with respect to any Lender at any time, the ratio (expressed as a percentage) of such Lender’s Aggregate Exposure at such time to the Aggregate Exposure of all Lenders at such time.</w:t>
      </w:r>
    </w:p>
    <w:p>
      <w:pPr>
        <w:pStyle w:val="TextBody"/>
        <w:bidi w:val="0"/>
        <w:spacing w:before="0" w:after="0"/>
        <w:jc w:val="center"/>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25145"/>
                <wp:effectExtent l="0" t="0" r="0" b="0"/>
                <wp:wrapNone/>
                <wp:docPr id="42" name="Frame4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Aircraft Appraiser</w:t>
      </w:r>
      <w:r>
        <w:rPr>
          <w:color w:val="000000"/>
        </w:rPr>
        <w:t xml:space="preserve">” </w:t>
      </w:r>
      <w:r>
        <w:rPr>
          <w:rFonts w:ascii="Times New Roman;serif" w:hAnsi="Times New Roman;serif"/>
          <w:b w:val="false"/>
          <w:color w:val="000000"/>
          <w:sz w:val="24"/>
        </w:rPr>
        <w:t xml:space="preserve">shall mean (i) any appraisal firm listed on </w:t>
      </w:r>
      <w:r>
        <w:rPr>
          <w:rFonts w:ascii="Times New Roman;serif" w:hAnsi="Times New Roman;serif"/>
          <w:b w:val="false"/>
          <w:color w:val="000000"/>
          <w:sz w:val="24"/>
          <w:u w:val="single"/>
        </w:rPr>
        <w:t>Annex B</w:t>
      </w:r>
      <w:r>
        <w:rPr>
          <w:color w:val="000000"/>
        </w:rPr>
        <w:t xml:space="preserve"> </w:t>
      </w:r>
      <w:r>
        <w:rPr>
          <w:rFonts w:ascii="Times New Roman;serif" w:hAnsi="Times New Roman;serif"/>
          <w:b w:val="false"/>
          <w:color w:val="000000"/>
          <w:sz w:val="24"/>
        </w:rPr>
        <w:t>hereof or (ii) any other independent appraisal firm appointed by the Borrower and reasonably satisfactory to the Administrative Agent.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Airline/Parent Merger</w:t>
      </w:r>
      <w:r>
        <w:rPr>
          <w:color w:val="000000"/>
        </w:rPr>
        <w:t xml:space="preserve">” </w:t>
      </w:r>
      <w:r>
        <w:rPr>
          <w:rFonts w:ascii="Times New Roman;serif" w:hAnsi="Times New Roman;serif"/>
          <w:b w:val="false"/>
          <w:color w:val="000000"/>
          <w:sz w:val="24"/>
        </w:rPr>
        <w:t>means the merger or consolidation, if any, of the Borrower and Parent.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Airport Authority</w:t>
      </w:r>
      <w:r>
        <w:rPr>
          <w:color w:val="000000"/>
        </w:rPr>
        <w:t xml:space="preserve">” </w:t>
      </w:r>
      <w:r>
        <w:rPr>
          <w:rFonts w:ascii="Times New Roman;serif" w:hAnsi="Times New Roman;serif"/>
          <w:b w:val="false"/>
          <w:color w:val="000000"/>
          <w:sz w:val="24"/>
        </w:rPr>
        <w:t>shall mean any city or any public or private board or other body or organization chartered or otherwise established for the purpose of administering, operating or managing airports or related facilities, which in each case is an owner, administrator, operator or manager of one or more airports or related facilities.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Alternate Base Rate</w:t>
      </w:r>
      <w:r>
        <w:rPr>
          <w:color w:val="000000"/>
        </w:rPr>
        <w:t xml:space="preserve">” </w:t>
      </w:r>
      <w:r>
        <w:rPr>
          <w:rFonts w:ascii="Times New Roman;serif" w:hAnsi="Times New Roman;serif"/>
          <w:b w:val="false"/>
          <w:color w:val="000000"/>
          <w:sz w:val="24"/>
        </w:rPr>
        <w:t xml:space="preserve">shall mean, for any day, a rate per annum equal to the greatest of (a) the Prime Rate in effect on such day, (b) the sum of the Federal Funds Effective Rate in effect on such day plus ½ of 1% and (c) Term SOFR Rate for a one-month tenor in effect on such day, as published two U.S. Government Securities Business Days prior to such day (or if such day is not a U.S. Government Securities Business Day, the immediately preceding U.S. Government Securities Business Day) plus 1%;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at any time the Term SOFR Rate is not identifiable as a result of the circumstances described in, and after giving effect to </w:t>
      </w:r>
      <w:r>
        <w:rPr>
          <w:rFonts w:ascii="Times New Roman;serif" w:hAnsi="Times New Roman;serif"/>
          <w:b w:val="false"/>
          <w:color w:val="000000"/>
          <w:sz w:val="24"/>
          <w:u w:val="single"/>
        </w:rPr>
        <w:t>Section 2.09</w:t>
      </w:r>
      <w:r>
        <w:rPr>
          <w:rFonts w:ascii="Times New Roman;serif" w:hAnsi="Times New Roman;serif"/>
          <w:b w:val="false"/>
          <w:color w:val="000000"/>
          <w:sz w:val="24"/>
        </w:rPr>
        <w:t xml:space="preserve">, then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 xml:space="preserve">above shall be disregarded for purposes of determining the “Alternate Base Rate” at such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in no event shall the Alternate Base Rate be less than 1.0%. Any change in the Alternate Base Rate due to a change in the Prime Rate, the Federal Funds Effective Rate or the Term SOFR Rate shall be effective from and including the effective date of such change in the Prime Rate, the Federal Funds Effective Rate or the Term SOFR Rate, respectively.</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Anti-Corruption Laws</w:t>
      </w:r>
      <w:r>
        <w:rPr>
          <w:color w:val="000000"/>
        </w:rPr>
        <w:t xml:space="preserve">” </w:t>
      </w:r>
      <w:r>
        <w:rPr>
          <w:rFonts w:ascii="Times New Roman;serif" w:hAnsi="Times New Roman;serif"/>
          <w:b w:val="false"/>
          <w:color w:val="000000"/>
          <w:sz w:val="24"/>
        </w:rPr>
        <w:t>means all laws, rules and regulations of the United States applicable to Parent or its Subsidiaries from time to time intended to prevent or restrict bribery or corruption.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Applicable Appraisal Discount Rate</w:t>
      </w:r>
      <w:r>
        <w:rPr>
          <w:color w:val="000000"/>
        </w:rPr>
        <w:t xml:space="preserve">” </w:t>
      </w:r>
      <w:r>
        <w:rPr>
          <w:rFonts w:ascii="Times New Roman;serif" w:hAnsi="Times New Roman;serif"/>
          <w:b w:val="false"/>
          <w:color w:val="000000"/>
          <w:sz w:val="24"/>
        </w:rPr>
        <w:t>shall mean 8%.</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Applicable Margin</w:t>
      </w:r>
      <w:r>
        <w:rPr>
          <w:color w:val="000000"/>
        </w:rPr>
        <w:t xml:space="preserve">” </w:t>
      </w:r>
      <w:r>
        <w:rPr>
          <w:rFonts w:ascii="Times New Roman;serif" w:hAnsi="Times New Roman;serif"/>
          <w:b w:val="false"/>
          <w:color w:val="000000"/>
          <w:sz w:val="24"/>
        </w:rPr>
        <w:t xml:space="preserve">shall mean the rate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determined pursuant to the corresponding heading on the Applicable Pricing Grid.</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Applicable Pricing Grid</w:t>
      </w:r>
      <w:r>
        <w:rPr>
          <w:color w:val="000000"/>
        </w:rPr>
        <w:t xml:space="preserve">” </w:t>
      </w:r>
      <w:r>
        <w:rPr>
          <w:rFonts w:ascii="Times New Roman;serif" w:hAnsi="Times New Roman;serif"/>
          <w:b w:val="false"/>
          <w:color w:val="000000"/>
          <w:sz w:val="24"/>
        </w:rPr>
        <w:t>shall mean the table set forth below:</w:t>
      </w:r>
    </w:p>
    <w:p>
      <w:pPr>
        <w:pStyle w:val="TextBody"/>
        <w:bidi w:val="0"/>
        <w:spacing w:before="0" w:after="0"/>
        <w:jc w:val="center"/>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25145"/>
                <wp:effectExtent l="0" t="0" r="0" b="0"/>
                <wp:wrapNone/>
                <wp:docPr id="43" name="Frame4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88"/>
        <w:gridCol w:w="428"/>
        <w:gridCol w:w="432"/>
        <w:gridCol w:w="830"/>
        <w:gridCol w:w="830"/>
        <w:gridCol w:w="832"/>
        <w:gridCol w:w="721"/>
        <w:gridCol w:w="721"/>
        <w:gridCol w:w="722"/>
        <w:gridCol w:w="772"/>
        <w:gridCol w:w="772"/>
        <w:gridCol w:w="774"/>
        <w:gridCol w:w="549"/>
        <w:gridCol w:w="549"/>
        <w:gridCol w:w="785"/>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Pricing Level</w:t>
            </w:r>
          </w:p>
        </w:tc>
        <w:tc>
          <w:tcPr>
            <w:tcW w:w="24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Corporate Rating</w:t>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(Moody’s/S&amp;P/Fitch)</w:t>
            </w:r>
          </w:p>
        </w:tc>
        <w:tc>
          <w:tcPr>
            <w:tcW w:w="216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Commitment Fee Rate</w:t>
            </w:r>
          </w:p>
        </w:tc>
        <w:tc>
          <w:tcPr>
            <w:tcW w:w="231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Applicable Margin</w:t>
              <w:br/>
              <w:t>Term Benchmark Loans</w:t>
            </w:r>
          </w:p>
        </w:tc>
        <w:tc>
          <w:tcPr>
            <w:tcW w:w="188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Applicable Margin</w:t>
              <w:br/>
              <w:t>ABR Loans</w:t>
            </w:r>
          </w:p>
        </w:tc>
      </w:tr>
      <w:tr>
        <w:trPr/>
        <w:tc>
          <w:tcPr>
            <w:tcW w:w="134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w:t>
            </w:r>
          </w:p>
        </w:tc>
        <w:tc>
          <w:tcPr>
            <w:tcW w:w="24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A3 / A- / A- or higher</w:t>
            </w:r>
          </w:p>
        </w:tc>
        <w:tc>
          <w:tcPr>
            <w:tcW w:w="2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0.080%</w:t>
            </w:r>
          </w:p>
        </w:tc>
        <w:tc>
          <w:tcPr>
            <w:tcW w:w="23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1.000%</w:t>
            </w:r>
          </w:p>
        </w:tc>
        <w:tc>
          <w:tcPr>
            <w:tcW w:w="1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0.000%</w:t>
            </w:r>
          </w:p>
        </w:tc>
      </w:tr>
      <w:tr>
        <w:trPr/>
        <w:tc>
          <w:tcPr>
            <w:tcW w:w="134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24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Baa1 / BBB+ / BBB+</w:t>
            </w:r>
          </w:p>
        </w:tc>
        <w:tc>
          <w:tcPr>
            <w:tcW w:w="2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0.100%</w:t>
            </w:r>
          </w:p>
        </w:tc>
        <w:tc>
          <w:tcPr>
            <w:tcW w:w="23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1.125%</w:t>
            </w:r>
          </w:p>
        </w:tc>
        <w:tc>
          <w:tcPr>
            <w:tcW w:w="1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0.125%</w:t>
            </w:r>
          </w:p>
        </w:tc>
      </w:tr>
      <w:tr>
        <w:trPr/>
        <w:tc>
          <w:tcPr>
            <w:tcW w:w="134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III</w:t>
            </w:r>
          </w:p>
        </w:tc>
        <w:tc>
          <w:tcPr>
            <w:tcW w:w="24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Baa2 / BBB / BBB</w:t>
            </w:r>
          </w:p>
        </w:tc>
        <w:tc>
          <w:tcPr>
            <w:tcW w:w="2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0.125%</w:t>
            </w:r>
          </w:p>
        </w:tc>
        <w:tc>
          <w:tcPr>
            <w:tcW w:w="23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1.250%</w:t>
            </w:r>
          </w:p>
        </w:tc>
        <w:tc>
          <w:tcPr>
            <w:tcW w:w="1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0.250%</w:t>
            </w:r>
          </w:p>
        </w:tc>
      </w:tr>
      <w:tr>
        <w:trPr/>
        <w:tc>
          <w:tcPr>
            <w:tcW w:w="134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IV</w:t>
            </w:r>
          </w:p>
        </w:tc>
        <w:tc>
          <w:tcPr>
            <w:tcW w:w="24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Baa3 / BBB- / BBB-</w:t>
            </w:r>
          </w:p>
        </w:tc>
        <w:tc>
          <w:tcPr>
            <w:tcW w:w="2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0.175%</w:t>
            </w:r>
          </w:p>
        </w:tc>
        <w:tc>
          <w:tcPr>
            <w:tcW w:w="23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1.375%</w:t>
            </w:r>
          </w:p>
        </w:tc>
        <w:tc>
          <w:tcPr>
            <w:tcW w:w="1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0.375%</w:t>
            </w:r>
          </w:p>
        </w:tc>
      </w:tr>
      <w:tr>
        <w:trPr/>
        <w:tc>
          <w:tcPr>
            <w:tcW w:w="134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V</w:t>
            </w:r>
          </w:p>
        </w:tc>
        <w:tc>
          <w:tcPr>
            <w:tcW w:w="24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Ba1 / BB+ / BB+</w:t>
            </w:r>
          </w:p>
        </w:tc>
        <w:tc>
          <w:tcPr>
            <w:tcW w:w="21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0.225%</w:t>
            </w:r>
          </w:p>
        </w:tc>
        <w:tc>
          <w:tcPr>
            <w:tcW w:w="23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1.625%</w:t>
            </w:r>
          </w:p>
        </w:tc>
        <w:tc>
          <w:tcPr>
            <w:tcW w:w="1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0.625%</w:t>
            </w:r>
          </w:p>
        </w:tc>
      </w:tr>
      <w:tr>
        <w:trPr/>
        <w:tc>
          <w:tcPr>
            <w:tcW w:w="1348"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VI</w:t>
            </w:r>
          </w:p>
        </w:tc>
        <w:tc>
          <w:tcPr>
            <w:tcW w:w="249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Ba2 / BB / BB or lower</w:t>
            </w:r>
          </w:p>
        </w:tc>
        <w:tc>
          <w:tcPr>
            <w:tcW w:w="21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0.275%</w:t>
            </w:r>
          </w:p>
        </w:tc>
        <w:tc>
          <w:tcPr>
            <w:tcW w:w="231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1.875%</w:t>
            </w:r>
          </w:p>
        </w:tc>
        <w:tc>
          <w:tcPr>
            <w:tcW w:w="188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4"/>
              </w:rPr>
              <w:t>0.875%</w:t>
            </w:r>
          </w:p>
        </w:tc>
      </w:tr>
    </w:tbl>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following will apply in determining the Applicable Margin or Commitment Fee Rate, as applicable, at any time:</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If there is only one Corporate Rating (defined below), the Applicable Margin or Commitment Fee Rate, as applicable, shall be determined with reference to such Corporate Rating.</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    If two or three Corporate Ratings are the same, the Applicable Margin or Commitment Fee Rate, as applicable, shall be determined with reference to such Corporate Ratings. </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(c)    If there are only two Corporate Ratings which are different, the Applicable Margin or Commitment Fee Rate, as applicable, shall be determined by the higher of such Corporate Ratings;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 the event the higher of such Corporate Ratings is greater than one ratings category above the lower of such Corporate Ratings, the Applicable Margin or Commitment Fee Rate, as applicable, shall be determined based on the Corporate Rating which is one ratings category below the higher of such Corporate Ratings. </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(d)    If there are three Corporate Ratings which are all different, the Applicable Margin or Commitment Fee Rate, as applicable, shall be determined based on the middle of such Corporate Ratings;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 the event the highest of such Corporate Ratings is greater than two ratings categories above the lowest of such Corporate Ratings, the Applicable Margin or Commitment Fee Rate, as applicable, shall be determined based on the Corporate Rating which is one ratings category below the highest of such Corporate Ratings. </w:t>
      </w:r>
    </w:p>
    <w:p>
      <w:pPr>
        <w:pStyle w:val="TextBody"/>
        <w:bidi w:val="0"/>
        <w:spacing w:lineRule="auto" w:line="288" w:before="240" w:after="283"/>
        <w:jc w:val="left"/>
        <w:rPr/>
      </w:pPr>
      <w:r>
        <w:rPr>
          <w:rFonts w:ascii="Times New Roman;serif" w:hAnsi="Times New Roman;serif"/>
          <w:b w:val="false"/>
          <w:color w:val="000000"/>
          <w:sz w:val="24"/>
        </w:rPr>
        <w:t>For purposes of the foregoing, the “</w:t>
      </w:r>
      <w:r>
        <w:rPr>
          <w:rFonts w:ascii="Times New Roman;serif" w:hAnsi="Times New Roman;serif"/>
          <w:b w:val="false"/>
          <w:color w:val="000000"/>
          <w:sz w:val="24"/>
          <w:u w:val="single"/>
        </w:rPr>
        <w:t>Corporate Rating</w:t>
      </w:r>
      <w:r>
        <w:rPr>
          <w:color w:val="000000"/>
        </w:rPr>
        <w:t xml:space="preserve">” </w:t>
      </w:r>
      <w:r>
        <w:rPr>
          <w:rFonts w:ascii="Times New Roman;serif" w:hAnsi="Times New Roman;serif"/>
          <w:b w:val="false"/>
          <w:color w:val="000000"/>
          <w:sz w:val="24"/>
        </w:rPr>
        <w:t xml:space="preserve">from Moody’s, S&amp;P or Fitch shall mean, as of any date, each of the ratings most recently publicly announced by Moody’s, S&amp;P or Fitch as the corporate family rating, corporate credit rating or equivalent type of credit rating (as applicable) of the Parent or, if the Parent is not rated, of the Borrower. If the ratings established by Moody’s, S&amp;P or Fitch shall be changed, such change shall be effective as of the date on which it is first publicly announced by the applicable rating agency and if none of Moody’s, S&amp;P or Fitch shall have in effect a credit rating, the Applicable Margin or Commitment Fee Rate, as applicable, shall be based on Level VI. Each change in the Applicable Margin or Commitment </w:t>
      </w:r>
    </w:p>
    <w:p>
      <w:pPr>
        <w:pStyle w:val="TextBody"/>
        <w:bidi w:val="0"/>
        <w:spacing w:before="0" w:after="0"/>
        <w:jc w:val="center"/>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25145"/>
                <wp:effectExtent l="0" t="0" r="0" b="0"/>
                <wp:wrapNone/>
                <wp:docPr id="44" name="Frame4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Fee Rate, as applicable, shall apply during the period commencing on the effective date of the applicable change in ratings and ending on the date immediately preceding the effective date of the next such change in ratings. If the rating system of any such rating agency shall change, or if any such rating agency shall cease to be in the business of rating corporate debt obligations, the Borrower and the Administrative Agent shall negotiate in good faith to amend this definition to reflect such changed rating system or the unavailability of ratings from such rating agencies or shall select a replacement rating agency and, pending the effectiveness of any such amendment or replacement, for purposes of determining the Applicable Margin or Commitment Fee Rate, as applicable, the Corporate Rating of the affected rating agency shall be deemed to be the Corporate Rating of such rating agency, if any, in effect immediately prior to such change or cessation.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Applicable Terminal Value Growth Rate</w:t>
      </w:r>
      <w:r>
        <w:rPr>
          <w:color w:val="000000"/>
        </w:rPr>
        <w:t xml:space="preserve">” </w:t>
      </w:r>
      <w:r>
        <w:rPr>
          <w:rFonts w:ascii="Times New Roman;serif" w:hAnsi="Times New Roman;serif"/>
          <w:b w:val="false"/>
          <w:color w:val="000000"/>
          <w:sz w:val="24"/>
        </w:rPr>
        <w:t>shall mean, with respect to any Route, a terminal value growth rate based on the following table (as determined by reference to the applicable region in which such Route was included, or would have been included, by reference to the Initial Appraisals):</w:t>
      </w:r>
    </w:p>
    <w:p>
      <w:pPr>
        <w:pStyle w:val="TextBody"/>
        <w:bidi w:val="0"/>
        <w:spacing w:before="0" w:after="0"/>
        <w:ind w:left="0" w:right="0" w:firstLine="1440"/>
        <w:jc w:val="left"/>
        <w:rPr/>
      </w:pPr>
      <w:r>
        <w:rPr/>
      </w:r>
    </w:p>
    <w:tbl>
      <w:tblPr>
        <w:tblW w:w="10205" w:type="dxa"/>
        <w:jc w:val="left"/>
        <w:tblInd w:w="0" w:type="dxa"/>
        <w:tblLayout w:type="fixed"/>
        <w:tblCellMar>
          <w:top w:w="28" w:type="dxa"/>
          <w:left w:w="28" w:type="dxa"/>
          <w:bottom w:w="28" w:type="dxa"/>
          <w:right w:w="28" w:type="dxa"/>
        </w:tblCellMar>
      </w:tblPr>
      <w:tblGrid>
        <w:gridCol w:w="827"/>
        <w:gridCol w:w="726"/>
        <w:gridCol w:w="728"/>
        <w:gridCol w:w="915"/>
        <w:gridCol w:w="915"/>
        <w:gridCol w:w="916"/>
        <w:gridCol w:w="313"/>
        <w:gridCol w:w="313"/>
        <w:gridCol w:w="4552"/>
      </w:tblGrid>
      <w:tr>
        <w:trPr/>
        <w:tc>
          <w:tcPr>
            <w:tcW w:w="82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552"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22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240" w:after="283"/>
              <w:ind w:left="0" w:right="0" w:firstLine="1440"/>
              <w:jc w:val="center"/>
              <w:rPr>
                <w:rFonts w:ascii="Times New Roman;serif" w:hAnsi="Times New Roman;serif"/>
                <w:b/>
                <w:color w:val="000000"/>
                <w:sz w:val="24"/>
              </w:rPr>
            </w:pPr>
            <w:r>
              <w:rPr>
                <w:rFonts w:ascii="Times New Roman;serif" w:hAnsi="Times New Roman;serif"/>
                <w:b/>
                <w:color w:val="000000"/>
                <w:sz w:val="24"/>
              </w:rPr>
              <w:t>Region</w:t>
            </w:r>
          </w:p>
        </w:tc>
        <w:tc>
          <w:tcPr>
            <w:tcW w:w="27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240" w:after="283"/>
              <w:ind w:left="0" w:right="0" w:firstLine="1440"/>
              <w:jc w:val="center"/>
              <w:rPr>
                <w:rFonts w:ascii="Times New Roman;serif" w:hAnsi="Times New Roman;serif"/>
                <w:b/>
                <w:color w:val="000000"/>
                <w:sz w:val="24"/>
              </w:rPr>
            </w:pPr>
            <w:r>
              <w:rPr>
                <w:rFonts w:ascii="Times New Roman;serif" w:hAnsi="Times New Roman;serif"/>
                <w:b/>
                <w:color w:val="000000"/>
                <w:sz w:val="24"/>
              </w:rPr>
              <w:t>Sub-Region</w:t>
            </w:r>
          </w:p>
        </w:tc>
        <w:tc>
          <w:tcPr>
            <w:tcW w:w="5178"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240" w:after="283"/>
              <w:ind w:left="0" w:right="0" w:firstLine="1440"/>
              <w:jc w:val="center"/>
              <w:rPr>
                <w:rFonts w:ascii="Times New Roman;serif" w:hAnsi="Times New Roman;serif"/>
                <w:b/>
                <w:color w:val="000000"/>
                <w:sz w:val="24"/>
              </w:rPr>
            </w:pPr>
            <w:r>
              <w:rPr>
                <w:rFonts w:ascii="Times New Roman;serif" w:hAnsi="Times New Roman;serif"/>
                <w:b/>
                <w:color w:val="000000"/>
                <w:sz w:val="24"/>
              </w:rPr>
              <w:t>Applicable Terminal Value Growth Rate</w:t>
            </w:r>
          </w:p>
        </w:tc>
      </w:tr>
      <w:tr>
        <w:trPr/>
        <w:tc>
          <w:tcPr>
            <w:tcW w:w="22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Atlantic</w:t>
            </w:r>
          </w:p>
        </w:tc>
        <w:tc>
          <w:tcPr>
            <w:tcW w:w="27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London</w:t>
            </w:r>
          </w:p>
        </w:tc>
        <w:tc>
          <w:tcPr>
            <w:tcW w:w="5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w:t>
            </w:r>
          </w:p>
        </w:tc>
      </w:tr>
      <w:tr>
        <w:trPr/>
        <w:tc>
          <w:tcPr>
            <w:tcW w:w="22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Atlantic</w:t>
            </w:r>
          </w:p>
        </w:tc>
        <w:tc>
          <w:tcPr>
            <w:tcW w:w="27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Europe</w:t>
            </w:r>
          </w:p>
        </w:tc>
        <w:tc>
          <w:tcPr>
            <w:tcW w:w="5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w:t>
            </w:r>
          </w:p>
        </w:tc>
      </w:tr>
      <w:tr>
        <w:trPr/>
        <w:tc>
          <w:tcPr>
            <w:tcW w:w="22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Atlantic</w:t>
            </w:r>
          </w:p>
        </w:tc>
        <w:tc>
          <w:tcPr>
            <w:tcW w:w="27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Africa</w:t>
            </w:r>
          </w:p>
        </w:tc>
        <w:tc>
          <w:tcPr>
            <w:tcW w:w="5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3.0%</w:t>
            </w:r>
          </w:p>
        </w:tc>
      </w:tr>
      <w:tr>
        <w:trPr/>
        <w:tc>
          <w:tcPr>
            <w:tcW w:w="22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Atlantic</w:t>
            </w:r>
          </w:p>
        </w:tc>
        <w:tc>
          <w:tcPr>
            <w:tcW w:w="27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India</w:t>
            </w:r>
          </w:p>
        </w:tc>
        <w:tc>
          <w:tcPr>
            <w:tcW w:w="5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3.0%</w:t>
            </w:r>
          </w:p>
        </w:tc>
      </w:tr>
      <w:tr>
        <w:trPr/>
        <w:tc>
          <w:tcPr>
            <w:tcW w:w="22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Atlantic</w:t>
            </w:r>
          </w:p>
        </w:tc>
        <w:tc>
          <w:tcPr>
            <w:tcW w:w="27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Canada</w:t>
            </w:r>
          </w:p>
        </w:tc>
        <w:tc>
          <w:tcPr>
            <w:tcW w:w="5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w:t>
            </w:r>
          </w:p>
        </w:tc>
      </w:tr>
      <w:tr>
        <w:trPr/>
        <w:tc>
          <w:tcPr>
            <w:tcW w:w="22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Pacific</w:t>
            </w:r>
          </w:p>
        </w:tc>
        <w:tc>
          <w:tcPr>
            <w:tcW w:w="27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Guam and Pacific Island</w:t>
            </w:r>
          </w:p>
        </w:tc>
        <w:tc>
          <w:tcPr>
            <w:tcW w:w="5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22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Pacific</w:t>
            </w:r>
          </w:p>
        </w:tc>
        <w:tc>
          <w:tcPr>
            <w:tcW w:w="27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Oceania</w:t>
            </w:r>
          </w:p>
        </w:tc>
        <w:tc>
          <w:tcPr>
            <w:tcW w:w="5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22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Pacific</w:t>
            </w:r>
          </w:p>
        </w:tc>
        <w:tc>
          <w:tcPr>
            <w:tcW w:w="27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Japan</w:t>
            </w:r>
          </w:p>
        </w:tc>
        <w:tc>
          <w:tcPr>
            <w:tcW w:w="5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w:t>
            </w:r>
          </w:p>
        </w:tc>
      </w:tr>
      <w:tr>
        <w:trPr/>
        <w:tc>
          <w:tcPr>
            <w:tcW w:w="22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Pacific</w:t>
            </w:r>
          </w:p>
        </w:tc>
        <w:tc>
          <w:tcPr>
            <w:tcW w:w="27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China</w:t>
            </w:r>
          </w:p>
        </w:tc>
        <w:tc>
          <w:tcPr>
            <w:tcW w:w="5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3.0%</w:t>
            </w:r>
          </w:p>
        </w:tc>
      </w:tr>
      <w:tr>
        <w:trPr/>
        <w:tc>
          <w:tcPr>
            <w:tcW w:w="22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Pacific</w:t>
            </w:r>
          </w:p>
        </w:tc>
        <w:tc>
          <w:tcPr>
            <w:tcW w:w="27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Miscellaneous Asia</w:t>
            </w:r>
          </w:p>
        </w:tc>
        <w:tc>
          <w:tcPr>
            <w:tcW w:w="5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22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Latin America</w:t>
            </w:r>
          </w:p>
        </w:tc>
        <w:tc>
          <w:tcPr>
            <w:tcW w:w="27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Mexico</w:t>
            </w:r>
          </w:p>
        </w:tc>
        <w:tc>
          <w:tcPr>
            <w:tcW w:w="5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2.5%</w:t>
            </w:r>
          </w:p>
        </w:tc>
      </w:tr>
      <w:tr>
        <w:trPr/>
        <w:tc>
          <w:tcPr>
            <w:tcW w:w="22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Latin America</w:t>
            </w:r>
          </w:p>
        </w:tc>
        <w:tc>
          <w:tcPr>
            <w:tcW w:w="27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South America</w:t>
            </w:r>
          </w:p>
        </w:tc>
        <w:tc>
          <w:tcPr>
            <w:tcW w:w="5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2.5%</w:t>
            </w:r>
          </w:p>
        </w:tc>
      </w:tr>
      <w:tr>
        <w:trPr/>
        <w:tc>
          <w:tcPr>
            <w:tcW w:w="22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Latin America</w:t>
            </w:r>
          </w:p>
        </w:tc>
        <w:tc>
          <w:tcPr>
            <w:tcW w:w="274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Caribbean</w:t>
            </w:r>
          </w:p>
        </w:tc>
        <w:tc>
          <w:tcPr>
            <w:tcW w:w="5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228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Latin America</w:t>
            </w:r>
          </w:p>
        </w:tc>
        <w:tc>
          <w:tcPr>
            <w:tcW w:w="274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Central America</w:t>
            </w:r>
          </w:p>
        </w:tc>
        <w:tc>
          <w:tcPr>
            <w:tcW w:w="517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w:t>
            </w:r>
          </w:p>
        </w:tc>
      </w:tr>
    </w:tbl>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Appraisal</w:t>
      </w:r>
      <w:r>
        <w:rPr>
          <w:color w:val="000000"/>
        </w:rPr>
        <w:t xml:space="preserve">” </w:t>
      </w:r>
      <w:r>
        <w:rPr>
          <w:rFonts w:ascii="Times New Roman;serif" w:hAnsi="Times New Roman;serif"/>
          <w:b w:val="false"/>
          <w:color w:val="000000"/>
          <w:sz w:val="24"/>
        </w:rPr>
        <w:t xml:space="preserve">means (i) the Initial Appraisals and (ii) any other appraisal, dated the date of delivery thereof, prepared by, in the case of aircraft, airframes, or engines, an Aircraft Appraiser, in the case of Routes, Slots or Gate Leaseholds, either of BK Associates, Inc., MBA, or ICF, or, if none of the foregoing are available to provide an Appraisal, (A) any successor thereof (including any proposed appraiser, the employees or principals of which previously appraised any of the Slots, Routes or Gate Leaseholds for any of the foregoing Appraisers) or (B) another independent appraisal firm appointed by the Borrower and reasonably satisfactory to the Administrative Agent, or for any other asset, any independent appraisal firm appointed by the </w:t>
      </w:r>
    </w:p>
    <w:p>
      <w:pPr>
        <w:pStyle w:val="TextBody"/>
        <w:bidi w:val="0"/>
        <w:spacing w:before="0" w:after="0"/>
        <w:jc w:val="center"/>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25145"/>
                <wp:effectExtent l="0" t="0" r="0" b="0"/>
                <wp:wrapNone/>
                <wp:docPr id="45" name="Frame4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Borrower and reasonably satisfactory to the Administrative Agent, which certifies, at the time of determination, in reasonable detail the Appraised Value of Collateral and, (x) in the case of aircraft, airframes or engines, is a “desk-top” appraisal of the fair market value assuming half-life condition, except that any such equipment that is Stored shall have an assumed value of zero, (y) in the case of Routes or FAA Slots, whose methodology (in the case of any Routes, utilizing the Applicable Appraisal Discount Rate and the Applicable Terminal Value Growth Rate) and form of presentation are consistent in all material respects with the methodology and form of presentation of the Initial Appraisal applicable to such type of Collateral, or which, as to any deviations from such methodology (including as to discount rate and terminal value growth rate) and/or form of presentation, are otherwise in form and substance reasonably satisfactory to the Administrative Agent and (z) in the case of assets other than aircraft, airframes, engines, Routes and FAA Slots, which sets forth the fair market value thereof in a manner consistent with market practice for assets of such type in a manner reasonably satisfactory to the Administrative Agent.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Appraised Value</w:t>
      </w:r>
      <w:r>
        <w:rPr>
          <w:color w:val="000000"/>
        </w:rPr>
        <w:t xml:space="preserve">” </w:t>
      </w:r>
      <w:r>
        <w:rPr>
          <w:rFonts w:ascii="Times New Roman;serif" w:hAnsi="Times New Roman;serif"/>
          <w:b w:val="false"/>
          <w:color w:val="000000"/>
          <w:sz w:val="24"/>
        </w:rPr>
        <w:t xml:space="preserve">shall mean, as of any date of determination, the sum of (a) the aggregate value of all Collateral (other than cash and Cash Equivalents pledged as Collateral) of the Borrower or any of the Grantors as of such date, as reflected in the most recent Appraisal delivered to the Administrative Agent in respect of such Collateral in accordance with this Agreement as of that date (for the avoidance of doubt, calculated after giving effect to any additions to or eliminations from the Collateral since the date of delivery of such Appraisal), and (b) 160% of the amount of cash and Cash Equivalents pledged at such time as Collateral;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any Pledged Slots at an airport have been added to or eliminated from the Collateral since the most recent Appraisal of the Pledged Slots at such airport and such Appraisal assigned differing Appraised Values to Pledged Slots at such airport based on criteria set forth therein, such added or eliminated Pledged Slots at such airport shall be assigned an Appraised Value in accordance with such criteria set forth in such Appraisal for purposes of determining the Appraised Value of all remaining Pledged Slots;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when used in reference to any particular item of Collateral, “Appraised Value” shall mean the value of such item of Collateral as reflected in such most recent Appraisal of such Collateral;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at the relevant time the Borrower has not previously delivered to the Administrative Agent an Appraisal of a specific Collateral item (such as a single Route), but has delivered to the Administrative Agent an Appraisal that includes the Appraised Value of a portion of the Collateral (such as all Routes to a particular region) that includes such specific Collateral item, the Borrower shall allocate the Appraised Value of such specific Collateral item on a reasonable basis, and such allocated amounts shall be the Appraised Value of such specific Collateral item, except that this proviso shall not be applicable in a case where this Agreement or other Loan Document expressly requires that the Borrower obtain an Appraisal in respect of such specific Collateral item.</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Approved Fund</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10.02(b)</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ARB Indebtedness</w:t>
      </w:r>
      <w:r>
        <w:rPr>
          <w:color w:val="000000"/>
        </w:rPr>
        <w:t xml:space="preserve">” </w:t>
      </w:r>
      <w:r>
        <w:rPr>
          <w:rFonts w:ascii="Times New Roman;serif" w:hAnsi="Times New Roman;serif"/>
          <w:b w:val="false"/>
          <w:color w:val="000000"/>
          <w:sz w:val="24"/>
        </w:rPr>
        <w:t xml:space="preserve">shall mean, with respect to Parent or any of its Subsidiaries, without duplication, all Indebtedness or obligations of Parent or such Subsidiary created or arising with respect to any limited recourse revenue bonds issued for the purpose of financing or refinancing improvements to, or the construction or acquisition of, airport and other related </w:t>
      </w:r>
    </w:p>
    <w:p>
      <w:pPr>
        <w:pStyle w:val="TextBody"/>
        <w:bidi w:val="0"/>
        <w:spacing w:before="0" w:after="0"/>
        <w:jc w:val="center"/>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25145"/>
                <wp:effectExtent l="0" t="0" r="0" b="0"/>
                <wp:wrapNone/>
                <wp:docPr id="46" name="Frame4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facilities and equipment, the use or construction of which qualifies and renders interest on such bonds exempt from certain federal or state taxes.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Arranger Fee Letter</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2.19</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Arranger Parties</w:t>
      </w:r>
      <w:r>
        <w:rPr>
          <w:color w:val="000000"/>
        </w:rPr>
        <w:t xml:space="preserve">” </w:t>
      </w:r>
      <w:r>
        <w:rPr>
          <w:rFonts w:ascii="Times New Roman;serif" w:hAnsi="Times New Roman;serif"/>
          <w:b w:val="false"/>
          <w:color w:val="000000"/>
          <w:sz w:val="24"/>
        </w:rPr>
        <w:t>shall mean each Joint Lead Arranger and Bookrunner, Joint Lead Arranger and Documentation Agent.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Assignment and Acceptance</w:t>
      </w:r>
      <w:r>
        <w:rPr>
          <w:color w:val="000000"/>
        </w:rPr>
        <w:t xml:space="preserve">” </w:t>
      </w:r>
      <w:r>
        <w:rPr>
          <w:rFonts w:ascii="Times New Roman;serif" w:hAnsi="Times New Roman;serif"/>
          <w:b w:val="false"/>
          <w:color w:val="000000"/>
          <w:sz w:val="24"/>
        </w:rPr>
        <w:t xml:space="preserve">shall mean an assignment and acceptance entered into by a Lender and an assignee (with the consent of any party whose consent is required by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and accepted by the Administrative Agent, substantially in the form of </w:t>
      </w:r>
      <w:r>
        <w:rPr>
          <w:rFonts w:ascii="Times New Roman;serif" w:hAnsi="Times New Roman;serif"/>
          <w:b w:val="false"/>
          <w:color w:val="000000"/>
          <w:sz w:val="24"/>
          <w:u w:val="single"/>
        </w:rPr>
        <w:t>Exhibit E</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Available Tenor</w:t>
      </w:r>
      <w:r>
        <w:rPr>
          <w:color w:val="000000"/>
        </w:rPr>
        <w:t xml:space="preserve">” </w:t>
      </w:r>
      <w:r>
        <w:rPr>
          <w:rFonts w:ascii="Times New Roman;serif" w:hAnsi="Times New Roman;serif"/>
          <w:b w:val="false"/>
          <w:color w:val="000000"/>
          <w:sz w:val="24"/>
        </w:rPr>
        <w:t xml:space="preserve">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serif" w:hAnsi="Times New Roman;serif"/>
          <w:b w:val="false"/>
          <w:color w:val="000000"/>
          <w:sz w:val="24"/>
          <w:u w:val="single"/>
        </w:rPr>
        <w:t>Section 2.29(e)</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Bail-In Action</w:t>
      </w:r>
      <w:r>
        <w:rPr>
          <w:color w:val="000000"/>
        </w:rPr>
        <w:t xml:space="preserve">” </w:t>
      </w:r>
      <w:r>
        <w:rPr>
          <w:rFonts w:ascii="Times New Roman;serif" w:hAnsi="Times New Roman;serif"/>
          <w:b w:val="false"/>
          <w:color w:val="000000"/>
          <w:sz w:val="24"/>
        </w:rPr>
        <w:t>means the exercise of any Write-Down and Conversion Powers by the applicable Resolution Authority in respect of any liability of an Affected Financial Institution.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Bail-In Legislation</w:t>
      </w:r>
      <w:r>
        <w:rPr>
          <w:color w:val="000000"/>
        </w:rPr>
        <w:t xml:space="preserve">” </w:t>
      </w:r>
      <w:r>
        <w:rPr>
          <w:rFonts w:ascii="Times New Roman;serif" w:hAnsi="Times New Roman;serif"/>
          <w:b w:val="false"/>
          <w:color w:val="000000"/>
          <w:sz w:val="24"/>
        </w:rPr>
        <w:t xml:space="preserve">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Banking Product Obligations</w:t>
      </w:r>
      <w:r>
        <w:rPr>
          <w:color w:val="000000"/>
        </w:rPr>
        <w:t xml:space="preserve">” </w:t>
      </w:r>
      <w:r>
        <w:rPr>
          <w:rFonts w:ascii="Times New Roman;serif" w:hAnsi="Times New Roman;serif"/>
          <w:b w:val="false"/>
          <w:color w:val="000000"/>
          <w:sz w:val="24"/>
        </w:rPr>
        <w:t>means, as applied to any Person, any direct or indirect liability, contingent or otherwise, of such Person in respect of any treasury, depository and cash management services, netting services and automated clearing house transfers of funds services, including obligations for the payment of fees, interest, charges, expenses, attorneys’ fees and disbursements in connection therewith.</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Bankruptcy Code</w:t>
      </w:r>
      <w:r>
        <w:rPr>
          <w:color w:val="000000"/>
        </w:rPr>
        <w:t xml:space="preserve">” </w:t>
      </w:r>
      <w:r>
        <w:rPr>
          <w:rFonts w:ascii="Times New Roman;serif" w:hAnsi="Times New Roman;serif"/>
          <w:b w:val="false"/>
          <w:color w:val="000000"/>
          <w:sz w:val="24"/>
        </w:rPr>
        <w:t>shall mean The Bankruptcy Reform Act of 1978, as heretofore and hereafter amended, and codified as 11 U.S.C. Section 101 et seq.</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Bankruptcy Law</w:t>
      </w:r>
      <w:r>
        <w:rPr>
          <w:color w:val="000000"/>
        </w:rPr>
        <w:t xml:space="preserve">” </w:t>
      </w:r>
      <w:r>
        <w:rPr>
          <w:rFonts w:ascii="Times New Roman;serif" w:hAnsi="Times New Roman;serif"/>
          <w:b w:val="false"/>
          <w:color w:val="000000"/>
          <w:sz w:val="24"/>
        </w:rPr>
        <w:t>means the Bankruptcy Code or any similar federal or state law for the relief of debtors.</w:t>
      </w:r>
    </w:p>
    <w:p>
      <w:pPr>
        <w:pStyle w:val="TextBody"/>
        <w:bidi w:val="0"/>
        <w:spacing w:before="0" w:after="0"/>
        <w:jc w:val="center"/>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25145"/>
                <wp:effectExtent l="0" t="0" r="0" b="0"/>
                <wp:wrapNone/>
                <wp:docPr id="47" name="Frame4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Benchmark</w:t>
      </w:r>
      <w:r>
        <w:rPr>
          <w:color w:val="000000"/>
        </w:rPr>
        <w:t xml:space="preserve">” </w:t>
      </w:r>
      <w:r>
        <w:rPr>
          <w:rFonts w:ascii="Times New Roman;serif" w:hAnsi="Times New Roman;serif"/>
          <w:b w:val="false"/>
          <w:color w:val="000000"/>
          <w:sz w:val="24"/>
        </w:rPr>
        <w:t xml:space="preserve">means, initially, Term SOFR Rate;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w:t>
      </w:r>
      <w:r>
        <w:rPr>
          <w:rFonts w:ascii="Times New Roman;serif" w:hAnsi="Times New Roman;serif"/>
          <w:b w:val="false"/>
          <w:color w:val="000000"/>
          <w:sz w:val="24"/>
          <w:u w:val="single"/>
        </w:rPr>
        <w:t>Section 2.29(b)</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Benchmark Replacement</w:t>
      </w:r>
      <w:r>
        <w:rPr>
          <w:color w:val="000000"/>
        </w:rPr>
        <w:t xml:space="preserve">” </w:t>
      </w:r>
      <w:r>
        <w:rPr>
          <w:rFonts w:ascii="Times New Roman;serif" w:hAnsi="Times New Roman;serif"/>
          <w:b w:val="false"/>
          <w:color w:val="000000"/>
          <w:sz w:val="24"/>
        </w:rPr>
        <w:t xml:space="preserve">means, for any Available Tenor, the first alternative set forth in the order below that can be determined by the Administrative Agent for the applicable Benchmark Replacement Date: </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the sum of: (a) Daily Simple SOFR and (b) the related Benchmark Replacement Adjustment; or</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If the Benchmark Replacement as determined pursuant to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 xml:space="preserve">above would be less than the Floor, the Benchmark Replacement will be deemed to be the Floor for the purposes of this Agreement and the other Loan Documents.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Benchmark Replacement Adjustment</w:t>
      </w:r>
      <w:r>
        <w:rPr>
          <w:color w:val="000000"/>
        </w:rPr>
        <w:t xml:space="preserve">” </w:t>
      </w:r>
      <w:r>
        <w:rPr>
          <w:rFonts w:ascii="Times New Roman;serif" w:hAnsi="Times New Roman;serif"/>
          <w:b w:val="false"/>
          <w:color w:val="000000"/>
          <w:sz w:val="24"/>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Benchmark Replacement Conforming Changes</w:t>
      </w:r>
      <w:r>
        <w:rPr>
          <w:color w:val="000000"/>
        </w:rPr>
        <w:t xml:space="preserve">” </w:t>
      </w:r>
      <w:r>
        <w:rPr>
          <w:rFonts w:ascii="Times New Roman;serif" w:hAnsi="Times New Roman;serif"/>
          <w:b w:val="false"/>
          <w:color w:val="000000"/>
          <w:sz w:val="24"/>
        </w:rPr>
        <w:t xml:space="preserve">means, with respect to any Benchmark Replacement and/or any Term Benchmark Loan,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w:t>
      </w:r>
    </w:p>
    <w:p>
      <w:pPr>
        <w:pStyle w:val="TextBody"/>
        <w:bidi w:val="0"/>
        <w:spacing w:before="0" w:after="0"/>
        <w:jc w:val="center"/>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25145"/>
                <wp:effectExtent l="0" t="0" r="0" b="0"/>
                <wp:wrapNone/>
                <wp:docPr id="48" name="Frame4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periods, the applicability of </w:t>
      </w:r>
      <w:r>
        <w:rPr>
          <w:rFonts w:ascii="Times New Roman;serif" w:hAnsi="Times New Roman;serif"/>
          <w:b w:val="false"/>
          <w:color w:val="000000"/>
          <w:sz w:val="24"/>
          <w:u w:val="single"/>
        </w:rPr>
        <w:t>Section 2.15</w:t>
      </w:r>
      <w:r>
        <w:rPr>
          <w:rFonts w:ascii="Times New Roman;serif" w:hAnsi="Times New Roman;serif"/>
          <w:b w:val="false"/>
          <w:color w:val="000000"/>
          <w:sz w:val="24"/>
        </w:rPr>
        <w:t>, and other technical, administrative or operational matters) that the Administrative Agent decides in 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in consultation with the Borrower is reasonably necessary in connection with the administration of this Agreement and the other Loan Documents).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Benchmark Replacement Date</w:t>
      </w:r>
      <w:r>
        <w:rPr>
          <w:color w:val="000000"/>
        </w:rPr>
        <w:t xml:space="preserve">” </w:t>
      </w:r>
      <w:r>
        <w:rPr>
          <w:rFonts w:ascii="Times New Roman;serif" w:hAnsi="Times New Roman;serif"/>
          <w:b w:val="false"/>
          <w:color w:val="000000"/>
          <w:sz w:val="24"/>
        </w:rPr>
        <w:t>means the earliest to occur of the following events with respect to the then-current Benchmark:</w:t>
      </w:r>
    </w:p>
    <w:p>
      <w:pPr>
        <w:pStyle w:val="TextBody"/>
        <w:bidi w:val="0"/>
        <w:spacing w:lineRule="auto" w:line="288" w:before="240" w:after="283"/>
        <w:ind w:left="0" w:right="0" w:hanging="360"/>
        <w:jc w:val="left"/>
        <w:rPr/>
      </w:pPr>
      <w:r>
        <w:rPr>
          <w:rFonts w:ascii="Times New Roman;serif" w:hAnsi="Times New Roman;serif"/>
          <w:b w:val="false"/>
          <w:color w:val="000000"/>
          <w:sz w:val="24"/>
        </w:rPr>
        <w:t xml:space="preserve">(1)    in the case of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240" w:after="283"/>
        <w:ind w:left="0" w:right="0" w:hanging="360"/>
        <w:jc w:val="left"/>
        <w:rPr/>
      </w:pPr>
      <w:r>
        <w:rPr>
          <w:rFonts w:ascii="Times New Roman;serif" w:hAnsi="Times New Roman;serif"/>
          <w:b w:val="false"/>
          <w:color w:val="000000"/>
          <w:sz w:val="24"/>
        </w:rPr>
        <w:t xml:space="preserve">(2)    in the case of </w:t>
      </w:r>
      <w:r>
        <w:rPr>
          <w:rFonts w:ascii="Times New Roman;serif" w:hAnsi="Times New Roman;serif"/>
          <w:b w:val="false"/>
          <w:color w:val="000000"/>
          <w:sz w:val="24"/>
          <w:u w:val="single"/>
        </w:rPr>
        <w:t>clause (3)</w:t>
      </w:r>
      <w:r>
        <w:rPr>
          <w:color w:val="000000"/>
        </w:rPr>
        <w:t xml:space="preserve"> </w:t>
      </w:r>
      <w:r>
        <w:rPr>
          <w:rFonts w:ascii="Times New Roman;serif" w:hAnsi="Times New Roman;serif"/>
          <w:b w:val="false"/>
          <w:color w:val="000000"/>
          <w:sz w:val="24"/>
        </w:rPr>
        <w:t xml:space="preserve">of the definition of “Benchmark Transition Event,” the date of the public statement or publication of information referenced therein. </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Benchmark Transition Event</w:t>
      </w:r>
      <w:r>
        <w:rPr>
          <w:color w:val="000000"/>
        </w:rPr>
        <w:t xml:space="preserve">” </w:t>
      </w:r>
      <w:r>
        <w:rPr>
          <w:rFonts w:ascii="Times New Roman;serif" w:hAnsi="Times New Roman;serif"/>
          <w:b w:val="false"/>
          <w:color w:val="000000"/>
          <w:sz w:val="24"/>
        </w:rPr>
        <w:t>means the occurrence of one or more of the following events with respect to the then-current Benchmark:</w:t>
      </w:r>
    </w:p>
    <w:p>
      <w:pPr>
        <w:pStyle w:val="TextBody"/>
        <w:bidi w:val="0"/>
        <w:spacing w:lineRule="auto" w:line="288" w:before="240" w:after="283"/>
        <w:ind w:left="0" w:right="0" w:hanging="360"/>
        <w:jc w:val="left"/>
        <w:rPr/>
      </w:pPr>
      <w:r>
        <w:rPr>
          <w:rFonts w:ascii="Times New Roman;serif" w:hAnsi="Times New Roman;serif"/>
          <w:b w:val="false"/>
          <w:color w:val="000000"/>
          <w:sz w:val="24"/>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at the time of such statement or publication, there is no successor administrator that will continue to provide any Available Tenor of such Benchmark (or such component thereof);</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(2)    a public statement or publication of information by the regulatory supervisor for the administrator of such Benchmark (or the published component used in the calculation </w:t>
      </w:r>
    </w:p>
    <w:p>
      <w:pPr>
        <w:pStyle w:val="TextBody"/>
        <w:bidi w:val="0"/>
        <w:spacing w:before="0" w:after="0"/>
        <w:jc w:val="center"/>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25145"/>
                <wp:effectExtent l="0" t="0" r="0" b="0"/>
                <wp:wrapNone/>
                <wp:docPr id="49" name="Frame4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at the time of such statement or publication, there is no successor administrator that will continue to provide any Available Tenor of such Benchmark (or such component thereof); or</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not be, representative.</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Benchmark Unavailability Period</w:t>
      </w:r>
      <w:r>
        <w:rPr>
          <w:color w:val="000000"/>
        </w:rPr>
        <w:t xml:space="preserve">” </w:t>
      </w:r>
      <w:r>
        <w:rPr>
          <w:rFonts w:ascii="Times New Roman;serif" w:hAnsi="Times New Roman;serif"/>
          <w:b w:val="false"/>
          <w:color w:val="000000"/>
          <w:sz w:val="24"/>
        </w:rPr>
        <w:t xml:space="preserve">means the period (if any) (x) beginning at the time that a Benchmark Replacement Date pursuant to </w:t>
      </w:r>
      <w:r>
        <w:rPr>
          <w:rFonts w:ascii="Times New Roman;serif" w:hAnsi="Times New Roman;serif"/>
          <w:b w:val="false"/>
          <w:color w:val="000000"/>
          <w:sz w:val="24"/>
          <w:u w:val="single"/>
        </w:rPr>
        <w:t>clauses (1)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 xml:space="preserve">of that definition has occurred if, at such time, no Benchmark Replacement has replaced the then-current Benchmark for all purposes hereunder and under any Loan Document in accordance with </w:t>
      </w:r>
      <w:r>
        <w:rPr>
          <w:rFonts w:ascii="Times New Roman;serif" w:hAnsi="Times New Roman;serif"/>
          <w:b w:val="false"/>
          <w:color w:val="000000"/>
          <w:sz w:val="24"/>
          <w:u w:val="single"/>
        </w:rPr>
        <w:t>Section 2.29</w:t>
      </w:r>
      <w:r>
        <w:rPr>
          <w:color w:val="000000"/>
        </w:rPr>
        <w:t xml:space="preserve"> </w:t>
      </w:r>
      <w:r>
        <w:rPr>
          <w:rFonts w:ascii="Times New Roman;serif" w:hAnsi="Times New Roman;serif"/>
          <w:b w:val="false"/>
          <w:color w:val="000000"/>
          <w:sz w:val="24"/>
        </w:rPr>
        <w:t xml:space="preserve">and (y) ending at the time that a Benchmark Replacement has replaced the then-current Benchmark for all purposes hereunder and under any Loan Document in accordance with </w:t>
      </w:r>
      <w:r>
        <w:rPr>
          <w:rFonts w:ascii="Times New Roman;serif" w:hAnsi="Times New Roman;serif"/>
          <w:b w:val="false"/>
          <w:color w:val="000000"/>
          <w:sz w:val="24"/>
          <w:u w:val="single"/>
        </w:rPr>
        <w:t>Section 2.29</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Beneficial Owner</w:t>
      </w:r>
      <w:r>
        <w:rPr>
          <w:color w:val="000000"/>
        </w:rPr>
        <w:t xml:space="preserve">” </w:t>
      </w:r>
      <w:r>
        <w:rPr>
          <w:rFonts w:ascii="Times New Roman;serif" w:hAnsi="Times New Roman;serif"/>
          <w:b w:val="false"/>
          <w:color w:val="000000"/>
          <w:sz w:val="24"/>
        </w:rPr>
        <w:t>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Benefit Plan</w:t>
      </w:r>
      <w:r>
        <w:rPr>
          <w:color w:val="000000"/>
        </w:rPr>
        <w:t xml:space="preserve">” </w:t>
      </w:r>
      <w:r>
        <w:rPr>
          <w:rFonts w:ascii="Times New Roman;serif" w:hAnsi="Times New Roman;serif"/>
          <w:b w:val="false"/>
          <w:color w:val="000000"/>
          <w:sz w:val="24"/>
        </w:rPr>
        <w:t xml:space="preserve">means any of (a) an “employee benefit plan” (as defined in ERISA) that is subject to Title I of ERISA, (b) a “plan” as defined in and subject to Section 4975 of the Code or (c) any Person whose assets include (for purposes of Section 3(42) of ERISA or otherwise for purposes of Title I of ERISA or Section 4975 of the Code) the assets of any such “employee benefit plan” or “plan.”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 xml:space="preserve">shall mean the Board of Governors of the Federal Reserve System of the United States. </w:t>
      </w:r>
    </w:p>
    <w:p>
      <w:pPr>
        <w:pStyle w:val="TextBody"/>
        <w:bidi w:val="0"/>
        <w:spacing w:before="0" w:after="0"/>
        <w:jc w:val="center"/>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25145"/>
                <wp:effectExtent l="0" t="0" r="0" b="0"/>
                <wp:wrapNone/>
                <wp:docPr id="50" name="Frame4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Board of Directors</w:t>
      </w:r>
      <w:r>
        <w:rPr>
          <w:color w:val="000000"/>
        </w:rPr>
        <w:t xml:space="preserve">” </w:t>
      </w:r>
      <w:r>
        <w:rPr>
          <w:rFonts w:ascii="Times New Roman;serif" w:hAnsi="Times New Roman;serif"/>
          <w:b w:val="false"/>
          <w:color w:val="000000"/>
          <w:sz w:val="24"/>
        </w:rPr>
        <w:t>means: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with respect to a corporation, the board of directors of the corporation or any committee thereof duly authorized to act on behalf of such board;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with respect to a partnership, the Board of Directors of the general partner of the partnership;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with respect to a limited liability company, the managing member or members, manager or managers or any controlling committee of managing members or managers thereof; and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with respect to any other Person, the board or committee of such Person serving a similar function.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Borrower</w:t>
      </w:r>
      <w:r>
        <w:rPr>
          <w:color w:val="000000"/>
        </w:rPr>
        <w:t xml:space="preserve">” </w:t>
      </w:r>
      <w:r>
        <w:rPr>
          <w:rFonts w:ascii="Times New Roman;serif" w:hAnsi="Times New Roman;serif"/>
          <w:b w:val="false"/>
          <w:color w:val="000000"/>
          <w:sz w:val="24"/>
        </w:rPr>
        <w:t>shall have the meaning set forth in the first paragraph of this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Borrowing</w:t>
      </w:r>
      <w:r>
        <w:rPr>
          <w:color w:val="000000"/>
        </w:rPr>
        <w:t xml:space="preserve">” </w:t>
      </w:r>
      <w:r>
        <w:rPr>
          <w:rFonts w:ascii="Times New Roman;serif" w:hAnsi="Times New Roman;serif"/>
          <w:b w:val="false"/>
          <w:color w:val="000000"/>
          <w:sz w:val="24"/>
        </w:rPr>
        <w:t>shall mean the incurrence, conversion or continuation of Loans of a single Type on a single date and having, in the case of any Term Benchmark Loans, a single Interest Period.</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 xml:space="preserve">shall mean any day other than a Saturday, Sunday or other day on which commercial banks in New York City or Chicago are required or authorized to remain closed (and, for a Letter of Credit, other than a day on which the Issuing Lender issuing such Letter of Credit is closed);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when used in connection with the borrowing or repayment of a Term Benchmark Loan, the term “Business Day” shall also exclude any day that is not a U.S. Government Securities Business Day.</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Capital Lease Obligation</w:t>
      </w:r>
      <w:r>
        <w:rPr>
          <w:color w:val="000000"/>
        </w:rPr>
        <w:t xml:space="preserve">” </w:t>
      </w:r>
      <w:r>
        <w:rPr>
          <w:rFonts w:ascii="Times New Roman;serif" w:hAnsi="Times New Roman;serif"/>
          <w:b w:val="false"/>
          <w:color w:val="000000"/>
          <w:sz w:val="24"/>
        </w:rPr>
        <w:t>means, at the time any determination is to be made, the amount of the liability in respect of a capital lease that would at that time be required to be capitalized and reflected as a liability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Capital Markets Offering</w:t>
      </w:r>
      <w:r>
        <w:rPr>
          <w:color w:val="000000"/>
        </w:rPr>
        <w:t xml:space="preserve">” </w:t>
      </w:r>
      <w:r>
        <w:rPr>
          <w:rFonts w:ascii="Times New Roman;serif" w:hAnsi="Times New Roman;serif"/>
          <w:b w:val="false"/>
          <w:color w:val="000000"/>
          <w:sz w:val="24"/>
        </w:rPr>
        <w:t>means any offering of “securities” (as defined under the Securities Act) in (a) a public offering registered under the Securities Act, or (b) an offering not required to be registered under the Securities Act (including, without limitation, a private placement under Section 4(a)(2) of the Securities Act, an exempt offering pursuant to Rule 144A and/or Regulation S of the Securities Act and an offering of exempt securities).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Capital Stock</w:t>
      </w:r>
      <w:r>
        <w:rPr>
          <w:color w:val="000000"/>
        </w:rPr>
        <w:t xml:space="preserve">” </w:t>
      </w:r>
      <w:r>
        <w:rPr>
          <w:rFonts w:ascii="Times New Roman;serif" w:hAnsi="Times New Roman;serif"/>
          <w:b w:val="false"/>
          <w:color w:val="000000"/>
          <w:sz w:val="24"/>
        </w:rPr>
        <w:t>means: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in the case of a corporation, corporate stock;</w:t>
      </w:r>
    </w:p>
    <w:p>
      <w:pPr>
        <w:pStyle w:val="TextBody"/>
        <w:bidi w:val="0"/>
        <w:spacing w:before="0" w:after="0"/>
        <w:jc w:val="center"/>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25145"/>
                <wp:effectExtent l="0" t="0" r="0" b="0"/>
                <wp:wrapNone/>
                <wp:docPr id="51" name="Frame5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in the case of an association or business entity, any and all shares, interests, participations, rights or other equivalents (however designated) of corporate stock;</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in the case of a partnership or limited liability company, partnership interests (whether general or limited) or membership interests; and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any other interest or participation that confers on a Person the right to receive a share of the profits and losses of, or distributions of assets of, the issuing Person,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but excluding from all of the foregoing any debt securities convertible into Capital Stock, whether or not such debt securities include any right of participation with Capital Stock.</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Cash Collateralization</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Cash Collateralized</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2.02(j)</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Cash Equivalents</w:t>
      </w:r>
      <w:r>
        <w:rPr>
          <w:color w:val="000000"/>
        </w:rPr>
        <w:t xml:space="preserve">” </w:t>
      </w:r>
      <w:r>
        <w:rPr>
          <w:rFonts w:ascii="Times New Roman;serif" w:hAnsi="Times New Roman;serif"/>
          <w:b w:val="false"/>
          <w:color w:val="000000"/>
          <w:sz w:val="24"/>
        </w:rPr>
        <w:t>means: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direct obligations of, or obligations the principal of and interest on which are unconditionally guaranteed by, the United States (or by any agency thereof to the extent such obligations are backed by the full faith and credit of the United States), in each case maturing within one year from the date of acquisition thereof;</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direct obligations of state and local government entities, in each case maturing within one year from the date of acquisition thereof, which have a rating of at least A- (or the equivalent thereof) from S&amp;P or A3 (or the equivalent thereof) from Moody’s;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in each case maturing within one year from the date of acquisition thereof;</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investments in commercial paper maturing within 365 days from the date of acquisition thereof and having, at such date of acquisition, a rating of at least A-2 (or the equivalent thereof) from S&amp;P or P-2 (or the equivalent thereof) from Moody’s;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investments in certificates of deposit (including investments made through an intermediary, such as the certificated deposit account registry service), banker’s acceptances, time deposits, eurodollar time deposits and overnight bank </w:t>
      </w:r>
    </w:p>
    <w:p>
      <w:pPr>
        <w:pStyle w:val="TextBody"/>
        <w:bidi w:val="0"/>
        <w:spacing w:before="0" w:after="0"/>
        <w:jc w:val="center"/>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25145"/>
                <wp:effectExtent l="0" t="0" r="0" b="0"/>
                <wp:wrapNone/>
                <wp:docPr id="52" name="Frame5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deposits maturing within one year from the date of acquisition thereof issued or guaranteed by or placed with, and money market deposit accounts issued or offered by, any domestic office of any other commercial bank of recognized standing organized under the laws of the United States or any State thereof that has a combined capital and surplus and undivided profits of not less than $100.0 million;</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(6)    fully collateralized repurchase agreements with a term of not more than six months for underlying securities that would otherwise be eligible for investment;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(7)    investments in money in an investment company registered under the Investment Company Act of 1940, as amended, or in pooled accounts or funds offered through mutual funds, investment advisors, banks and brokerage houses which invest its assets in obligations of the type described in </w:t>
      </w:r>
      <w:r>
        <w:rPr>
          <w:rFonts w:ascii="Times New Roman;serif" w:hAnsi="Times New Roman;serif"/>
          <w:b w:val="false"/>
          <w:color w:val="000000"/>
          <w:sz w:val="24"/>
          <w:u w:val="single"/>
        </w:rPr>
        <w:t>clauses (1)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(6)</w:t>
      </w:r>
      <w:r>
        <w:rPr>
          <w:color w:val="000000"/>
        </w:rPr>
        <w:t xml:space="preserve"> </w:t>
      </w:r>
      <w:r>
        <w:rPr>
          <w:rFonts w:ascii="Times New Roman;serif" w:hAnsi="Times New Roman;serif"/>
          <w:b w:val="false"/>
          <w:color w:val="000000"/>
          <w:sz w:val="24"/>
        </w:rPr>
        <w:t xml:space="preserve">above. This could include, but not be limited to, money market funds or short-term and intermediate bonds funds;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    money market funds that (A) comply with the criteria set forth in SEC Rule 2a-7 under the Investment Company Act of 1940, as amended, (B) are rated AAA (or the equivalent thereof) by S&amp;P and Aaa (or the equivalent thereof) by Moody’s and (C) have portfolio assets of at least $5.0 billion;</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(9)    deposits available for withdrawal on demand with commercial banks organized in the United States (or any foreign jurisdiction in which Parent or any Restricted Subsidiary operates) having capital and surplus in excess of $100.0 million;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A3 by Moody’s; and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(11)    any other securities or pools of securities that are classified under GAAP as cash equivalents or short-term investments on a balance sheet.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Certificate Delivery Date</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6.09(a)</w:t>
      </w:r>
      <w:r>
        <w:rPr>
          <w:rFonts w:ascii="Times New Roman;serif" w:hAnsi="Times New Roman;serif"/>
          <w:b w:val="false"/>
          <w:color w:val="000000"/>
          <w:sz w:val="24"/>
        </w:rPr>
        <w:t xml:space="preserve">.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Change in Law</w:t>
      </w:r>
      <w:r>
        <w:rPr>
          <w:color w:val="000000"/>
        </w:rPr>
        <w:t xml:space="preserve">” </w:t>
      </w:r>
      <w:r>
        <w:rPr>
          <w:rFonts w:ascii="Times New Roman;serif" w:hAnsi="Times New Roman;serif"/>
          <w:b w:val="false"/>
          <w:color w:val="000000"/>
          <w:sz w:val="24"/>
        </w:rPr>
        <w:t xml:space="preserve">shall mean, after the Closing Date, (a) the adoption of any law, rule or regulation after the Closing Date (including any request, rule, regulation, guideline, requirement or directive promulgated by the Bank for International Settlements, the Basel Committee on Banking Supervision (or any successor or similar authority) or the United States </w:t>
      </w:r>
    </w:p>
    <w:p>
      <w:pPr>
        <w:pStyle w:val="TextBody"/>
        <w:bidi w:val="0"/>
        <w:spacing w:before="0" w:after="0"/>
        <w:jc w:val="center"/>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25145"/>
                <wp:effectExtent l="0" t="0" r="0" b="0"/>
                <wp:wrapNone/>
                <wp:docPr id="53" name="Frame5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or foreign regulatory authorities, in each case pursuant to Basel II or Basel III) or (b) compliance by any Lender or Issuing Lender (or, for purposes of </w:t>
      </w:r>
      <w:r>
        <w:rPr>
          <w:rFonts w:ascii="Times New Roman;serif" w:hAnsi="Times New Roman;serif"/>
          <w:b w:val="false"/>
          <w:color w:val="000000"/>
          <w:sz w:val="24"/>
          <w:u w:val="single"/>
        </w:rPr>
        <w:t>Section 2.14(b)</w:t>
      </w:r>
      <w:r>
        <w:rPr>
          <w:rFonts w:ascii="Times New Roman;serif" w:hAnsi="Times New Roman;serif"/>
          <w:b w:val="false"/>
          <w:color w:val="000000"/>
          <w:sz w:val="24"/>
        </w:rPr>
        <w:t xml:space="preserve">, by any lending office of such Lender or Issuing Lender through which Loans and/or Letters of Credit are issued or maintained or by such Lender’s or Issuing Lender’s holding company, if any) with any request, guideline or directive (whether or not having the force of law) of any Governmental Authority made or issued after the Closing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notwithstanding anything herein to the contrary, the Dodd-Frank Wall Street Reform and Consumer Protection Act and all requests, rules, guidelines or directives thereunder or issued in connection therewith or in the implementation thereof shall be deemed to be a “Change in Law,” regardless of the date enacted, adopted, issued or implemented.</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means the occurrence of any of the following:</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(1)    the sale, lease, transfer, conveyance or other disposition (other than by way of merger or consolidation), in one or a series of related transactions, of all or substantially all of the properties or assets of Parent and its Subsidiaries taken as a whole to any Person (including any “person” (as that term is used in Section 13(d)(3) of the Exchange Act));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sale by Borrower of all or substantially all of its properties or assets to the Parent shall not constitute a Change of Control; or</w:t>
      </w:r>
    </w:p>
    <w:p>
      <w:pPr>
        <w:pStyle w:val="TextBody"/>
        <w:bidi w:val="0"/>
        <w:spacing w:lineRule="auto" w:line="288" w:before="240" w:after="283"/>
        <w:ind w:left="0" w:right="0" w:firstLine="720"/>
        <w:jc w:val="left"/>
        <w:rPr/>
      </w:pPr>
      <w:r>
        <w:rPr>
          <w:rFonts w:ascii="Times New Roman;serif" w:hAnsi="Times New Roman;serif"/>
          <w:b w:val="false"/>
          <w:color w:val="000000"/>
          <w:sz w:val="24"/>
        </w:rPr>
        <w:t>(2)    the consummation of any transaction (including, without limitation, any merger or consolidation), the result of which is that any Person (including any “person” (as defined above)) becomes the Beneficial Owner, directly or indirectly, of more than 50% of the Voting Stock of Parent (measured by voting power rather than number of shares), other than (A) any such transaction where the Voting Stock of Parent (measured by voting power rather than number of shares) outstanding immediately prior to such transaction constitutes or is converted into or exchanged for a majority of the outstanding shares of the Voting Stock of such Beneficial Owner (measured by voting power rather than number of shares), or (B) any merger or consolidation of Parent with or into any Person (including any “person” (as defined above)) which owns or operates (directly or indirectly through a contractual arrangement) a Permitted Business (a “</w:t>
      </w:r>
      <w:r>
        <w:rPr>
          <w:rFonts w:ascii="Times New Roman;serif" w:hAnsi="Times New Roman;serif"/>
          <w:b w:val="false"/>
          <w:color w:val="000000"/>
          <w:sz w:val="24"/>
          <w:u w:val="single"/>
        </w:rPr>
        <w:t>Permitted Person</w:t>
      </w:r>
      <w:r>
        <w:rPr>
          <w:color w:val="000000"/>
        </w:rPr>
        <w:t>”</w:t>
      </w:r>
      <w:r>
        <w:rPr>
          <w:rFonts w:ascii="Times New Roman;serif" w:hAnsi="Times New Roman;serif"/>
          <w:b w:val="false"/>
          <w:color w:val="000000"/>
          <w:sz w:val="24"/>
        </w:rPr>
        <w:t xml:space="preserve">) or a Subsidiary of a Permitted Person, in each case, if immediately after such transaction no Person (including any “person” (as defined above)) is the Beneficial Owner, directly or indirectly, of more than 50% of the total Voting Stock of such Permitted Person (measured by voting power rather than number of shares);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occurrence of the Airline/Parent Merger shall not be deemed to constitute a Change of Control.</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Change of Control Offer</w:t>
      </w:r>
      <w:r>
        <w:rPr>
          <w:color w:val="000000"/>
        </w:rPr>
        <w:t xml:space="preserve">” </w:t>
      </w:r>
      <w:r>
        <w:rPr>
          <w:rFonts w:ascii="Times New Roman;serif" w:hAnsi="Times New Roman;serif"/>
          <w:b w:val="false"/>
          <w:color w:val="000000"/>
          <w:sz w:val="24"/>
        </w:rPr>
        <w:t xml:space="preserve">shall have the meaning given such term in </w:t>
      </w:r>
      <w:r>
        <w:rPr>
          <w:rFonts w:ascii="Times New Roman;serif" w:hAnsi="Times New Roman;serif"/>
          <w:b w:val="false"/>
          <w:color w:val="000000"/>
          <w:sz w:val="24"/>
          <w:u w:val="single"/>
        </w:rPr>
        <w:t>Section 2.12(g)</w:t>
      </w:r>
      <w:r>
        <w:rPr>
          <w:rFonts w:ascii="Times New Roman;serif" w:hAnsi="Times New Roman;serif"/>
          <w:b w:val="false"/>
          <w:color w:val="000000"/>
          <w:sz w:val="24"/>
        </w:rPr>
        <w:t xml:space="preserve">.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Class</w:t>
      </w:r>
      <w:r>
        <w:rPr>
          <w:color w:val="000000"/>
        </w:rPr>
        <w:t>”</w:t>
      </w:r>
      <w:r>
        <w:rPr>
          <w:rFonts w:ascii="Times New Roman;serif" w:hAnsi="Times New Roman;serif"/>
          <w:b w:val="false"/>
          <w:color w:val="000000"/>
          <w:sz w:val="24"/>
        </w:rPr>
        <w:t xml:space="preserve">, in the event of an extension of less than all Revolving Commitments and Revolving Loans pursuant to </w:t>
      </w:r>
      <w:r>
        <w:rPr>
          <w:rFonts w:ascii="Times New Roman;serif" w:hAnsi="Times New Roman;serif"/>
          <w:b w:val="false"/>
          <w:color w:val="000000"/>
          <w:sz w:val="24"/>
          <w:u w:val="single"/>
        </w:rPr>
        <w:t>Section 2.28</w:t>
      </w:r>
      <w:r>
        <w:rPr>
          <w:rFonts w:ascii="Times New Roman;serif" w:hAnsi="Times New Roman;serif"/>
          <w:b w:val="false"/>
          <w:color w:val="000000"/>
          <w:sz w:val="24"/>
        </w:rPr>
        <w:t xml:space="preserve">, when used in reference to any Loan or Borrowing, shall refer to whether such Loan, or the Loans comprising such Borrowing, are Revolving Loans </w:t>
      </w:r>
    </w:p>
    <w:p>
      <w:pPr>
        <w:pStyle w:val="TextBody"/>
        <w:bidi w:val="0"/>
        <w:spacing w:before="0" w:after="0"/>
        <w:jc w:val="center"/>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25145"/>
                <wp:effectExtent l="0" t="0" r="0" b="0"/>
                <wp:wrapNone/>
                <wp:docPr id="54" name="Frame5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or Revolving Loans extended pursuant to </w:t>
      </w:r>
      <w:r>
        <w:rPr>
          <w:rFonts w:ascii="Times New Roman;serif" w:hAnsi="Times New Roman;serif"/>
          <w:b w:val="false"/>
          <w:color w:val="000000"/>
          <w:sz w:val="24"/>
          <w:u w:val="single"/>
        </w:rPr>
        <w:t>Section 2.28</w:t>
      </w:r>
      <w:r>
        <w:rPr>
          <w:color w:val="000000"/>
        </w:rPr>
        <w:t xml:space="preserve"> </w:t>
      </w:r>
      <w:r>
        <w:rPr>
          <w:rFonts w:ascii="Times New Roman;serif" w:hAnsi="Times New Roman;serif"/>
          <w:b w:val="false"/>
          <w:color w:val="000000"/>
          <w:sz w:val="24"/>
        </w:rPr>
        <w:t xml:space="preserve">and when used in reference to any Commitment, refers to whether such Commitment is a Revolving Commitment or an Extended Revolving Commitment.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 xml:space="preserve">shall mean the date on which this Agreement has been executed and the conditions precedent set forth in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have been satisfied or waived.</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Closing Date Transactions</w:t>
      </w:r>
      <w:r>
        <w:rPr>
          <w:color w:val="000000"/>
        </w:rPr>
        <w:t xml:space="preserve">” </w:t>
      </w:r>
      <w:r>
        <w:rPr>
          <w:rFonts w:ascii="Times New Roman;serif" w:hAnsi="Times New Roman;serif"/>
          <w:b w:val="false"/>
          <w:color w:val="000000"/>
          <w:sz w:val="24"/>
        </w:rPr>
        <w:t>shall mean the Transactions other than (x) the borrowing of Loans after the Closing Date and the use of the proceeds thereof, and (y) the request for and issuance of Letters of Credit hereunder after the Closing Date.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CME Term SOFR Administrator</w:t>
      </w:r>
      <w:r>
        <w:rPr>
          <w:color w:val="000000"/>
        </w:rPr>
        <w:t xml:space="preserve">” </w:t>
      </w:r>
      <w:r>
        <w:rPr>
          <w:rFonts w:ascii="Times New Roman;serif" w:hAnsi="Times New Roman;serif"/>
          <w:b w:val="false"/>
          <w:color w:val="000000"/>
          <w:sz w:val="24"/>
        </w:rPr>
        <w:t>means CME Group Benchmark Administration Limited as administrator of the forward-looking term Secured Overnight Financing Rate (SOFR) (or a successor administrator).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shall mean the Internal Revenue Code of 1986, as amended from time to time.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Collateral</w:t>
      </w:r>
      <w:r>
        <w:rPr>
          <w:color w:val="000000"/>
        </w:rPr>
        <w:t xml:space="preserve">” </w:t>
      </w:r>
      <w:r>
        <w:rPr>
          <w:rFonts w:ascii="Times New Roman;serif" w:hAnsi="Times New Roman;serif"/>
          <w:b w:val="false"/>
          <w:color w:val="000000"/>
          <w:sz w:val="24"/>
        </w:rPr>
        <w:t>shall mean (i) the assets and properties of the Grantors upon which Liens have been granted to the Collateral Trustee to secure the Obligations or any other Priority Lien Obligations, including without limitation any Cure Collateral and all of the “Collateral” as defined in the Collateral Documents, but excluding all such assets and properties released from such Liens pursuant to the applicable Collateral Document, and (ii) the Letter of Credit Account, together with all amounts on deposit therein and all proceeds thereof.</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Collateral Coverage Ratio</w:t>
      </w:r>
      <w:r>
        <w:rPr>
          <w:color w:val="000000"/>
        </w:rPr>
        <w:t xml:space="preserve">” </w:t>
      </w:r>
      <w:r>
        <w:rPr>
          <w:rFonts w:ascii="Times New Roman;serif" w:hAnsi="Times New Roman;serif"/>
          <w:b w:val="false"/>
          <w:color w:val="000000"/>
          <w:sz w:val="24"/>
        </w:rPr>
        <w:t xml:space="preserve">shall mean, as of any date, the ratio of (a) the Appraised Value of the Eligible Collateral as of such date to (b) the Total Priority Lien Principal Amount as of such date.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Collateral Coverage Ratio Certificate</w:t>
      </w:r>
      <w:r>
        <w:rPr>
          <w:color w:val="000000"/>
        </w:rPr>
        <w:t xml:space="preserve">” </w:t>
      </w:r>
      <w:r>
        <w:rPr>
          <w:rFonts w:ascii="Times New Roman;serif" w:hAnsi="Times New Roman;serif"/>
          <w:b w:val="false"/>
          <w:color w:val="000000"/>
          <w:sz w:val="24"/>
        </w:rPr>
        <w:t>shall mean an Officer’s Certificate of the Borrower setting forth in reasonable detail the calculation of the Collateral Coverage Ratio.</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Collateral Coverage Test</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6.09(a)</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Collateral Documents</w:t>
      </w:r>
      <w:r>
        <w:rPr>
          <w:color w:val="000000"/>
        </w:rPr>
        <w:t xml:space="preserve">” </w:t>
      </w:r>
      <w:r>
        <w:rPr>
          <w:rFonts w:ascii="Times New Roman;serif" w:hAnsi="Times New Roman;serif"/>
          <w:b w:val="false"/>
          <w:color w:val="000000"/>
          <w:sz w:val="24"/>
        </w:rPr>
        <w:t>shall mean, collectively, the SRG Security Agreement, the Collateral Trust Agreement, the Account Control Agreements, the UK Debenture and other agreements, instruments or documents that create or purport to create a Lien in favor of the Administrative Agent or the Collateral Trustee for the benefit of the Secured Parties, in each case so long as such agreement, instrument or document shall not have been terminated in accordance with its terms.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Collateral Trust Agreement</w:t>
      </w:r>
      <w:r>
        <w:rPr>
          <w:color w:val="000000"/>
        </w:rPr>
        <w:t xml:space="preserve">” </w:t>
      </w:r>
      <w:r>
        <w:rPr>
          <w:rFonts w:ascii="Times New Roman;serif" w:hAnsi="Times New Roman;serif"/>
          <w:b w:val="false"/>
          <w:color w:val="000000"/>
          <w:sz w:val="24"/>
        </w:rPr>
        <w:t xml:space="preserve">shall mean that certain Collateral Trust Agreement dated as of the Original Closing Date, among the Borrower, the other Grantors from time to time party thereto, the Administrative Agent, the Term Loan Administrative Agent (as defined in the Collateral Trust Agreement), Wilmington Trust, National Association, as trustee under the </w:t>
      </w:r>
    </w:p>
    <w:p>
      <w:pPr>
        <w:pStyle w:val="TextBody"/>
        <w:bidi w:val="0"/>
        <w:spacing w:before="0" w:after="0"/>
        <w:jc w:val="center"/>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25145"/>
                <wp:effectExtent l="0" t="0" r="0" b="0"/>
                <wp:wrapNone/>
                <wp:docPr id="55" name="Frame5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Indenture, the Collateral Trustee, and each other Secured Debt Representative (as defined in the Collateral Trust Agreement) from time to time party thereto, a copy of which is attached hereto as </w:t>
      </w:r>
      <w:r>
        <w:rPr>
          <w:rFonts w:ascii="Times New Roman;serif" w:hAnsi="Times New Roman;serif"/>
          <w:b w:val="false"/>
          <w:color w:val="000000"/>
          <w:sz w:val="24"/>
          <w:u w:val="single"/>
        </w:rPr>
        <w:t>Exhibit C</w:t>
      </w:r>
      <w:r>
        <w:rPr>
          <w:rFonts w:ascii="Times New Roman;serif" w:hAnsi="Times New Roman;serif"/>
          <w:b w:val="false"/>
          <w:color w:val="000000"/>
          <w:sz w:val="24"/>
        </w:rPr>
        <w:t>, as the same may be amended, restated, modified, supplemented, extended or amended and restated from time to time in accordance with the terms thereof.</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Collateral Trustee</w:t>
      </w:r>
      <w:r>
        <w:rPr>
          <w:color w:val="000000"/>
        </w:rPr>
        <w:t xml:space="preserve">” </w:t>
      </w:r>
      <w:r>
        <w:rPr>
          <w:rFonts w:ascii="Times New Roman;serif" w:hAnsi="Times New Roman;serif"/>
          <w:b w:val="false"/>
          <w:color w:val="000000"/>
          <w:sz w:val="24"/>
        </w:rPr>
        <w:t>shall have the meaning set forth in the first paragraph of this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Commitment</w:t>
      </w:r>
      <w:r>
        <w:rPr>
          <w:color w:val="000000"/>
        </w:rPr>
        <w:t xml:space="preserve">” </w:t>
      </w:r>
      <w:r>
        <w:rPr>
          <w:rFonts w:ascii="Times New Roman;serif" w:hAnsi="Times New Roman;serif"/>
          <w:b w:val="false"/>
          <w:color w:val="000000"/>
          <w:sz w:val="24"/>
        </w:rPr>
        <w:t>shall mean, as to any Lender, the Revolving Commitment of such Lender.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Commitment Fee</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2.20(a)</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Commitment Fee Rate</w:t>
      </w:r>
      <w:r>
        <w:rPr>
          <w:color w:val="000000"/>
        </w:rPr>
        <w:t xml:space="preserve">” </w:t>
      </w:r>
      <w:r>
        <w:rPr>
          <w:rFonts w:ascii="Times New Roman;serif" w:hAnsi="Times New Roman;serif"/>
          <w:b w:val="false"/>
          <w:color w:val="000000"/>
          <w:sz w:val="24"/>
        </w:rPr>
        <w:t>shall mean the rate per annum set forth under the heading “Commitment Fee Rate” on the Applicable Pricing Grid.</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Commodity Exchange Act</w:t>
      </w:r>
      <w:r>
        <w:rPr>
          <w:color w:val="000000"/>
        </w:rPr>
        <w:t xml:space="preserve">” </w:t>
      </w:r>
      <w:r>
        <w:rPr>
          <w:rFonts w:ascii="Times New Roman;serif" w:hAnsi="Times New Roman;serif"/>
          <w:b w:val="false"/>
          <w:color w:val="000000"/>
          <w:sz w:val="24"/>
        </w:rPr>
        <w:t>means the Commodity Exchange Act (7 U.S.C. §1 et seq.), as amended from time to time, and any successor statute.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Corresponding Tenor</w:t>
      </w:r>
      <w:r>
        <w:rPr>
          <w:color w:val="000000"/>
        </w:rPr>
        <w:t xml:space="preserve">” </w:t>
      </w:r>
      <w:r>
        <w:rPr>
          <w:rFonts w:ascii="Times New Roman;serif" w:hAnsi="Times New Roman;serif"/>
          <w:b w:val="false"/>
          <w:color w:val="000000"/>
          <w:sz w:val="24"/>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Cure Collateral</w:t>
      </w:r>
      <w:r>
        <w:rPr>
          <w:color w:val="000000"/>
        </w:rPr>
        <w:t xml:space="preserve">” </w:t>
      </w:r>
      <w:r>
        <w:rPr>
          <w:rFonts w:ascii="Times New Roman;serif" w:hAnsi="Times New Roman;serif"/>
          <w:b w:val="false"/>
          <w:color w:val="000000"/>
          <w:sz w:val="24"/>
        </w:rPr>
        <w:t xml:space="preserve">shall have the meaning given to such term in the Collateral Trust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any Account of the Borrower or any Grantor pledged as Cure Collateral shall be an Eligible Account, (b) FAA Slots of the Borrower or any Grantor pledged as Cure Collateral shall be at an Eligible Airport, (c) Ground Support Equipment, Real Property Assets, QEC Kits, Tooling, Flight Simulators (each defined term in this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 xml:space="preserve">as defined in the Collateral Trust Agreement) and material intellectual property pledged as Cure Collateral shall be reasonably acceptable to the Administrative Agent, and (d) any Cure Collateral shall be subject only to Permitted Liens (excluding, at the time such assets become subject to such Lien, those referred to in </w:t>
      </w:r>
      <w:r>
        <w:rPr>
          <w:rFonts w:ascii="Times New Roman;serif" w:hAnsi="Times New Roman;serif"/>
          <w:b w:val="false"/>
          <w:color w:val="000000"/>
          <w:sz w:val="24"/>
          <w:u w:val="single"/>
        </w:rPr>
        <w:t>clauses (5)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(11)</w:t>
      </w:r>
      <w:r>
        <w:rPr>
          <w:color w:val="000000"/>
        </w:rPr>
        <w:t xml:space="preserve"> </w:t>
      </w:r>
      <w:r>
        <w:rPr>
          <w:rFonts w:ascii="Times New Roman;serif" w:hAnsi="Times New Roman;serif"/>
          <w:b w:val="false"/>
          <w:color w:val="000000"/>
          <w:sz w:val="24"/>
        </w:rPr>
        <w:t>of the definition of “Permitted Lien”).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Daily Simple SOFR</w:t>
      </w:r>
      <w:r>
        <w:rPr>
          <w:color w:val="000000"/>
        </w:rPr>
        <w:t xml:space="preserve">” </w:t>
      </w:r>
      <w:r>
        <w:rPr>
          <w:rFonts w:ascii="Times New Roman;serif" w:hAnsi="Times New Roman;serif"/>
          <w:b w:val="false"/>
          <w:color w:val="000000"/>
          <w:sz w:val="24"/>
        </w:rPr>
        <w:t>means, for any day (a “</w:t>
      </w:r>
      <w:r>
        <w:rPr>
          <w:rFonts w:ascii="Times New Roman;serif" w:hAnsi="Times New Roman;serif"/>
          <w:b w:val="false"/>
          <w:color w:val="000000"/>
          <w:sz w:val="24"/>
          <w:u w:val="single"/>
        </w:rPr>
        <w:t>SOFR Rate Day</w:t>
      </w:r>
      <w:r>
        <w:rPr>
          <w:color w:val="000000"/>
        </w:rPr>
        <w:t>”</w:t>
      </w:r>
      <w:r>
        <w:rPr>
          <w:rFonts w:ascii="Times New Roman;serif" w:hAnsi="Times New Roman;serif"/>
          <w:b w:val="false"/>
          <w:color w:val="000000"/>
          <w:sz w:val="24"/>
        </w:rPr>
        <w:t>), a rate per annum equal to SOFR for the day (such day the “</w:t>
      </w:r>
      <w:r>
        <w:rPr>
          <w:rFonts w:ascii="Times New Roman;serif" w:hAnsi="Times New Roman;serif"/>
          <w:b w:val="false"/>
          <w:color w:val="000000"/>
          <w:sz w:val="24"/>
          <w:u w:val="single"/>
        </w:rPr>
        <w:t>SOFR Determination Date</w:t>
      </w:r>
      <w:r>
        <w:rPr>
          <w:color w:val="000000"/>
        </w:rPr>
        <w:t>”</w:t>
      </w:r>
      <w:r>
        <w:rPr>
          <w:rFonts w:ascii="Times New Roman;serif" w:hAnsi="Times New Roman;serif"/>
          <w:b w:val="false"/>
          <w:color w:val="000000"/>
          <w:sz w:val="24"/>
        </w:rPr>
        <w:t xml:space="preserv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w:t>
      </w:r>
    </w:p>
    <w:p>
      <w:pPr>
        <w:pStyle w:val="TextBody"/>
        <w:bidi w:val="0"/>
        <w:spacing w:before="0" w:after="0"/>
        <w:jc w:val="center"/>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25145"/>
                <wp:effectExtent l="0" t="0" r="0" b="0"/>
                <wp:wrapNone/>
                <wp:docPr id="56" name="Frame5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SOFR as published in respect of the first preceding U.S. Government Securities Business Day for which such SOFR was published on the SOFR Administrator’s Website.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Default</w:t>
      </w:r>
      <w:r>
        <w:rPr>
          <w:color w:val="000000"/>
        </w:rPr>
        <w:t xml:space="preserve">” </w:t>
      </w:r>
      <w:r>
        <w:rPr>
          <w:rFonts w:ascii="Times New Roman;serif" w:hAnsi="Times New Roman;serif"/>
          <w:b w:val="false"/>
          <w:color w:val="000000"/>
          <w:sz w:val="24"/>
        </w:rPr>
        <w:t>means any event that, unless cured or waived, is, or with the passage of time or the giving of notice or both would be, an Event of Default.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Defaulting Lender</w:t>
      </w:r>
      <w:r>
        <w:rPr>
          <w:color w:val="000000"/>
        </w:rPr>
        <w:t xml:space="preserve">” </w:t>
      </w:r>
      <w:r>
        <w:rPr>
          <w:rFonts w:ascii="Times New Roman;serif" w:hAnsi="Times New Roman;serif"/>
          <w:b w:val="false"/>
          <w:color w:val="000000"/>
          <w:sz w:val="24"/>
        </w:rPr>
        <w:t xml:space="preserve">shall mean, at any time, any Lender that (a) has failed, within two (2) Business Days of the date required to be funded or paid by it hereunder, to fund or pay (x) any portion of the Loans, (y) any portion of the participations in any Letter of Credit required to be funded hereunder or (z) any other amount required to be paid by it hereunder to the Administrative Agent, any Issuing Lender or any other Lender (or its banking Affiliates), unless, in the case of clause (x) above, such Lender notifies the Administrative Agent and the Borrower in writing that such failure is the result of such Lender’s good faith determination that a condition precedent to funding (specifically identified and including the particular default, if any) has not been satisfied, (b) has notified the Borrower, the Administrative Agent, any Issuing Lender or any other Lender in writing, or has made a public statement to the effect, that it does not intend or expect to comply with any of its funding obligations (i)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(ii) generally under other agreements in which it commits to extend credit, (c) has failed, within three (3) Business Days after request by the Administrative Agent, any Issuing Lender, any other Lender or the Borrower, acting in good faith, to provide a confirmation in writing from an authorized officer or other authorized representative of such Lender that it will comply with its obligations (and is financially able to meet such obligations) to fund prospective Loans and participations in then outstanding Letters of Credit under this Agreement, which request shall only have been made after the conditions precedent to borrowings have been met, provided that such Lender shall cease to be a Defaulting Lender pursuant to this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 xml:space="preserve">upon the Administrative Agent’s, such Issuing Lender’s, such other Lender’s or the Borrower’s, as applicable, receipt of such confirmation in form and substance satisfactory to it and the Administrative Agent, or (d) has become, or has had its Parent Company become, the subject of a Lender Bankruptcy Event or a Bail-In Action. If the Administrative Agent determines that a Lender is a Defaulting Lender under any of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above, such Lender will be deemed to be a Defaulting Lender upon notification of such determination by the Administrative Agent to the Borrower, the Issuing Lender and the Lenders.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Designated Banking Product Agreement</w:t>
      </w:r>
      <w:r>
        <w:rPr>
          <w:color w:val="000000"/>
        </w:rPr>
        <w:t xml:space="preserve">” </w:t>
      </w:r>
      <w:r>
        <w:rPr>
          <w:rFonts w:ascii="Times New Roman;serif" w:hAnsi="Times New Roman;serif"/>
          <w:b w:val="false"/>
          <w:color w:val="000000"/>
          <w:sz w:val="24"/>
        </w:rPr>
        <w:t xml:space="preserve">means any agreement evidencing Designated Banking Product Obligations entered into by the Parent or the Borrower and any Person that, at the time such Person entered into such agreement, was a Revolving Lender or a banking Affiliate of a Revolving Lender, in each case designated by the relevant Lender and the Parent or the Borrower, by written notice to the Administrative Agent, as a “Designated Banking Product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so long as any Revolving Lender is a Defaulting Lender, such Revolving Lender shall not have any rights hereunder with respect to any Designated Banking Product Agreement entered into while such Revolving Lender was a Defaulting Lender.</w:t>
      </w:r>
    </w:p>
    <w:p>
      <w:pPr>
        <w:pStyle w:val="TextBody"/>
        <w:bidi w:val="0"/>
        <w:spacing w:before="0" w:after="0"/>
        <w:jc w:val="center"/>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25145"/>
                <wp:effectExtent l="0" t="0" r="0" b="0"/>
                <wp:wrapNone/>
                <wp:docPr id="57" name="Frame5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Designated Banking Product Obligations</w:t>
      </w:r>
      <w:r>
        <w:rPr>
          <w:color w:val="000000"/>
        </w:rPr>
        <w:t xml:space="preserve">” </w:t>
      </w:r>
      <w:r>
        <w:rPr>
          <w:rFonts w:ascii="Times New Roman;serif" w:hAnsi="Times New Roman;serif"/>
          <w:b w:val="false"/>
          <w:color w:val="000000"/>
          <w:sz w:val="24"/>
        </w:rPr>
        <w:t xml:space="preserve">means any Banking Product Obligations, in each case as designated by any Revolving Lender (or a banking Affiliate thereof) and Parent or the Borrower from time to time and agreed to by the Administrative Agent as constituting “Designated Banking Product Obligations,” which notice shall include (i) a copy of an agreement providing an agreed-upon maximum amount of Designated Banking Product Obligations that can be included as Obligations, and (ii) the acknowledgment of such Lender (or such banking Affiliate) that its security interest in the Collateral securing such Designated Banking Product Obligations shall be subject to the Collateral Trust Agreement and the other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after giving effect to such designation, the aggregate agreed-upon maximum amount of all “Designated Banking Product Obligations” included as Obligations, together with the aggregate agreed-upon maximum amount of all “Designated Hedging Obligations” included as Obligations, shall not exceed $250,000,000 in the aggregate.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Designated Hedge Agreement</w:t>
      </w:r>
      <w:r>
        <w:rPr>
          <w:color w:val="000000"/>
        </w:rPr>
        <w:t xml:space="preserve">” </w:t>
      </w:r>
      <w:r>
        <w:rPr>
          <w:rFonts w:ascii="Times New Roman;serif" w:hAnsi="Times New Roman;serif"/>
          <w:b w:val="false"/>
          <w:color w:val="000000"/>
          <w:sz w:val="24"/>
        </w:rPr>
        <w:t xml:space="preserve">means any Hedge Agreement entered into by the Parent or the Borrower and any Person that, at the time such Person entered into such Hedge Agreement, was a Revolving Lender or an Affiliate of a Revolving Lender, as designated by the relevant Lender (or Affiliate of a Lender) and the Parent or the Borrower, by written notice to the Administrative Agent, as a “Designated Hedge Agreement,” which notice shall include a copy of an agreement providing for (i) a methodology agreed to by the Parent or the Borrower, such Lender or Affiliate of a Lender, and the Administrative Agent for reporting the outstanding amount of Designated Hedging Obligations under such Designated Hedge Agreement from time to time, (ii) an agreed-upon maximum amount of Designated Hedging Obligations under such Designated Hedge Agreement that can be included as Obligations, and (iii) the acknowledgment of such Lender or Affiliate of a Lender that its security interest in the Collateral securing such Designated Hedging Obligations shall be subject to the Collateral Trust Agreement and the other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after giving effect to such designation, the aggregate agreed-upon maximum amount of all “Designated Hedging Obligations” included as Obligations,</w:t>
      </w:r>
      <w:r>
        <w:rPr>
          <w:color w:val="000000"/>
        </w:rPr>
        <w:t xml:space="preserve"> </w:t>
      </w:r>
      <w:r>
        <w:rPr>
          <w:rFonts w:ascii="Times New Roman;serif" w:hAnsi="Times New Roman;serif"/>
          <w:b w:val="false"/>
          <w:color w:val="000000"/>
          <w:sz w:val="24"/>
        </w:rPr>
        <w:t xml:space="preserve">together with the aggregate agreed-upon maximum amount of all “Designated Banking Product Obligations” included as Obligations, shall not exceed $250,000,000 in the aggregate; </w:t>
      </w:r>
      <w:r>
        <w:rPr>
          <w:rFonts w:ascii="Times New Roman;serif" w:hAnsi="Times New Roman;serif"/>
          <w:b w:val="false"/>
          <w:color w:val="000000"/>
          <w:sz w:val="24"/>
          <w:u w:val="single"/>
        </w:rPr>
        <w:t>provided</w:t>
      </w:r>
      <w:r>
        <w:rPr>
          <w:rFonts w:ascii="Times New Roman;serif" w:hAnsi="Times New Roman;serif"/>
          <w:b w:val="false"/>
          <w:color w:val="000000"/>
          <w:sz w:val="24"/>
        </w:rPr>
        <w:t>, further, that so long as any Revolving Lender is a Defaulting Lender, such Revolving Lender shall not have any rights hereunder with respect to any Designated Hedge Agreement entered into while such Revolving Lender was a Defaulting Lender.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Designated Hedging Obligations</w:t>
      </w:r>
      <w:r>
        <w:rPr>
          <w:color w:val="000000"/>
        </w:rPr>
        <w:t xml:space="preserve">” </w:t>
      </w:r>
      <w:r>
        <w:rPr>
          <w:rFonts w:ascii="Times New Roman;serif" w:hAnsi="Times New Roman;serif"/>
          <w:b w:val="false"/>
          <w:color w:val="000000"/>
          <w:sz w:val="24"/>
        </w:rPr>
        <w:t xml:space="preserve">means, as applied to any Person, all Hedging Obligations of such Person under Designated Hedge Agreements after taking into account the effect of any legally enforceable netting arrangements included in such Designated Hedge Agreements; </w:t>
      </w:r>
      <w:r>
        <w:rPr>
          <w:rFonts w:ascii="Times New Roman;serif" w:hAnsi="Times New Roman;serif"/>
          <w:b w:val="false"/>
          <w:i/>
          <w:color w:val="000000"/>
          <w:sz w:val="24"/>
        </w:rPr>
        <w:t>it being understood</w:t>
      </w:r>
      <w:r>
        <w:rPr>
          <w:color w:val="000000"/>
        </w:rPr>
        <w:t xml:space="preserve"> </w:t>
      </w:r>
      <w:r>
        <w:rPr>
          <w:rFonts w:ascii="Times New Roman;serif" w:hAnsi="Times New Roman;serif"/>
          <w:b w:val="false"/>
          <w:color w:val="000000"/>
          <w:sz w:val="24"/>
        </w:rPr>
        <w:t>and agreed that, on any date of determination, the amount of such Hedging Obligations under any Designated Hedge Agreement shall be determined based upon the “settlement amount” (or similar term) as defined under such Designated Hedge Agreement or, with respect to a Designated Hedge Agreement that has been terminated in accordance with its terms, the amount then due and payable (exclusive of expenses and similar payments but including any termination payments then due and payable) under such Designated Hedge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25145"/>
                <wp:effectExtent l="0" t="0" r="0" b="0"/>
                <wp:wrapNone/>
                <wp:docPr id="58" name="Frame5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Disposition</w:t>
      </w:r>
      <w:r>
        <w:rPr>
          <w:color w:val="000000"/>
        </w:rPr>
        <w:t xml:space="preserve">” </w:t>
      </w:r>
      <w:r>
        <w:rPr>
          <w:rFonts w:ascii="Times New Roman;serif" w:hAnsi="Times New Roman;serif"/>
          <w:b w:val="false"/>
          <w:color w:val="000000"/>
          <w:sz w:val="24"/>
        </w:rPr>
        <w:t>shall mean, with respect to any property, any sale, lease, sale and leaseback, conveyance, transfer or other disposition thereof. The terms “Dispose” and “Disposed of” shall have correlative meanings. For the avoidance of doubt, a reduction in frequency of flight operations over, or suspension or cancellation of, a Route shall not be a “Disposition” with respect to such Route.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Documentation Agents</w:t>
      </w:r>
      <w:r>
        <w:rPr>
          <w:color w:val="000000"/>
        </w:rPr>
        <w:t xml:space="preserve">” </w:t>
      </w:r>
      <w:r>
        <w:rPr>
          <w:rFonts w:ascii="Times New Roman;serif" w:hAnsi="Times New Roman;serif"/>
          <w:b w:val="false"/>
          <w:color w:val="000000"/>
          <w:sz w:val="24"/>
        </w:rPr>
        <w:t>shall mean the parties listed as “Documentation Agents” on the cover of this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Dollars</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shall mean lawful money of the United States of America.</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DOT</w:t>
      </w:r>
      <w:r>
        <w:rPr>
          <w:color w:val="000000"/>
        </w:rPr>
        <w:t xml:space="preserve">” </w:t>
      </w:r>
      <w:r>
        <w:rPr>
          <w:rFonts w:ascii="Times New Roman;serif" w:hAnsi="Times New Roman;serif"/>
          <w:b w:val="false"/>
          <w:color w:val="000000"/>
          <w:sz w:val="24"/>
        </w:rPr>
        <w:t>shall mean the United States Department of Transportation and any successor thereto.</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EEA Financial Institution</w:t>
      </w:r>
      <w:r>
        <w:rPr>
          <w:color w:val="000000"/>
        </w:rPr>
        <w:t xml:space="preserve">” </w:t>
      </w:r>
      <w:r>
        <w:rPr>
          <w:rFonts w:ascii="Times New Roman;serif" w:hAnsi="Times New Roman;serif"/>
          <w:b w:val="false"/>
          <w:color w:val="000000"/>
          <w:sz w:val="24"/>
        </w:rPr>
        <w:t xml:space="preserve">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EEA Member Country</w:t>
      </w:r>
      <w:r>
        <w:rPr>
          <w:color w:val="000000"/>
        </w:rPr>
        <w:t xml:space="preserve">” </w:t>
      </w:r>
      <w:r>
        <w:rPr>
          <w:rFonts w:ascii="Times New Roman;serif" w:hAnsi="Times New Roman;serif"/>
          <w:b w:val="false"/>
          <w:color w:val="000000"/>
          <w:sz w:val="24"/>
        </w:rPr>
        <w:t>means any of the member states of the European Union, Iceland, Liechtenstein, and Norway.</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EEA Resolution Authority</w:t>
      </w:r>
      <w:r>
        <w:rPr>
          <w:color w:val="000000"/>
        </w:rPr>
        <w:t xml:space="preserve">” </w:t>
      </w:r>
      <w:r>
        <w:rPr>
          <w:rFonts w:ascii="Times New Roman;serif" w:hAnsi="Times New Roman;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Eligible Account</w:t>
      </w:r>
      <w:r>
        <w:rPr>
          <w:color w:val="000000"/>
        </w:rPr>
        <w:t xml:space="preserve">” </w:t>
      </w:r>
      <w:r>
        <w:rPr>
          <w:rFonts w:ascii="Times New Roman;serif" w:hAnsi="Times New Roman;serif"/>
          <w:b w:val="false"/>
          <w:color w:val="000000"/>
          <w:sz w:val="24"/>
        </w:rPr>
        <w:t>shall mean any Account owned by the Borrower or another Grantor meeting the criteria and eligibility standards which are agreed upon by the Borrower and the Administrative Agent at the time of the initial pledge of Accounts to the Administrative Agent pursuant to the applicable Collateral Document.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Eligible Airport</w:t>
      </w:r>
      <w:r>
        <w:rPr>
          <w:color w:val="000000"/>
        </w:rPr>
        <w:t xml:space="preserve">” </w:t>
      </w:r>
      <w:r>
        <w:rPr>
          <w:rFonts w:ascii="Times New Roman;serif" w:hAnsi="Times New Roman;serif"/>
          <w:b w:val="false"/>
          <w:color w:val="000000"/>
          <w:sz w:val="24"/>
        </w:rPr>
        <w:t>means LaGuardia Airport, Ronald Reagan Washington National Airport, John F. Kennedy International Airport or any other airport reasonably acceptable to the Administrative Agent.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Eligible Assignee</w:t>
      </w:r>
      <w:r>
        <w:rPr>
          <w:color w:val="000000"/>
        </w:rPr>
        <w:t xml:space="preserve">” </w:t>
      </w:r>
      <w:r>
        <w:rPr>
          <w:rFonts w:ascii="Times New Roman;serif" w:hAnsi="Times New Roman;serif"/>
          <w:b w:val="false"/>
          <w:color w:val="000000"/>
          <w:sz w:val="24"/>
        </w:rPr>
        <w:t xml:space="preserve">shall mean (a) a commercial bank having total assets in excess of $1,000,000,000, (b) a finance company, insurance company or other financial institution or fund, in each case reasonably acceptable to the Administrative Agent, which in the ordinary course of business extends credit of the type contemplated herein or invests therein and has total assets in excess of $200,000,000 and whose becoming an assignee would not constitute a prohibited transaction under Section 4975 of the Code or Section 406 of ERISA, (c) any Lender or any Affiliate of any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Affiliate has total assets in excess of $200,000,000, (d) an Approved Fund of any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Approved Fund has total assets in excess of $200,000,000, and (e) any other financial institution reasonably </w:t>
      </w:r>
    </w:p>
    <w:p>
      <w:pPr>
        <w:pStyle w:val="TextBody"/>
        <w:bidi w:val="0"/>
        <w:spacing w:before="0" w:after="0"/>
        <w:jc w:val="center"/>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25145"/>
                <wp:effectExtent l="0" t="0" r="0" b="0"/>
                <wp:wrapNone/>
                <wp:docPr id="59" name="Frame5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satisfactory to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financial institution has total assets in excess of $200,000,000;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so long as no Event of Default has occurred and is continuing, no (i) airline, commercial air freight carrier, air freight forwarder or entity engaged in the business of parcel transport by air or (ii) Affiliate of any Person described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(other than any Affiliate of such Person as a result of common control by a Governmental Authority or instrumentality thereof, any Affiliate of such Person who becomes a Lender with the consent of the Borrower in accordance with </w:t>
      </w:r>
      <w:r>
        <w:rPr>
          <w:rFonts w:ascii="Times New Roman;serif" w:hAnsi="Times New Roman;serif"/>
          <w:b w:val="false"/>
          <w:color w:val="000000"/>
          <w:sz w:val="24"/>
          <w:u w:val="single"/>
        </w:rPr>
        <w:t>Section 10.02(b)</w:t>
      </w:r>
      <w:r>
        <w:rPr>
          <w:rFonts w:ascii="Times New Roman;serif" w:hAnsi="Times New Roman;serif"/>
          <w:b w:val="false"/>
          <w:color w:val="000000"/>
          <w:sz w:val="24"/>
        </w:rPr>
        <w:t xml:space="preserve">, and any Affiliate of such Person under common control with such Person which Affiliate is not actively involved in the management and/or operations of such Person), shall constitute an Eligible Assignee;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neither the Borrower nor any Guarantor shall constitute an Eligible Assignee.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Eligible Collateral</w:t>
      </w:r>
      <w:r>
        <w:rPr>
          <w:color w:val="000000"/>
        </w:rPr>
        <w:t xml:space="preserve">” </w:t>
      </w:r>
      <w:r>
        <w:rPr>
          <w:rFonts w:ascii="Times New Roman;serif" w:hAnsi="Times New Roman;serif"/>
          <w:b w:val="false"/>
          <w:color w:val="000000"/>
          <w:sz w:val="24"/>
        </w:rPr>
        <w:t>shall mean, on any date of determination, all Collateral on which the Collateral Trustee shall, as of such date, have, to the extent purported to be created by the applicable Collateral Document, a valid and perfected first priority Lien and/or mortgage (or comparable Lien) and which is otherwise subject only to Permitted Liens.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Environmental Laws</w:t>
      </w:r>
      <w:r>
        <w:rPr>
          <w:color w:val="000000"/>
        </w:rPr>
        <w:t xml:space="preserve">” </w:t>
      </w:r>
      <w:r>
        <w:rPr>
          <w:rFonts w:ascii="Times New Roman;serif" w:hAnsi="Times New Roman;serif"/>
          <w:b w:val="false"/>
          <w:color w:val="000000"/>
          <w:sz w:val="24"/>
        </w:rPr>
        <w:t>shall mean all applicable laws (including common law), statutes, rules, regulations, codes, ordinances, orders, decrees, judgments, injunctions or legally binding agreements issued, promulgated or entered into by or with any Governmental Authority, relating to the environment, preservation or reclamation of natural resources, the handling, treatment, storage, disposal, Release or threatened Release of, or the exposure of any Person (including employees) to, any Hazardous Materials.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Environmental Liability</w:t>
      </w:r>
      <w:r>
        <w:rPr>
          <w:color w:val="000000"/>
        </w:rPr>
        <w:t xml:space="preserve">” </w:t>
      </w:r>
      <w:r>
        <w:rPr>
          <w:rFonts w:ascii="Times New Roman;serif" w:hAnsi="Times New Roman;serif"/>
          <w:b w:val="false"/>
          <w:color w:val="000000"/>
          <w:sz w:val="24"/>
        </w:rPr>
        <w:t>shall mean any liability (including any liability for damages, natural resource damage, costs of environmental investigation, remediation or monitoring or costs, fines or penalties) resulting from or based upon (a) violation of any Environmental Law, (b) the generation, use, handling, transportation, storage, treatment, disposal or the arrangement for disposal of any Hazardous Materials, (c) exposure to any Hazardous Materials, (d) the Release or threatened Release of any Hazardous Materials into the environment or (e) any contract, agreement, lease or other consensual arrangement pursuant to which liability is assumed or imposed with respect to any of the foregoing.</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Equity Interests</w:t>
      </w:r>
      <w:r>
        <w:rPr>
          <w:color w:val="000000"/>
        </w:rPr>
        <w:t xml:space="preserve">” </w:t>
      </w:r>
      <w:r>
        <w:rPr>
          <w:rFonts w:ascii="Times New Roman;serif" w:hAnsi="Times New Roman;serif"/>
          <w:b w:val="false"/>
          <w:color w:val="000000"/>
          <w:sz w:val="24"/>
        </w:rPr>
        <w:t>shall mean Capital Stock and all warrants, options or other rights to acquire Capital Stock (but excluding any debt security that is convertible into, or exchangeable for, Capital Stock).</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shall mean the Employee Retirement Income Security Act of 1974, as amended from time to time, and the regulations promulgated thereunder.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Escrow Accounts</w:t>
      </w:r>
      <w:r>
        <w:rPr>
          <w:color w:val="000000"/>
        </w:rPr>
        <w:t xml:space="preserve">” </w:t>
      </w:r>
      <w:r>
        <w:rPr>
          <w:rFonts w:ascii="Times New Roman;serif" w:hAnsi="Times New Roman;serif"/>
          <w:b w:val="false"/>
          <w:color w:val="000000"/>
          <w:sz w:val="24"/>
        </w:rPr>
        <w:t xml:space="preserve">shall mean accounts of Parent or any Subsidiary, solely to the extent any such accounts hold funds set aside by Parent or any Subsidiary to manage the collection and payment of amounts collected, withheld or incurred by Parent or such Subsidiary for the benefit of third parties relating to: (a) federal income tax withholding and backup withholding tax, employment taxes, transportation excise taxes and security related charges, (b) any and all state and local income tax withholding, employment taxes and related charges and fees and similar taxes, charges and fees, including, but not limited to, state and local payroll </w:t>
      </w:r>
    </w:p>
    <w:p>
      <w:pPr>
        <w:pStyle w:val="TextBody"/>
        <w:bidi w:val="0"/>
        <w:spacing w:before="0" w:after="0"/>
        <w:jc w:val="center"/>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25145"/>
                <wp:effectExtent l="0" t="0" r="0" b="0"/>
                <wp:wrapNone/>
                <wp:docPr id="60" name="Frame5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withholding taxes, unemployment and supplemental unemployment taxes, disability taxes, workman’s or workers’ compensation charges and related charges and fees, (c) state and local taxes imposed on overall gross receipts, sales and use taxes, fuel excise taxes and hotel occupancy taxes, (d) passenger facility fees and charges collected on behalf of and owed to various administrators, institutions, authorities, agencies and entities, (e) other similar federal, state or local taxes, charges and fees (including without limitation any amount required to be withheld or collected under applicable law) and (f) other funds held in trust for, or otherwise pledged to or segregated for the benefit of, an identified beneficiary; or (2) accounts, capitalized interest accounts, debt service reserve accounts, escrow accounts and other similar accounts or funds established in connection with the ARB Indebtedness.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EU Bail-In Legislation Schedule</w:t>
      </w:r>
      <w:r>
        <w:rPr>
          <w:color w:val="000000"/>
        </w:rPr>
        <w:t xml:space="preserve">” </w:t>
      </w:r>
      <w:r>
        <w:rPr>
          <w:rFonts w:ascii="Times New Roman;serif" w:hAnsi="Times New Roman;serif"/>
          <w:b w:val="false"/>
          <w:color w:val="000000"/>
          <w:sz w:val="24"/>
        </w:rPr>
        <w:t xml:space="preserve">means the EU Bail-In Legislation Schedule published by the Loan Market Association (or any successor person), as in effect from time to time.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7.01</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Excess Proceeds</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2.12(b)</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Excess Proceeds Offer</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2.12(b)</w:t>
      </w:r>
      <w:r>
        <w:rPr>
          <w:rFonts w:ascii="Times New Roman;serif" w:hAnsi="Times New Roman;serif"/>
          <w:b w:val="false"/>
          <w:color w:val="000000"/>
          <w:sz w:val="24"/>
        </w:rPr>
        <w:t xml:space="preserve">.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shall mean the Securities Exchange Act of 1934, as amended.</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Excluded Swap Obligation</w:t>
      </w:r>
      <w:r>
        <w:rPr>
          <w:color w:val="000000"/>
        </w:rPr>
        <w:t xml:space="preserve">” </w:t>
      </w:r>
      <w:r>
        <w:rPr>
          <w:rFonts w:ascii="Times New Roman;serif" w:hAnsi="Times New Roman;serif"/>
          <w:b w:val="false"/>
          <w:color w:val="000000"/>
          <w:sz w:val="24"/>
        </w:rPr>
        <w:t>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Excluded Taxes</w:t>
      </w:r>
      <w:r>
        <w:rPr>
          <w:color w:val="000000"/>
        </w:rPr>
        <w:t xml:space="preserve">” </w:t>
      </w:r>
      <w:r>
        <w:rPr>
          <w:rFonts w:ascii="Times New Roman;serif" w:hAnsi="Times New Roman;serif"/>
          <w:b w:val="false"/>
          <w:color w:val="000000"/>
          <w:sz w:val="24"/>
        </w:rPr>
        <w:t xml:space="preserve">shall mean, with respect to the Administrative Agent, any Lender, any Issuing Lender or any other recipient of any payment to be made by or on account of any Obligation of either the Borrower or any Guarantor hereunder or under any Loan Document, (a) any Taxes based on (or measured by) its net income, profits or capital, or any franchise taxes, imposed (i) by the United States of America or any political subdivision thereof or by the jurisdiction under the laws of which such recipient is organized or in which its principal office is located or, in the case of any Lender, in which its applicable lending office is located or (ii) as a result of a present or former connection between such recipient and the jurisdiction imposing such Taxes (other than a connection arising from such recipient’s having executed, delivered, </w:t>
      </w:r>
    </w:p>
    <w:p>
      <w:pPr>
        <w:pStyle w:val="TextBody"/>
        <w:bidi w:val="0"/>
        <w:spacing w:before="0" w:after="0"/>
        <w:jc w:val="center"/>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25145"/>
                <wp:effectExtent l="0" t="0" r="0" b="0"/>
                <wp:wrapNone/>
                <wp:docPr id="61" name="Frame6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enforced, become a party to, performed its obligations under, received payments under, received or perfected a security interest under, or engaged in any other transaction pursuant to, or enforced, this Agreement or any Loan Document, or sold or assigned an interest in this Agreement or any Loan Document), (b) any branch profits Taxes imposed by the United States of America or any similar Tax imposed by any other jurisdiction in which such recipient is located, (c) in the case of a Foreign Lender, any withholding Tax or gross income Tax that is imposed on amounts payable to such Foreign Lender at the time such Foreign Lender becomes a party to this Agreement (or designates a new lending office), except, and then only to the extent that, such Foreign Lender (or its assignor, if any) was entitled, at the time of designation of a new lending office (or assignment), to receive additional amounts from the Borrower with respect to such withholding Tax pursuant to </w:t>
      </w:r>
      <w:r>
        <w:rPr>
          <w:rFonts w:ascii="Times New Roman;serif" w:hAnsi="Times New Roman;serif"/>
          <w:b w:val="false"/>
          <w:color w:val="000000"/>
          <w:sz w:val="24"/>
          <w:u w:val="single"/>
        </w:rPr>
        <w:t>Section 2.16(a)</w:t>
      </w:r>
      <w:r>
        <w:rPr>
          <w:rFonts w:ascii="Times New Roman;serif" w:hAnsi="Times New Roman;serif"/>
          <w:b w:val="false"/>
          <w:color w:val="000000"/>
          <w:sz w:val="24"/>
        </w:rPr>
        <w:t xml:space="preserve">, (d) in the case of a Lender, any withholding Tax that is attributable to such Lender’s failure to deliver the documentation described in </w:t>
      </w:r>
      <w:r>
        <w:rPr>
          <w:rFonts w:ascii="Times New Roman;serif" w:hAnsi="Times New Roman;serif"/>
          <w:b w:val="false"/>
          <w:color w:val="000000"/>
          <w:sz w:val="24"/>
          <w:u w:val="single"/>
        </w:rPr>
        <w:t>Section 2.16(f)</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2.16(g)</w:t>
      </w:r>
      <w:r>
        <w:rPr>
          <w:color w:val="000000"/>
        </w:rPr>
        <w:t xml:space="preserve"> </w:t>
      </w:r>
      <w:r>
        <w:rPr>
          <w:rFonts w:ascii="Times New Roman;serif" w:hAnsi="Times New Roman;serif"/>
          <w:b w:val="false"/>
          <w:color w:val="000000"/>
          <w:sz w:val="24"/>
        </w:rPr>
        <w:t>and (e) any U.S. withholding Tax that is imposed by reason of FATCA.</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Extended Revolving Commitment</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2.28(b)(ii)</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Extending Lender</w:t>
      </w:r>
      <w:r>
        <w:rPr>
          <w:color w:val="000000"/>
        </w:rPr>
        <w:t xml:space="preserve">” </w:t>
      </w:r>
      <w:r>
        <w:rPr>
          <w:rFonts w:ascii="Times New Roman;serif" w:hAnsi="Times New Roman;serif"/>
          <w:b w:val="false"/>
          <w:color w:val="000000"/>
          <w:sz w:val="24"/>
        </w:rPr>
        <w:t xml:space="preserve">means (a) each Lender that has agreed to extend its Commitment as set forth on </w:t>
      </w:r>
      <w:r>
        <w:rPr>
          <w:rFonts w:ascii="Times New Roman;serif" w:hAnsi="Times New Roman;serif"/>
          <w:b w:val="false"/>
          <w:color w:val="000000"/>
          <w:sz w:val="24"/>
          <w:u w:val="single"/>
        </w:rPr>
        <w:t>Schedule I</w:t>
      </w:r>
      <w:r>
        <w:rPr>
          <w:rFonts w:ascii="Times New Roman;serif" w:hAnsi="Times New Roman;serif"/>
          <w:b w:val="false"/>
          <w:color w:val="000000"/>
          <w:sz w:val="24"/>
        </w:rPr>
        <w:t>, (b) each Non-Extending Lender that has agreed after the Closing Date to become an “Extending Lender” (which agreement shall be in form and substance reasonably satisfactory to the Borrower and the Administrative Agent and, in the case of any assignee of a Non-Extending Lender, may be included in the Assignment and Assumption Agreement pursuant to which such assignee assumed the Commitment or Aggregate Exposure of a Non-Extending Lender), (c) any New Lender and (d) any other Person that shall have become a party hereto pursuant to an Assignment and Assumption that provides for it to assume any Commitment or to acquire the Aggregate Exposure from any such Existing Lender, as applicable, or other than any such Person that ceases to be a party hereto pursuant to an Assignment and Assumption or otherwise in accordance with the terms hereof.</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Extension Amendment</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2.28(d)</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FAA</w:t>
      </w:r>
      <w:r>
        <w:rPr>
          <w:color w:val="000000"/>
        </w:rPr>
        <w:t xml:space="preserve">” </w:t>
      </w:r>
      <w:r>
        <w:rPr>
          <w:rFonts w:ascii="Times New Roman;serif" w:hAnsi="Times New Roman;serif"/>
          <w:b w:val="false"/>
          <w:color w:val="000000"/>
          <w:sz w:val="24"/>
        </w:rPr>
        <w:t>shall mean the Federal Aviation Administration of the United States of America and any successor thereto.</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FAA Slots</w:t>
      </w:r>
      <w:r>
        <w:rPr>
          <w:color w:val="000000"/>
        </w:rPr>
        <w:t xml:space="preserve">” </w:t>
      </w:r>
      <w:r>
        <w:rPr>
          <w:rFonts w:ascii="Times New Roman;serif" w:hAnsi="Times New Roman;serif"/>
          <w:b w:val="false"/>
          <w:color w:val="000000"/>
          <w:sz w:val="24"/>
        </w:rPr>
        <w:t>shall have the meaning given to such term in the Collateral Trust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shall mean Sections 1471 through 1474 of the Code, as of the date of this Agreement, any amended or successor provisions that are similar thereto and not materially more onerous to comply with, any regulations or official interpretations thereof and any agreements entered into pursuant to Section 1471(b)(1) of the Code and any intergovernmental agreements implementing any of the foregoing (together with any Law implementing such agreement involving any U.S. or non-U.S. regulations or official guidance).</w:t>
      </w:r>
    </w:p>
    <w:p>
      <w:pPr>
        <w:pStyle w:val="TextBody"/>
        <w:bidi w:val="0"/>
        <w:spacing w:before="0" w:after="0"/>
        <w:jc w:val="center"/>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25145"/>
                <wp:effectExtent l="0" t="0" r="0" b="0"/>
                <wp:wrapNone/>
                <wp:docPr id="62" name="Frame6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Federal Funds Effective Rate</w:t>
      </w:r>
      <w:r>
        <w:rPr>
          <w:color w:val="000000"/>
        </w:rPr>
        <w:t xml:space="preserve">” </w:t>
      </w:r>
      <w:r>
        <w:rPr>
          <w:rFonts w:ascii="Times New Roman;serif" w:hAnsi="Times New Roman;serif"/>
          <w:b w:val="false"/>
          <w:color w:val="000000"/>
          <w:sz w:val="24"/>
        </w:rPr>
        <w:t xml:space="preserve">shall mean,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the Federal Funds Effective Rate shall be less than zero, such rate shall be deemed to be zero for purposes of this Agreement.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Fees</w:t>
      </w:r>
      <w:r>
        <w:rPr>
          <w:color w:val="000000"/>
        </w:rPr>
        <w:t xml:space="preserve">” </w:t>
      </w:r>
      <w:r>
        <w:rPr>
          <w:rFonts w:ascii="Times New Roman;serif" w:hAnsi="Times New Roman;serif"/>
          <w:b w:val="false"/>
          <w:color w:val="000000"/>
          <w:sz w:val="24"/>
        </w:rPr>
        <w:t xml:space="preserve">shall collectively mean the Commitment Fees, the Letter of Credit Fees and other fees referred to in </w:t>
      </w:r>
      <w:r>
        <w:rPr>
          <w:rFonts w:ascii="Times New Roman;serif" w:hAnsi="Times New Roman;serif"/>
          <w:b w:val="false"/>
          <w:color w:val="000000"/>
          <w:sz w:val="24"/>
          <w:u w:val="single"/>
        </w:rPr>
        <w:t>Sections 2.19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2.20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2.21</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Fitch</w:t>
      </w:r>
      <w:r>
        <w:rPr>
          <w:color w:val="000000"/>
        </w:rPr>
        <w:t xml:space="preserve">” </w:t>
      </w:r>
      <w:r>
        <w:rPr>
          <w:rFonts w:ascii="Times New Roman;serif" w:hAnsi="Times New Roman;serif"/>
          <w:b w:val="false"/>
          <w:color w:val="000000"/>
          <w:sz w:val="24"/>
        </w:rPr>
        <w:t>means Fitch, Inc., also known as Fitch Ratings, and its successors.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Floor</w:t>
      </w:r>
      <w:r>
        <w:rPr>
          <w:color w:val="000000"/>
        </w:rPr>
        <w:t xml:space="preserve">” </w:t>
      </w:r>
      <w:r>
        <w:rPr>
          <w:rFonts w:ascii="Times New Roman;serif" w:hAnsi="Times New Roman;serif"/>
          <w:b w:val="false"/>
          <w:color w:val="000000"/>
          <w:sz w:val="24"/>
        </w:rPr>
        <w:t>means the benchmark rate floor, if any, provided in this Agreement initially (as of the execution of this Agreement, the modification, amendment or renewal of this Agreement or otherwise) with respect to Term SOFR Rate.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Foreign Aviation Authority</w:t>
      </w:r>
      <w:r>
        <w:rPr>
          <w:color w:val="000000"/>
        </w:rPr>
        <w:t xml:space="preserve">” </w:t>
      </w:r>
      <w:r>
        <w:rPr>
          <w:rFonts w:ascii="Times New Roman;serif" w:hAnsi="Times New Roman;serif"/>
          <w:b w:val="false"/>
          <w:color w:val="000000"/>
          <w:sz w:val="24"/>
        </w:rPr>
        <w:t>shall mean any foreign governmental, quasi-governmental, regulatory or other agency, public corporation or private entity that exercises jurisdiction over the authorization (a) to serve any foreign point on the Pledged Routes that a Grantor is serving at any time and/or to conduct operations related to the Pledged Routes and related Pledged Gate Leaseholds and/or (b) to hold and operate any Pledged Foreign Slots.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Foreign Lender</w:t>
      </w:r>
      <w:r>
        <w:rPr>
          <w:color w:val="000000"/>
        </w:rPr>
        <w:t xml:space="preserve">” </w:t>
      </w:r>
      <w:r>
        <w:rPr>
          <w:rFonts w:ascii="Times New Roman;serif" w:hAnsi="Times New Roman;serif"/>
          <w:b w:val="false"/>
          <w:color w:val="000000"/>
          <w:sz w:val="24"/>
        </w:rPr>
        <w:t>shall mean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Foreign Slot</w:t>
      </w:r>
      <w:r>
        <w:rPr>
          <w:color w:val="000000"/>
        </w:rPr>
        <w:t xml:space="preserve">” </w:t>
      </w:r>
      <w:r>
        <w:rPr>
          <w:rFonts w:ascii="Times New Roman;serif" w:hAnsi="Times New Roman;serif"/>
          <w:b w:val="false"/>
          <w:color w:val="000000"/>
          <w:sz w:val="24"/>
        </w:rPr>
        <w:t>shall have the meaning given to such term in the Collateral Trust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shall mean generally accepted accounting principles in the United States of America,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Gate Leasehold</w:t>
      </w:r>
      <w:r>
        <w:rPr>
          <w:color w:val="000000"/>
        </w:rPr>
        <w:t xml:space="preserve">” </w:t>
      </w:r>
      <w:r>
        <w:rPr>
          <w:rFonts w:ascii="Times New Roman;serif" w:hAnsi="Times New Roman;serif"/>
          <w:b w:val="false"/>
          <w:color w:val="000000"/>
          <w:sz w:val="24"/>
        </w:rPr>
        <w:t>shall have the meaning given to such term in the Collateral Trust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 xml:space="preserve">shall mean the government of the United States of America, any other nation or any political subdivision thereof, whether state or local, and any </w:t>
      </w:r>
    </w:p>
    <w:p>
      <w:pPr>
        <w:pStyle w:val="TextBody"/>
        <w:bidi w:val="0"/>
        <w:spacing w:before="0" w:after="0"/>
        <w:jc w:val="center"/>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25145"/>
                <wp:effectExtent l="0" t="0" r="0" b="0"/>
                <wp:wrapNone/>
                <wp:docPr id="63" name="Frame6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agency, authority, instrumentality, regulatory body, court, central bank organization, or other entity exercising executive, legislative, judicial, taxing or regulatory powers or functions of or pertaining to government. Governmental Authority shall not include any Person in its capacity as an Airport Authority.</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Grantor</w:t>
      </w:r>
      <w:r>
        <w:rPr>
          <w:color w:val="000000"/>
        </w:rPr>
        <w:t xml:space="preserve">” </w:t>
      </w:r>
      <w:r>
        <w:rPr>
          <w:rFonts w:ascii="Times New Roman;serif" w:hAnsi="Times New Roman;serif"/>
          <w:b w:val="false"/>
          <w:color w:val="000000"/>
          <w:sz w:val="24"/>
        </w:rPr>
        <w:t>shall mean the Borrower and any Guarantor that shall at any time pledge Collateral under a Collateral Document.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Guarantee</w:t>
      </w:r>
      <w:r>
        <w:rPr>
          <w:color w:val="000000"/>
        </w:rPr>
        <w:t xml:space="preserve">” </w:t>
      </w:r>
      <w:r>
        <w:rPr>
          <w:rFonts w:ascii="Times New Roman;serif" w:hAnsi="Times New Roman;serif"/>
          <w:b w:val="false"/>
          <w:color w:val="000000"/>
          <w:sz w:val="24"/>
        </w:rPr>
        <w:t>means a guarantee (other than (a) by endorsement of negotiable instruments for collection or (b) 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Guaranteed Obligations</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9.01(a)</w:t>
      </w:r>
      <w:r>
        <w:rPr>
          <w:rFonts w:ascii="Times New Roman;serif" w:hAnsi="Times New Roman;serif"/>
          <w:b w:val="false"/>
          <w:color w:val="000000"/>
          <w:sz w:val="24"/>
        </w:rPr>
        <w:t xml:space="preserve">.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Guarantors</w:t>
      </w:r>
      <w:r>
        <w:rPr>
          <w:color w:val="000000"/>
        </w:rPr>
        <w:t xml:space="preserve">” </w:t>
      </w:r>
      <w:r>
        <w:rPr>
          <w:rFonts w:ascii="Times New Roman;serif" w:hAnsi="Times New Roman;serif"/>
          <w:b w:val="false"/>
          <w:color w:val="000000"/>
          <w:sz w:val="24"/>
        </w:rPr>
        <w:t xml:space="preserve">shall mean, collectively, the Parent and each Subsidiary of the Parent that becomes a party to the Guarantee contained in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by executing an Instrument of Assumption and Joinder. As of the Closing Date, Parent is the sole Guarantor and, for the avoidance of doubt, nothing in this Agreement shall require that any Subsidiary of Parent become a Guarantor (unless assets of such Subsidiary are pledged as Collateral).</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Guaranty Obligations</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9.01(a)</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Hazardous Materials</w:t>
      </w:r>
      <w:r>
        <w:rPr>
          <w:color w:val="000000"/>
        </w:rPr>
        <w:t xml:space="preserve">” </w:t>
      </w:r>
      <w:r>
        <w:rPr>
          <w:rFonts w:ascii="Times New Roman;serif" w:hAnsi="Times New Roman;serif"/>
          <w:b w:val="false"/>
          <w:color w:val="000000"/>
          <w:sz w:val="24"/>
        </w:rPr>
        <w:t>shall mean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that are regulated pursuant to, or could reasonably be expected to give rise to liability under any Environmental Law.</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Hedge Agreement</w:t>
      </w:r>
      <w:r>
        <w:rPr>
          <w:color w:val="000000"/>
        </w:rPr>
        <w:t xml:space="preserve">” </w:t>
      </w:r>
      <w:r>
        <w:rPr>
          <w:rFonts w:ascii="Times New Roman;serif" w:hAnsi="Times New Roman;serif"/>
          <w:b w:val="false"/>
          <w:color w:val="000000"/>
          <w:sz w:val="24"/>
        </w:rPr>
        <w:t>shall have the meaning given to such term in the Collateral Trust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Hedging Obligations</w:t>
      </w:r>
      <w:r>
        <w:rPr>
          <w:color w:val="000000"/>
        </w:rPr>
        <w:t xml:space="preserve">” </w:t>
      </w:r>
      <w:r>
        <w:rPr>
          <w:rFonts w:ascii="Times New Roman;serif" w:hAnsi="Times New Roman;serif"/>
          <w:b w:val="false"/>
          <w:color w:val="000000"/>
          <w:sz w:val="24"/>
        </w:rPr>
        <w:t>shall have the meaning given to such term in the Collateral Trust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IATA</w:t>
      </w:r>
      <w:r>
        <w:rPr>
          <w:color w:val="000000"/>
        </w:rPr>
        <w:t xml:space="preserve">” </w:t>
      </w:r>
      <w:r>
        <w:rPr>
          <w:rFonts w:ascii="Times New Roman;serif" w:hAnsi="Times New Roman;serif"/>
          <w:b w:val="false"/>
          <w:color w:val="000000"/>
          <w:sz w:val="24"/>
        </w:rPr>
        <w:t>means the International Air Transport Association and any successor thereto.</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ICF</w:t>
      </w:r>
      <w:r>
        <w:rPr>
          <w:color w:val="000000"/>
        </w:rPr>
        <w:t xml:space="preserve">” </w:t>
      </w:r>
      <w:r>
        <w:rPr>
          <w:rFonts w:ascii="Times New Roman;serif" w:hAnsi="Times New Roman;serif"/>
          <w:b w:val="false"/>
          <w:color w:val="000000"/>
          <w:sz w:val="24"/>
        </w:rPr>
        <w:t>means ICF International.</w:t>
      </w:r>
    </w:p>
    <w:p>
      <w:pPr>
        <w:pStyle w:val="TextBody"/>
        <w:bidi w:val="0"/>
        <w:spacing w:before="0" w:after="0"/>
        <w:jc w:val="center"/>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25145"/>
                <wp:effectExtent l="0" t="0" r="0" b="0"/>
                <wp:wrapNone/>
                <wp:docPr id="64" name="Frame6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Increase Effective Date</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2.27(a)</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Increase Joinder</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2.27(c)</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means, with respect to any specified Person, any indebtedness of such Person (excluding advance ticket sales, accrued expenses and trade payables), whether or not contingent: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in respect of borrowed money;</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evidenced by bonds, notes, debentures or similar instruments or letters of credit (or reimbursement agreements in respect thereof);</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in respect of banker’s acceptances;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representing Capital Lease Obligations;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    representing the balance deferred and unpaid of the purchase price of any property or services due more than six months after such property is acquired or such services are completed, but excluding in any event trade payables arising in the ordinary course of business; or</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representing any Hedging Obligations, </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Financial Accounting Standards Board Accounting Standards Codification 815 – Derivatives and Hedging (or any successor provision thereto) and related interpretations to the extent such effects would otherwise increase or decrease an amount of Indebtedness for any purpose under this Agreement as a result of accounting for any embedded derivatives created by the terms of such Indebtedness.</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For the avoidance of doubt, Banking Product Obligations do not constitute Indebtedness.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Indemnified Taxes</w:t>
      </w:r>
      <w:r>
        <w:rPr>
          <w:color w:val="000000"/>
        </w:rPr>
        <w:t xml:space="preserve">” </w:t>
      </w:r>
      <w:r>
        <w:rPr>
          <w:rFonts w:ascii="Times New Roman;serif" w:hAnsi="Times New Roman;serif"/>
          <w:b w:val="false"/>
          <w:color w:val="000000"/>
          <w:sz w:val="24"/>
        </w:rPr>
        <w:t>shall mean Taxes other than Excluded Taxes imposed on or with respect to any payments made by the Borrower or any Guarantor under this Agreement or any other Loan Document.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Indemnitee</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10.04(b)</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25145"/>
                <wp:effectExtent l="0" t="0" r="0" b="0"/>
                <wp:wrapNone/>
                <wp:docPr id="65" name="Frame6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Indenture</w:t>
      </w:r>
      <w:r>
        <w:rPr>
          <w:color w:val="000000"/>
        </w:rPr>
        <w:t xml:space="preserve">” </w:t>
      </w:r>
      <w:r>
        <w:rPr>
          <w:rFonts w:ascii="Times New Roman;serif" w:hAnsi="Times New Roman;serif"/>
          <w:b w:val="false"/>
          <w:color w:val="000000"/>
          <w:sz w:val="24"/>
        </w:rPr>
        <w:t xml:space="preserve">shall mean the Indenture dated as of the Original Closing Date, among the Borrower, each guarantor party thereto from time to time and Wilmington Trust, National Association, as trustee and as collateral trustee.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Initial Appraisals</w:t>
      </w:r>
      <w:r>
        <w:rPr>
          <w:color w:val="000000"/>
        </w:rPr>
        <w:t xml:space="preserve">” </w:t>
      </w:r>
      <w:r>
        <w:rPr>
          <w:rFonts w:ascii="Times New Roman;serif" w:hAnsi="Times New Roman;serif"/>
          <w:b w:val="false"/>
          <w:color w:val="000000"/>
          <w:sz w:val="24"/>
        </w:rPr>
        <w:t xml:space="preserve">shall mean, collectively, the report of (i) MBA setting forth the Appraised Value of the Pledged FAA Slots and related Pledged Gate Leaseholds and (ii) BK Associates, Inc. setting forth the Appraised Value of the Pledged Routes and related Pledged Foreign Slots and Pledged Gate Leaseholds, in each case, included in the Collateral on the Closing Date, each dated as of September 30, 2026 and delivered to the Administrative Agent by the Borrower pursuant to </w:t>
      </w:r>
      <w:r>
        <w:rPr>
          <w:rFonts w:ascii="Times New Roman;serif" w:hAnsi="Times New Roman;serif"/>
          <w:b w:val="false"/>
          <w:color w:val="000000"/>
          <w:sz w:val="24"/>
          <w:u w:val="single"/>
        </w:rPr>
        <w:t>Section 4.01</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Interest Election Request</w:t>
      </w:r>
      <w:r>
        <w:rPr>
          <w:color w:val="000000"/>
        </w:rPr>
        <w:t xml:space="preserve">” </w:t>
      </w:r>
      <w:r>
        <w:rPr>
          <w:rFonts w:ascii="Times New Roman;serif" w:hAnsi="Times New Roman;serif"/>
          <w:b w:val="false"/>
          <w:color w:val="000000"/>
          <w:sz w:val="24"/>
        </w:rPr>
        <w:t xml:space="preserve">shall mean a request by the Borrower to convert or continue a Borrowing in accordance with </w:t>
      </w:r>
      <w:r>
        <w:rPr>
          <w:rFonts w:ascii="Times New Roman;serif" w:hAnsi="Times New Roman;serif"/>
          <w:b w:val="false"/>
          <w:color w:val="000000"/>
          <w:sz w:val="24"/>
          <w:u w:val="single"/>
        </w:rPr>
        <w:t>Section 2.05</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Interest Payment Date</w:t>
      </w:r>
      <w:r>
        <w:rPr>
          <w:color w:val="000000"/>
        </w:rPr>
        <w:t xml:space="preserve">” </w:t>
      </w:r>
      <w:r>
        <w:rPr>
          <w:rFonts w:ascii="Times New Roman;serif" w:hAnsi="Times New Roman;serif"/>
          <w:b w:val="false"/>
          <w:color w:val="000000"/>
          <w:sz w:val="24"/>
        </w:rPr>
        <w:t>shall mean (a) as to any Term Benchmark Loan having an Interest Period of one or three months, the last day of such Interest Period, (b) as to any Term Benchmark Loan having an Interest Period of more than three months, each day that is three months, or a whole multiple thereof, after the first day of such Interest Period and the last day of such Interest Period and (c) with respect to ABR Loans, the last Business Day of each March, June, September and December.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Interest Period</w:t>
      </w:r>
      <w:r>
        <w:rPr>
          <w:color w:val="000000"/>
        </w:rPr>
        <w:t xml:space="preserve">” </w:t>
      </w:r>
      <w:r>
        <w:rPr>
          <w:rFonts w:ascii="Times New Roman;serif" w:hAnsi="Times New Roman;serif"/>
          <w:b w:val="false"/>
          <w:color w:val="000000"/>
          <w:sz w:val="24"/>
        </w:rPr>
        <w:t xml:space="preserve">shall mean, as to any Borrowing of Term Benchmark Loans, the period commencing on the date of such Borrowing (including as a result of a conversion from ABR Loans) or on the last day of the preceding Interest Period applicable to such Borrowing and ending on (but excluding) the numerically corresponding day to the date of such Borrowing (or if there is no corresponding day, the last day) in the calendar month that is (subject to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 xml:space="preserve">below) one, three or six months thereafter, as the Borrower may elect in the related notice delivered pursuant to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2.05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if any Interest Period would end on a day which shall not be a Business Day, such Interest Period shall be extended to the next succeeding Business Day unless such next succeeding Business Day would fall in the next calendar month, in which case such Interest Period shall end on the next preceding Business Day, (ii) the final Interest Period selected by the Borrower may end on, but no later than, the Revolving Facility Maturity Date and (iii) no Interest Period shall end later than the Termination Date.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Issuing Lender</w:t>
      </w:r>
      <w:r>
        <w:rPr>
          <w:color w:val="000000"/>
        </w:rPr>
        <w:t xml:space="preserve">” </w:t>
      </w:r>
      <w:r>
        <w:rPr>
          <w:rFonts w:ascii="Times New Roman;serif" w:hAnsi="Times New Roman;serif"/>
          <w:b w:val="false"/>
          <w:color w:val="000000"/>
          <w:sz w:val="24"/>
        </w:rPr>
        <w:t xml:space="preserve">shall mean (i) each Revolving Lender listed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 xml:space="preserve">hereto from time to time as an “Issuing Lender” (or any of its Affiliates reasonably acceptable to the Borrower), in its capacity as an issuer of Letters of Credit hereunder, and its successors in such capacity as provided in </w:t>
      </w:r>
      <w:r>
        <w:rPr>
          <w:rFonts w:ascii="Times New Roman;serif" w:hAnsi="Times New Roman;serif"/>
          <w:b w:val="false"/>
          <w:color w:val="000000"/>
          <w:sz w:val="24"/>
          <w:u w:val="single"/>
        </w:rPr>
        <w:t>Section 2.02(i)</w:t>
      </w:r>
      <w:r>
        <w:rPr>
          <w:rFonts w:ascii="Times New Roman;serif" w:hAnsi="Times New Roman;serif"/>
          <w:b w:val="false"/>
          <w:color w:val="000000"/>
          <w:sz w:val="24"/>
        </w:rPr>
        <w:t>, and (ii) any other Lender agreeing to act in such capacity, which other Lender shall be reasonably satisfactory to the Borrower and the Administrative Agent. Each Issuing Lender may, in its reasonable discretion, arrange for one or more Letters of Credit to be issued by Affiliates of such Issuing Lender reasonably acceptable to the Borrower, which Affiliate shall agree in writing reasonably acceptable to the Borrower to be bound by the provisions of the Loan Documents applicable to an Issuing Lender, in which case the term “Issuing Lender” shall include any such Affiliate with respect to Letters of Credit issued by such Affiliate.</w:t>
      </w:r>
    </w:p>
    <w:p>
      <w:pPr>
        <w:pStyle w:val="TextBody"/>
        <w:bidi w:val="0"/>
        <w:spacing w:before="0" w:after="0"/>
        <w:jc w:val="center"/>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25145"/>
                <wp:effectExtent l="0" t="0" r="0" b="0"/>
                <wp:wrapNone/>
                <wp:docPr id="66" name="Frame6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Issuing Lender Commitment</w:t>
      </w:r>
      <w:r>
        <w:rPr>
          <w:color w:val="000000"/>
        </w:rPr>
        <w:t xml:space="preserve">” </w:t>
      </w:r>
      <w:r>
        <w:rPr>
          <w:rFonts w:ascii="Times New Roman;serif" w:hAnsi="Times New Roman;serif"/>
          <w:b w:val="false"/>
          <w:color w:val="000000"/>
          <w:sz w:val="24"/>
        </w:rPr>
        <w:t xml:space="preserve">shall mean the commitment of each Issuing Lender to issue Letters of Credit in face amount not to exceed the amount set forth under the heading “Issuing Lender Commitment” opposite its name in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hereto as updated from time to time or in the Assignment and Acceptance pursuant to which such Issuing Lender became a party hereto or in any other agreement with the Borrower pursuant to which such Issuing Lender becomes an Issuing Lender or increases its Issuing Lender Commitment, in each case, as any of the same may be changed from time to time with the consent of the Borrower and any such Issuing Lender.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Joint Lead Arrangers</w:t>
      </w:r>
      <w:r>
        <w:rPr>
          <w:color w:val="000000"/>
        </w:rPr>
        <w:t xml:space="preserve">” </w:t>
      </w:r>
      <w:r>
        <w:rPr>
          <w:rFonts w:ascii="Times New Roman;serif" w:hAnsi="Times New Roman;serif"/>
          <w:b w:val="false"/>
          <w:color w:val="000000"/>
          <w:sz w:val="24"/>
        </w:rPr>
        <w:t>shall mean the parties listed as “Joint Lead Arrangers” on the cover of this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Joint Lead Arrangers and Bookrunners</w:t>
      </w:r>
      <w:r>
        <w:rPr>
          <w:color w:val="000000"/>
        </w:rPr>
        <w:t xml:space="preserve">” </w:t>
      </w:r>
      <w:r>
        <w:rPr>
          <w:rFonts w:ascii="Times New Roman;serif" w:hAnsi="Times New Roman;serif"/>
          <w:b w:val="false"/>
          <w:color w:val="000000"/>
          <w:sz w:val="24"/>
        </w:rPr>
        <w:t xml:space="preserve">shall mean the parties listed as “Joint Lead Arrangers and Bookrunners” on the cover of this Agreement.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JPMCB</w:t>
      </w:r>
      <w:r>
        <w:rPr>
          <w:color w:val="000000"/>
        </w:rPr>
        <w:t xml:space="preserve">” </w:t>
      </w:r>
      <w:r>
        <w:rPr>
          <w:rFonts w:ascii="Times New Roman;serif" w:hAnsi="Times New Roman;serif"/>
          <w:b w:val="false"/>
          <w:color w:val="000000"/>
          <w:sz w:val="24"/>
        </w:rPr>
        <w:t>shall have the meaning set forth in the first paragraph of this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Junior Lien Debt</w:t>
      </w:r>
      <w:r>
        <w:rPr>
          <w:color w:val="000000"/>
        </w:rPr>
        <w:t xml:space="preserve">” </w:t>
      </w:r>
      <w:r>
        <w:rPr>
          <w:rFonts w:ascii="Times New Roman;serif" w:hAnsi="Times New Roman;serif"/>
          <w:b w:val="false"/>
          <w:color w:val="000000"/>
          <w:sz w:val="24"/>
        </w:rPr>
        <w:t>shall have the meaning given to such term in the Collateral Trust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Junior Lien Obligations</w:t>
      </w:r>
      <w:r>
        <w:rPr>
          <w:color w:val="000000"/>
        </w:rPr>
        <w:t xml:space="preserve">” </w:t>
      </w:r>
      <w:r>
        <w:rPr>
          <w:rFonts w:ascii="Times New Roman;serif" w:hAnsi="Times New Roman;serif"/>
          <w:b w:val="false"/>
          <w:color w:val="000000"/>
          <w:sz w:val="24"/>
        </w:rPr>
        <w:t>shall have the meaning given to such term in the Collateral Trust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Latest Maturity Date</w:t>
      </w:r>
      <w:r>
        <w:rPr>
          <w:color w:val="000000"/>
        </w:rPr>
        <w:t xml:space="preserve">” </w:t>
      </w:r>
      <w:r>
        <w:rPr>
          <w:rFonts w:ascii="Times New Roman;serif" w:hAnsi="Times New Roman;serif"/>
          <w:b w:val="false"/>
          <w:color w:val="000000"/>
          <w:sz w:val="24"/>
        </w:rPr>
        <w:t>shall mean, at any date of determination, the latest maturity or expiration date applicable to any Loan or Commitment hereunder at such time.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LC Commitment</w:t>
      </w:r>
      <w:r>
        <w:rPr>
          <w:color w:val="000000"/>
        </w:rPr>
        <w:t xml:space="preserve">” </w:t>
      </w:r>
      <w:r>
        <w:rPr>
          <w:rFonts w:ascii="Times New Roman;serif" w:hAnsi="Times New Roman;serif"/>
          <w:b w:val="false"/>
          <w:color w:val="000000"/>
          <w:sz w:val="24"/>
        </w:rPr>
        <w:t>shall mean $500,000,000.</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LC Disbursement</w:t>
      </w:r>
      <w:r>
        <w:rPr>
          <w:color w:val="000000"/>
        </w:rPr>
        <w:t xml:space="preserve">” </w:t>
      </w:r>
      <w:r>
        <w:rPr>
          <w:rFonts w:ascii="Times New Roman;serif" w:hAnsi="Times New Roman;serif"/>
          <w:b w:val="false"/>
          <w:color w:val="000000"/>
          <w:sz w:val="24"/>
        </w:rPr>
        <w:t>shall mean a payment made by an Issuing Lender pursuant to a Letter of Credit issued by it.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LC Exposure</w:t>
      </w:r>
      <w:r>
        <w:rPr>
          <w:color w:val="000000"/>
        </w:rPr>
        <w:t xml:space="preserve">” </w:t>
      </w:r>
      <w:r>
        <w:rPr>
          <w:rFonts w:ascii="Times New Roman;serif" w:hAnsi="Times New Roman;serif"/>
          <w:b w:val="false"/>
          <w:color w:val="000000"/>
          <w:sz w:val="24"/>
        </w:rPr>
        <w:t xml:space="preserve">shall mean, at any time, the sum of (a) the aggregate maximum undrawn amount of all outstanding Letters of Credit at such time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(b) the aggregate amount of all LC Disbursements that have not yet been reimbursed by or on behalf of the Borrower at such time;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in the case of any escalating Letter of Credit where the face amount thereof is subject to escalation with no conditions, the LC Exposure with respect to such Letter of Credit shall be determined by referring to the maximum face amount to which such Letter of Credit may be so escalated. The LC Exposure of any Revolving Lender at any time shall be its Revolving Commitment Percentage of the total LC Exposure at such time.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Lender Bankruptcy Event</w:t>
      </w:r>
      <w:r>
        <w:rPr>
          <w:color w:val="000000"/>
        </w:rPr>
        <w:t xml:space="preserve">” </w:t>
      </w:r>
      <w:r>
        <w:rPr>
          <w:rFonts w:ascii="Times New Roman;serif" w:hAnsi="Times New Roman;serif"/>
          <w:b w:val="false"/>
          <w:color w:val="000000"/>
          <w:sz w:val="24"/>
        </w:rPr>
        <w:t xml:space="preserve">shall mean,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w:t>
      </w:r>
    </w:p>
    <w:p>
      <w:pPr>
        <w:pStyle w:val="TextBody"/>
        <w:bidi w:val="0"/>
        <w:spacing w:before="0" w:after="0"/>
        <w:jc w:val="center"/>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25145"/>
                <wp:effectExtent l="0" t="0" r="0" b="0"/>
                <wp:wrapNone/>
                <wp:docPr id="67" name="Frame6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indicating its consent to, approval of, or acquiescence in, any such proceeding or appointment, provided that a Lender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Lender Party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10.03</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Lenders</w:t>
      </w:r>
      <w:r>
        <w:rPr>
          <w:color w:val="000000"/>
        </w:rPr>
        <w:t xml:space="preserve">” </w:t>
      </w:r>
      <w:r>
        <w:rPr>
          <w:rFonts w:ascii="Times New Roman;serif" w:hAnsi="Times New Roman;serif"/>
          <w:b w:val="false"/>
          <w:color w:val="000000"/>
          <w:sz w:val="24"/>
        </w:rPr>
        <w:t>shall have the meaning set forth in the first paragraph of this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Letter of Credit</w:t>
      </w:r>
      <w:r>
        <w:rPr>
          <w:color w:val="000000"/>
        </w:rPr>
        <w:t xml:space="preserve">” </w:t>
      </w:r>
      <w:r>
        <w:rPr>
          <w:rFonts w:ascii="Times New Roman;serif" w:hAnsi="Times New Roman;serif"/>
          <w:b w:val="false"/>
          <w:color w:val="000000"/>
          <w:sz w:val="24"/>
        </w:rPr>
        <w:t xml:space="preserve">shall mean any irrevocable letter of credit issued pursuant to </w:t>
      </w:r>
      <w:r>
        <w:rPr>
          <w:rFonts w:ascii="Times New Roman;serif" w:hAnsi="Times New Roman;serif"/>
          <w:b w:val="false"/>
          <w:color w:val="000000"/>
          <w:sz w:val="24"/>
          <w:u w:val="single"/>
        </w:rPr>
        <w:t>Section 2.02</w:t>
      </w:r>
      <w:r>
        <w:rPr>
          <w:rFonts w:ascii="Times New Roman;serif" w:hAnsi="Times New Roman;serif"/>
          <w:b w:val="false"/>
          <w:color w:val="000000"/>
          <w:sz w:val="24"/>
        </w:rPr>
        <w:t xml:space="preserve">, which letter of credit shall be (i) a standby letter of credit, (ii) issued for general corporate purposes of Parent or any Subsidiary of Parent;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any case the account party of a Letter of Credit must be the Borrower, (iii) denominated in Dollars and (iv) otherwise in such form as may be reasonably approved from time to time by the Administrative Agent and the applicable Issuing Lender.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Letter of Credit Account</w:t>
      </w:r>
      <w:r>
        <w:rPr>
          <w:color w:val="000000"/>
        </w:rPr>
        <w:t xml:space="preserve">” </w:t>
      </w:r>
      <w:r>
        <w:rPr>
          <w:rFonts w:ascii="Times New Roman;serif" w:hAnsi="Times New Roman;serif"/>
          <w:b w:val="false"/>
          <w:color w:val="000000"/>
          <w:sz w:val="24"/>
        </w:rPr>
        <w:t>shall mean the account established by the Borrower under the sole and exclusive control of the Administrative Agent maintained at the office of the Administrative Agent at 500 Stanton Christiana Road, Floor 01, Newark, DE 19713-2105, designated as the “United Airlines L/C Account” that shall be used solely for the purposes set forth herein.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Letter of Credit Fees</w:t>
      </w:r>
      <w:r>
        <w:rPr>
          <w:color w:val="000000"/>
        </w:rPr>
        <w:t xml:space="preserve">” </w:t>
      </w:r>
      <w:r>
        <w:rPr>
          <w:rFonts w:ascii="Times New Roman;serif" w:hAnsi="Times New Roman;serif"/>
          <w:b w:val="false"/>
          <w:color w:val="000000"/>
          <w:sz w:val="24"/>
        </w:rPr>
        <w:t xml:space="preserve">shall mean the fees payable in respect of Letters of Credit pursuant to </w:t>
      </w:r>
      <w:r>
        <w:rPr>
          <w:rFonts w:ascii="Times New Roman;serif" w:hAnsi="Times New Roman;serif"/>
          <w:b w:val="false"/>
          <w:color w:val="000000"/>
          <w:sz w:val="24"/>
          <w:u w:val="single"/>
        </w:rPr>
        <w:t>Section 2.21</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 xml:space="preserve">means, with respect to any asset, any mortgage, lien, pledge, charge, security interest or similar encumbrance of any kind in respect of such asset, whether or not filed, recorded or otherwise perfected under applicable law (but excluding any lease, sublease, use or license agreement or swap agreement or similar arrangement by any Grantor described in </w:t>
      </w:r>
      <w:r>
        <w:rPr>
          <w:rFonts w:ascii="Times New Roman;serif" w:hAnsi="Times New Roman;serif"/>
          <w:b w:val="false"/>
          <w:color w:val="000000"/>
          <w:sz w:val="24"/>
          <w:u w:val="single"/>
        </w:rPr>
        <w:t>clause (e)(iv)</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(f)</w:t>
      </w:r>
      <w:r>
        <w:rPr>
          <w:color w:val="000000"/>
        </w:rPr>
        <w:t xml:space="preserve"> </w:t>
      </w:r>
      <w:r>
        <w:rPr>
          <w:rFonts w:ascii="Times New Roman;serif" w:hAnsi="Times New Roman;serif"/>
          <w:b w:val="false"/>
          <w:color w:val="000000"/>
          <w:sz w:val="24"/>
        </w:rPr>
        <w:t>of the definition of “Permitted Disposition”), including any conditional sale or other title retention agreement, any option or other agreement to sell or give a security interest in and, except in connection with any Qualified Receivables Transaction, any agreement to give any financing statement under the UCC (or equivalent statutes) of any jurisdiction.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Liquidity</w:t>
      </w:r>
      <w:r>
        <w:rPr>
          <w:color w:val="000000"/>
        </w:rPr>
        <w:t xml:space="preserve">” </w:t>
      </w:r>
      <w:r>
        <w:rPr>
          <w:rFonts w:ascii="Times New Roman;serif" w:hAnsi="Times New Roman;serif"/>
          <w:b w:val="false"/>
          <w:color w:val="000000"/>
          <w:sz w:val="24"/>
        </w:rPr>
        <w:t xml:space="preserve">shall mean the sum of (i) all unrestricted cash and Cash Equivalents of the Parent and the Borrower (excluding, for the avoidance of doubt, any cash or Cash Equivalents held in accounts subject to Account Control Agreements), (ii) the aggregate principal amount committed and available to be drawn by the Parent and the Borrower (taking into account all borrowing base limitations or other restrictions) under all revolving credit facilities (including the Revolving Facility) of the Parent and the Borrower and (iii) the scheduled net proceeds (after giving effect to any expected repayment of existing Indebtedness </w:t>
      </w:r>
    </w:p>
    <w:p>
      <w:pPr>
        <w:pStyle w:val="TextBody"/>
        <w:bidi w:val="0"/>
        <w:spacing w:before="0" w:after="0"/>
        <w:jc w:val="center"/>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25145"/>
                <wp:effectExtent l="0" t="0" r="0" b="0"/>
                <wp:wrapNone/>
                <wp:docPr id="68" name="Frame6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using such proceeds) of any Capital Markets Offering of the Parent or the Borrower that has priced but has not yet closed (until the earliest of the closing thereof, the termination thereof without closing or the date that falls five (5) Business Days after the initial scheduled closing date thereof).</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Loan Documents</w:t>
      </w:r>
      <w:r>
        <w:rPr>
          <w:color w:val="000000"/>
        </w:rPr>
        <w:t xml:space="preserve">” </w:t>
      </w:r>
      <w:r>
        <w:rPr>
          <w:rFonts w:ascii="Times New Roman;serif" w:hAnsi="Times New Roman;serif"/>
          <w:b w:val="false"/>
          <w:color w:val="000000"/>
          <w:sz w:val="24"/>
        </w:rPr>
        <w:t>shall mean this Agreement, the Collateral Documents, the Administrative Agent Fee Letter, the Arranger Fee Letter and any other instrument or agreement (which is designated as a Loan Document therein) executed and delivered by the Borrower or a Guarantor to the Administrative Agent, the Collateral Trustee, any Issuing Lender or any Lender, in each case, as the same may be amended, restated, modified, supplemented, extended or amended and restated from time to time in accordance with the terms hereof.</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Loan Request</w:t>
      </w:r>
      <w:r>
        <w:rPr>
          <w:color w:val="000000"/>
        </w:rPr>
        <w:t xml:space="preserve">” </w:t>
      </w:r>
      <w:r>
        <w:rPr>
          <w:rFonts w:ascii="Times New Roman;serif" w:hAnsi="Times New Roman;serif"/>
          <w:b w:val="false"/>
          <w:color w:val="000000"/>
          <w:sz w:val="24"/>
        </w:rPr>
        <w:t xml:space="preserve">shall mean a request by the Borrower, executed by a Responsible Officer of the Borrower, for a Loan in accordance with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 xml:space="preserve">in substantially the form of </w:t>
      </w:r>
      <w:r>
        <w:rPr>
          <w:rFonts w:ascii="Times New Roman;serif" w:hAnsi="Times New Roman;serif"/>
          <w:b w:val="false"/>
          <w:color w:val="000000"/>
          <w:sz w:val="24"/>
          <w:u w:val="single"/>
        </w:rPr>
        <w:t>Exhibit F</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Loans</w:t>
      </w:r>
      <w:r>
        <w:rPr>
          <w:color w:val="000000"/>
        </w:rPr>
        <w:t xml:space="preserve">” </w:t>
      </w:r>
      <w:r>
        <w:rPr>
          <w:rFonts w:ascii="Times New Roman;serif" w:hAnsi="Times New Roman;serif"/>
          <w:b w:val="false"/>
          <w:color w:val="000000"/>
          <w:sz w:val="24"/>
        </w:rPr>
        <w:t>shall mean the Revolving Loans.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Margin Stock</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3.13(a)</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Material Adverse Change</w:t>
      </w:r>
      <w:r>
        <w:rPr>
          <w:color w:val="000000"/>
        </w:rPr>
        <w:t xml:space="preserve">” </w:t>
      </w:r>
      <w:r>
        <w:rPr>
          <w:rFonts w:ascii="Times New Roman;serif" w:hAnsi="Times New Roman;serif"/>
          <w:b w:val="false"/>
          <w:color w:val="000000"/>
          <w:sz w:val="24"/>
        </w:rPr>
        <w:t>shall mean any event, development or circumstance that has had or could reasonably be expected to have a Material Adverse Effect.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shall mean a material adverse effect on (a) the consolidated business, operations or financial condition of the Parent and its Restricted Subsidiaries, taken as a whole, (b) the validity or enforceability of any of the Loan Documents or the rights or remedies of the Administrative Agent, the Collateral Trustee and the Lenders thereunder or (c) the ability of the Borrower and the Guarantors, collectively, to pay the Obligations.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Material Indebtedness</w:t>
      </w:r>
      <w:r>
        <w:rPr>
          <w:color w:val="000000"/>
        </w:rPr>
        <w:t xml:space="preserve">” </w:t>
      </w:r>
      <w:r>
        <w:rPr>
          <w:rFonts w:ascii="Times New Roman;serif" w:hAnsi="Times New Roman;serif"/>
          <w:b w:val="false"/>
          <w:color w:val="000000"/>
          <w:sz w:val="24"/>
        </w:rPr>
        <w:t>shall mean Indebtedness of the Borrower and/or Guarantors (other than the Loans and obligations relating to Letters of Credit) outstanding under the same agreement in a principal amount exceeding $250,000,000.</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MBA</w:t>
      </w:r>
      <w:r>
        <w:rPr>
          <w:color w:val="000000"/>
        </w:rPr>
        <w:t xml:space="preserve">” </w:t>
      </w:r>
      <w:r>
        <w:rPr>
          <w:rFonts w:ascii="Times New Roman;serif" w:hAnsi="Times New Roman;serif"/>
          <w:b w:val="false"/>
          <w:color w:val="000000"/>
          <w:sz w:val="24"/>
        </w:rPr>
        <w:t>means mba Aviation.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Minimum Extension Condition</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2.28(c)</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Moody’s</w:t>
      </w:r>
      <w:r>
        <w:rPr>
          <w:color w:val="000000"/>
        </w:rPr>
        <w:t xml:space="preserve">” </w:t>
      </w:r>
      <w:r>
        <w:rPr>
          <w:rFonts w:ascii="Times New Roman;serif" w:hAnsi="Times New Roman;serif"/>
          <w:b w:val="false"/>
          <w:color w:val="000000"/>
          <w:sz w:val="24"/>
        </w:rPr>
        <w:t>shall mean Moody’s Investors Service, Inc.</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Net Proceeds</w:t>
      </w:r>
      <w:r>
        <w:rPr>
          <w:color w:val="000000"/>
        </w:rPr>
        <w:t xml:space="preserve">” </w:t>
      </w:r>
      <w:r>
        <w:rPr>
          <w:rFonts w:ascii="Times New Roman;serif" w:hAnsi="Times New Roman;serif"/>
          <w:b w:val="false"/>
          <w:color w:val="000000"/>
          <w:sz w:val="24"/>
        </w:rPr>
        <w:t xml:space="preserve">means the aggregate cash and Cash Equivalents received by Parent or any of its Restricted Subsidiaries in respect of any Disposition (including, without limitation, any cash or Cash Equivalents received in respect of or upon the sale or other disposition of any non-cash consideration received in any Disposition) or Recovery Event, net of: (a) the direct costs and expenses relating to such Disposition and incurred by Parent or a Restricted Subsidiary (including the sale or disposition of such non-cash consideration) or any </w:t>
      </w:r>
    </w:p>
    <w:p>
      <w:pPr>
        <w:pStyle w:val="TextBody"/>
        <w:bidi w:val="0"/>
        <w:spacing w:before="0" w:after="0"/>
        <w:jc w:val="center"/>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25145"/>
                <wp:effectExtent l="0" t="0" r="0" b="0"/>
                <wp:wrapNone/>
                <wp:docPr id="69" name="Frame6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such Recovery Event, including, without limitation, legal, accounting and investment banking fees, and sales commissions, and any relocation expenses incurred as a result of the Disposition or Recovery Event, taxes paid or payable as a result of the Disposition or Recovery Event, in each case, after taking into account any available tax credits or deductions and any tax sharing arrangements; (b) any reserve for adjustment or indemnification obligations in respect of the sale price of such asset or assets established in accordance with GAAP; and (c) any portion of the purchase price from a Disposition placed in escrow pursuant to the terms of such Disposition (either as a reserve for adjustment of the purchase price, or for satisfaction of indemnities in respect of such Disposition) until the termination of such escrow.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New Lender</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2.27(a)</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Non-Defaulting Lender</w:t>
      </w:r>
      <w:r>
        <w:rPr>
          <w:color w:val="000000"/>
        </w:rPr>
        <w:t xml:space="preserve">” </w:t>
      </w:r>
      <w:r>
        <w:rPr>
          <w:rFonts w:ascii="Times New Roman;serif" w:hAnsi="Times New Roman;serif"/>
          <w:b w:val="false"/>
          <w:color w:val="000000"/>
          <w:sz w:val="24"/>
        </w:rPr>
        <w:t xml:space="preserve">shall mean, at any time, a Lender that is not a Defaulting Lender.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Non-Extending Lender</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10.08(g)</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Non-Recourse Debt</w:t>
      </w:r>
      <w:r>
        <w:rPr>
          <w:color w:val="000000"/>
        </w:rPr>
        <w:t xml:space="preserve">” </w:t>
      </w:r>
      <w:r>
        <w:rPr>
          <w:rFonts w:ascii="Times New Roman;serif" w:hAnsi="Times New Roman;serif"/>
          <w:b w:val="false"/>
          <w:color w:val="000000"/>
          <w:sz w:val="24"/>
        </w:rPr>
        <w:t>shall mean Indebtedness: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as to which neither Parent nor any of its Restricted Subsidiaries (A) provides credit support of any kind (including any undertaking, agreement or instrument that would constitute Indebtedness) or (B) is directly or indirectly liable as a guarantor or otherwise; and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as to which the holders of such Indebtedness do not otherwise have recourse to the stock or assets of Parent or any of its Restricted Subsidiaries (other than the Equity Interests of an Unrestricted Subsidiary).</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Notes</w:t>
      </w:r>
      <w:r>
        <w:rPr>
          <w:color w:val="000000"/>
        </w:rPr>
        <w:t xml:space="preserve">” </w:t>
      </w:r>
      <w:r>
        <w:rPr>
          <w:rFonts w:ascii="Times New Roman;serif" w:hAnsi="Times New Roman;serif"/>
          <w:b w:val="false"/>
          <w:color w:val="000000"/>
          <w:sz w:val="24"/>
        </w:rPr>
        <w:t>shall have the meaning given to such term in the Collateral Trust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NYFRB</w:t>
      </w:r>
      <w:r>
        <w:rPr>
          <w:color w:val="000000"/>
        </w:rPr>
        <w:t xml:space="preserve">” </w:t>
      </w:r>
      <w:r>
        <w:rPr>
          <w:rFonts w:ascii="Times New Roman;serif" w:hAnsi="Times New Roman;serif"/>
          <w:b w:val="false"/>
          <w:color w:val="000000"/>
          <w:sz w:val="24"/>
        </w:rPr>
        <w:t>means the Federal Reserve Bank of New York.</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Obligations</w:t>
      </w:r>
      <w:r>
        <w:rPr>
          <w:color w:val="000000"/>
        </w:rPr>
        <w:t xml:space="preserve">” </w:t>
      </w:r>
      <w:r>
        <w:rPr>
          <w:rFonts w:ascii="Times New Roman;serif" w:hAnsi="Times New Roman;serif"/>
          <w:b w:val="false"/>
          <w:color w:val="000000"/>
          <w:sz w:val="24"/>
        </w:rPr>
        <w:t xml:space="preserve">shall mean the unpaid principal of and interest on (including interest accruing after the maturity of the Loans and interest accruing after the filing of any petition of bankruptcy, or the commencement of any insolvency, reorganization or like proceeding, relating to the Borrower, whether or not a claim for post-filing or post-petition interest is allowed in such proceeding), the Loans, the Designated Hedging Obligations, the Designated Banking Product Obligations, and all other obligations and liabilities of the Borrower to the Administrative Agent, any Issuing Lender or any Lender (or (i) in the case of Designated Hedging Obligations, any obligee with respect to such designated Hedging Obligations who was a Lender or an Affiliate of a Lender when the related Designated Hedge Agreement was entered into, or (ii) in the case of Designated Banking Product Obligations, any obligee with respect to such Designated Banking Product Obligations who was a Lender or a banking Affiliate of any Lender at the time the related Designated Banking Product Agreement was entered into), </w:t>
      </w:r>
    </w:p>
    <w:p>
      <w:pPr>
        <w:pStyle w:val="TextBody"/>
        <w:bidi w:val="0"/>
        <w:spacing w:before="0" w:after="0"/>
        <w:jc w:val="center"/>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25145"/>
                <wp:effectExtent l="0" t="0" r="0" b="0"/>
                <wp:wrapNone/>
                <wp:docPr id="70" name="Frame6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whether direct or indirect, absolute or contingent, due or to become due, or now existing or hereafter incurred, which arise under this Agreement or any other Loan Document, whether on account of principal, interest, reimbursement obligations, fees, indemnities, out-of-pocket costs, and expenses (including all fees, charges and disbursements of counsel to the Administrative Agent, any Issuing Lender or any Lender that are required to be paid by the Borrower pursuant hereto) or otherwise;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aggregate amount of all Designated Hedging Obligations and Designated Banking Product Obligations (in each case valued in accordance with the definitions thereof) at any time outstanding that shall be included as “Obligations” shall not exceed $250,000,000;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in no event shall the Obligations include Excluded Swap Obligations.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Officer</w:t>
      </w:r>
      <w:r>
        <w:rPr>
          <w:color w:val="000000"/>
        </w:rPr>
        <w:t xml:space="preserve">” </w:t>
      </w:r>
      <w:r>
        <w:rPr>
          <w:rFonts w:ascii="Times New Roman;serif" w:hAnsi="Times New Roman;serif"/>
          <w:b w:val="false"/>
          <w:color w:val="000000"/>
          <w:sz w:val="24"/>
        </w:rPr>
        <w:t>means, with respect to any Person, the Chairman of the Board, the Chief Executive Officer, the President, the Chief Operating Officer, the Chief Financial Officer, the Treasurer, any Assistant Treasurer, the Controller, the Secretary or any Vice-President of such Person.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Officer’s Certificate</w:t>
      </w:r>
      <w:r>
        <w:rPr>
          <w:color w:val="000000"/>
        </w:rPr>
        <w:t xml:space="preserve">” </w:t>
      </w:r>
      <w:r>
        <w:rPr>
          <w:rFonts w:ascii="Times New Roman;serif" w:hAnsi="Times New Roman;serif"/>
          <w:b w:val="false"/>
          <w:color w:val="000000"/>
          <w:sz w:val="24"/>
        </w:rPr>
        <w:t>shall mean a certificate signed on behalf of the Borrower or Parent by an Officer of the Borrower or Parent, respectively.</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Original Closing Date</w:t>
      </w:r>
      <w:r>
        <w:rPr>
          <w:color w:val="000000"/>
        </w:rPr>
        <w:t xml:space="preserve">” </w:t>
      </w:r>
      <w:r>
        <w:rPr>
          <w:rFonts w:ascii="Times New Roman;serif" w:hAnsi="Times New Roman;serif"/>
          <w:b w:val="false"/>
          <w:color w:val="000000"/>
          <w:sz w:val="24"/>
        </w:rPr>
        <w:t>means April 21, 2021.</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Other Taxes</w:t>
      </w:r>
      <w:r>
        <w:rPr>
          <w:color w:val="000000"/>
        </w:rPr>
        <w:t xml:space="preserve">” </w:t>
      </w:r>
      <w:r>
        <w:rPr>
          <w:rFonts w:ascii="Times New Roman;serif" w:hAnsi="Times New Roman;serif"/>
          <w:b w:val="false"/>
          <w:color w:val="000000"/>
          <w:sz w:val="24"/>
        </w:rPr>
        <w:t>shall mean any and all present or future court stamp, mortgage, intangible, recording, filing or documentary taxes or any other similar, charges or similar levies arising from any payment made hereunder or from the execution, performance, delivery, registration of or enforcement of this Agreement or any other Loan Document.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Outstanding Letters of Credit</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2.02(j)</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shall have the meaning set forth in the first paragraph of this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Parent Company</w:t>
      </w:r>
      <w:r>
        <w:rPr>
          <w:color w:val="000000"/>
        </w:rPr>
        <w:t xml:space="preserve">” </w:t>
      </w:r>
      <w:r>
        <w:rPr>
          <w:rFonts w:ascii="Times New Roman;serif" w:hAnsi="Times New Roman;serif"/>
          <w:b w:val="false"/>
          <w:color w:val="000000"/>
          <w:sz w:val="24"/>
        </w:rPr>
        <w:t>means, with respect to a Lender, the bank holding company (as defined in Federal Reserve Board Regulation Y), if any, of such Lender, and/or any Person owning, beneficially or of record, directly or indirectly, a majority of the shares of such Lender.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10.02(d)</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Participant Register</w:t>
      </w:r>
      <w:r>
        <w:rPr>
          <w:color w:val="000000"/>
        </w:rPr>
        <w:t xml:space="preserve">” </w:t>
      </w:r>
      <w:r>
        <w:rPr>
          <w:rFonts w:ascii="Times New Roman;serif" w:hAnsi="Times New Roman;serif"/>
          <w:b w:val="false"/>
          <w:color w:val="000000"/>
          <w:sz w:val="24"/>
        </w:rPr>
        <w:t xml:space="preserve">shall have the meaning given to such term in </w:t>
      </w:r>
      <w:r>
        <w:rPr>
          <w:rFonts w:ascii="Times New Roman;serif" w:hAnsi="Times New Roman;serif"/>
          <w:b w:val="false"/>
          <w:color w:val="000000"/>
          <w:sz w:val="24"/>
          <w:u w:val="single"/>
        </w:rPr>
        <w:t>Section 10.02(d)</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Patriot Act</w:t>
      </w:r>
      <w:r>
        <w:rPr>
          <w:color w:val="000000"/>
        </w:rPr>
        <w:t xml:space="preserve">” </w:t>
      </w:r>
      <w:r>
        <w:rPr>
          <w:rFonts w:ascii="Times New Roman;serif" w:hAnsi="Times New Roman;serif"/>
          <w:b w:val="false"/>
          <w:color w:val="000000"/>
          <w:sz w:val="24"/>
        </w:rPr>
        <w:t>shall mean the USA Patriot Act, Title III of Pub. L. 107-56, signed into law on October 26, 2001 and any subsequent legislation that amends or supplements such Act or any subsequent legislation that amends, supplements or supersedes such Act.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Payment</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8.07(c)</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Payment Notice</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8.07(c)</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25145"/>
                <wp:effectExtent l="0" t="0" r="0" b="0"/>
                <wp:wrapNone/>
                <wp:docPr id="71" name="Frame7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Payroll Accounts</w:t>
      </w:r>
      <w:r>
        <w:rPr>
          <w:color w:val="000000"/>
        </w:rPr>
        <w:t xml:space="preserve">” </w:t>
      </w:r>
      <w:r>
        <w:rPr>
          <w:rFonts w:ascii="Times New Roman;serif" w:hAnsi="Times New Roman;serif"/>
          <w:b w:val="false"/>
          <w:color w:val="000000"/>
          <w:sz w:val="24"/>
        </w:rPr>
        <w:t>shall mean depository accounts used only for payroll.</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PBGC</w:t>
      </w:r>
      <w:r>
        <w:rPr>
          <w:color w:val="000000"/>
        </w:rPr>
        <w:t xml:space="preserve">” </w:t>
      </w:r>
      <w:r>
        <w:rPr>
          <w:rFonts w:ascii="Times New Roman;serif" w:hAnsi="Times New Roman;serif"/>
          <w:b w:val="false"/>
          <w:color w:val="000000"/>
          <w:sz w:val="24"/>
        </w:rPr>
        <w:t>shall mean the Pension Benefit Guaranty Corporation, or any successor agency or entity performing substantially the same functions.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Permitted Business</w:t>
      </w:r>
      <w:r>
        <w:rPr>
          <w:color w:val="000000"/>
        </w:rPr>
        <w:t xml:space="preserve">” </w:t>
      </w:r>
      <w:r>
        <w:rPr>
          <w:rFonts w:ascii="Times New Roman;serif" w:hAnsi="Times New Roman;serif"/>
          <w:b w:val="false"/>
          <w:color w:val="000000"/>
          <w:sz w:val="24"/>
        </w:rPr>
        <w:t>means any business that is the same as, or reasonably related, ancillary, supportive or complementary to, or any reasonable extension of, the business in which Parent and its Restricted Subsidiaries are engaged on the date of this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Permitted Disposition</w:t>
      </w:r>
      <w:r>
        <w:rPr>
          <w:color w:val="000000"/>
        </w:rPr>
        <w:t xml:space="preserve">” </w:t>
      </w:r>
      <w:r>
        <w:rPr>
          <w:rFonts w:ascii="Times New Roman;serif" w:hAnsi="Times New Roman;serif"/>
          <w:b w:val="false"/>
          <w:color w:val="000000"/>
          <w:sz w:val="24"/>
        </w:rPr>
        <w:t>shall mean any of the following:</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Disposition of Collateral permitted under the applicable Collateral Documents;</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(b)    the Disposition of cash or Cash Equivalents constituting Collateral in exchange for other cash or Cash Equivalents constituting Collateral and having reasonably equivalent value therefor; provided that this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shall not permit any Disposition of the Letter of Credit Account or any amounts on deposit therein;</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(c)    sales or dispositions (but without in any way limiting the effect of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above) of surplus, obsolete, negligible or uneconomical assets no longer used in the business of the Borrower and the other Grantors, including returns of Slots to the FAA;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sale or disposition, as applicable, is made in the ordinary course of business consistent with past practices and does not materially and adversely affect the business of the Parent and its Restricted Subsidiaries, taken as a whole;</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(d)    Dispositions of Collateral among the Grantors (including any Person that shall become a Grantor simultaneous with such Disposition in the manner contemplated by </w:t>
      </w:r>
      <w:r>
        <w:rPr>
          <w:rFonts w:ascii="Times New Roman;serif" w:hAnsi="Times New Roman;serif"/>
          <w:b w:val="false"/>
          <w:color w:val="000000"/>
          <w:sz w:val="24"/>
          <w:u w:val="single"/>
        </w:rPr>
        <w:t>Section 5.12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    such Collateral remains at all times subject to a Lien with the same priority and level of perfection as was the case immediately prior to such Disposition (and otherwise subject only to Permitted Liens) in favor of the Collateral Trustee for the benefit of the Secured Parties following such Disposition,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    concurrently therewith, the Grantors shall execute any documents and take any actions reasonably required to create, grant, establish, preserve or perfect such Lien in accordance with the other provisions of this Agreement or the Collateral Documents, </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(iii)    concurrently therewith or promptly thereafter, the Administrative Agent, for the benefit of the Secured Parties, shall receive an Officer’s Certificate, with respect to the matters described in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hereof and, if reasonably requested by the Administrative Agent, an opinion of counsel to the Borrower (which may be in-house counsel) as to the validity and perfection of such Lien on the Collateral, in each case in form and substance reasonably satisfactory to the Administrative Agent, </w:t>
      </w:r>
    </w:p>
    <w:p>
      <w:pPr>
        <w:pStyle w:val="TextBody"/>
        <w:bidi w:val="0"/>
        <w:spacing w:before="0" w:after="0"/>
        <w:jc w:val="center"/>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25145"/>
                <wp:effectExtent l="0" t="0" r="0" b="0"/>
                <wp:wrapNone/>
                <wp:docPr id="72" name="Frame7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(iv)    concurrently with any Disposition of Collateral to any Person that shall become a Grantor simultaneous with such Disposition in the manner contemplated by </w:t>
      </w:r>
      <w:r>
        <w:rPr>
          <w:rFonts w:ascii="Times New Roman;serif" w:hAnsi="Times New Roman;serif"/>
          <w:b w:val="false"/>
          <w:color w:val="000000"/>
          <w:sz w:val="24"/>
          <w:u w:val="single"/>
        </w:rPr>
        <w:t>Section 5.12</w:t>
      </w:r>
      <w:r>
        <w:rPr>
          <w:rFonts w:ascii="Times New Roman;serif" w:hAnsi="Times New Roman;serif"/>
          <w:b w:val="false"/>
          <w:color w:val="000000"/>
          <w:sz w:val="24"/>
        </w:rPr>
        <w:t xml:space="preserve">, such Person shall have complied with the requirements of </w:t>
      </w:r>
      <w:r>
        <w:rPr>
          <w:rFonts w:ascii="Times New Roman;serif" w:hAnsi="Times New Roman;serif"/>
          <w:b w:val="false"/>
          <w:color w:val="000000"/>
          <w:sz w:val="24"/>
          <w:u w:val="single"/>
        </w:rPr>
        <w:t>Section 5.12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this </w:t>
      </w:r>
      <w:r>
        <w:rPr>
          <w:rFonts w:ascii="Times New Roman;serif" w:hAnsi="Times New Roman;serif"/>
          <w:b w:val="false"/>
          <w:color w:val="000000"/>
          <w:sz w:val="24"/>
          <w:u w:val="single"/>
        </w:rPr>
        <w:t>clause (d)</w:t>
      </w:r>
      <w:r>
        <w:rPr>
          <w:color w:val="000000"/>
        </w:rPr>
        <w:t xml:space="preserve"> </w:t>
      </w:r>
      <w:r>
        <w:rPr>
          <w:rFonts w:ascii="Times New Roman;serif" w:hAnsi="Times New Roman;serif"/>
          <w:b w:val="false"/>
          <w:color w:val="000000"/>
          <w:sz w:val="24"/>
        </w:rPr>
        <w:t>shall not permit any Disposition of the Letter of Credit Account or any amounts on deposit therein, and</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(v)    the preceding provisions of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(iv)</w:t>
      </w:r>
      <w:r>
        <w:rPr>
          <w:color w:val="000000"/>
        </w:rPr>
        <w:t xml:space="preserve"> </w:t>
      </w:r>
      <w:r>
        <w:rPr>
          <w:rFonts w:ascii="Times New Roman;serif" w:hAnsi="Times New Roman;serif"/>
          <w:b w:val="false"/>
          <w:color w:val="000000"/>
          <w:sz w:val="24"/>
        </w:rPr>
        <w:t xml:space="preserve">shall not be applicable to any Disposition resulting from a merger or consolidation permitted by </w:t>
      </w:r>
      <w:r>
        <w:rPr>
          <w:rFonts w:ascii="Times New Roman;serif" w:hAnsi="Times New Roman;serif"/>
          <w:b w:val="false"/>
          <w:color w:val="000000"/>
          <w:sz w:val="24"/>
          <w:u w:val="single"/>
        </w:rPr>
        <w:t>Section 6.10</w:t>
      </w:r>
      <w:r>
        <w:rPr>
          <w:rFonts w:ascii="Times New Roman;serif" w:hAnsi="Times New Roman;serif"/>
          <w:b w:val="false"/>
          <w:color w:val="000000"/>
          <w:sz w:val="24"/>
        </w:rPr>
        <w:t>; and</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(e)    (i) abandonment of Slots and Gate Leaseholds;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abandonment is (A) in connection with the downsizing of any hub or facility which does not materially and adversely affect the business of Parent and its Restricted Subsidiaries, taken as a whole, (B) in the ordinary course of business consistent with past practices and does not materially and adversely affect the business of the Parent and its Restricted Subsidiaries, taken as a whole, (C) reasonably determined by the Borrower to relate to Collateral of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value or surplus to the Borrower’s needs or (D) required by the DOT, the FAA, Foreign Aviation Authorities or other Governmental Authority and, in the case of any such abandonment under this </w:t>
      </w:r>
      <w:r>
        <w:rPr>
          <w:rFonts w:ascii="Times New Roman;serif" w:hAnsi="Times New Roman;serif"/>
          <w:b w:val="false"/>
          <w:color w:val="000000"/>
          <w:sz w:val="24"/>
          <w:u w:val="single"/>
        </w:rPr>
        <w:t>clause (i)</w:t>
      </w:r>
      <w:r>
        <w:rPr>
          <w:rFonts w:ascii="Times New Roman;serif" w:hAnsi="Times New Roman;serif"/>
          <w:b w:val="false"/>
          <w:color w:val="000000"/>
          <w:sz w:val="24"/>
        </w:rPr>
        <w:t>, does not have a Material Adverse Effect,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    exchange of Pledged Slots in the ordinary course of business that in Parent’s reasonable judgment are of reasonably equivalent value (so long as the Pledged Slots received in such exchange are concurrently pledged as Collateral and constitute Eligible Collateral, and such exchange would not result in a Material Adverse Effect),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(iii)    the termination of leases or subleases or airport use or license agreements in the ordinary course of business to the extent such terminations do not have a Material Adverse Effect, or</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(iv)    any other lease or sublease of, or use or license agreements with respect to, assets and properties that constitute Slots or Gate Leaseholds in the ordinary course of business and swap agreements or similar arrangements with respect to Slots in the ordinary course of business and which lease, sublease, use or license agreement or swap agreement or similar arrangement (A) has a term of one year or less, or does not extend beyond two comparable IATA traffic seasons (and contains no option to extend beyond either of such periods), (B) has a term (including any option period) longer than allowed in clause (A);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(x) in the case of each transaction pursuant to this clause (B), an Officer’s Certificate is delivered to the Administrative Agent concurrently with or promptly after the applicable Grantor’s entering into any such transaction that (i) immediately after giving effect to such transaction the Collateral Coverage Test would be satisfied (excluding, for purposes of calculating such ratio, the proceeds of such transaction and the intended use thereof), (ii) the Collateral Trustee’s Liens on Collateral subject to such lease, sublease, use, license agreement or swap or similar arrangement are not materially adversely affected (it being understood that no Permitted Lien shall be deemed to have such an effect) and (iii) no Event of Default exists at the time of such transaction, and (y) immediately after giving effect to any transaction pursuant to this </w:t>
      </w:r>
    </w:p>
    <w:p>
      <w:pPr>
        <w:pStyle w:val="TextBody"/>
        <w:bidi w:val="0"/>
        <w:spacing w:before="0" w:after="0"/>
        <w:jc w:val="center"/>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25145"/>
                <wp:effectExtent l="0" t="0" r="0" b="0"/>
                <wp:wrapNone/>
                <wp:docPr id="73" name="Frame7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clause (B), the aggregate Appraised Value of Collateral subject to transactions covered by this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shall not exceed $300,000,000;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cap shall not apply to the extent such lease, sublease, use or license agreement or swap agreement or similar arrangement is required or advisable (as reasonably determined by the Borrower) to preserve and keep in full force and effect its rights in such Slot or Gate Leasehold, (C) is for purposes of operations by another airline operating under a brand associated with the Borrower (such as “United Express”) or otherwise operating routes under a joint business arrangement or at the Borrower’s direction under a code share agreement, capacity purchase agreement, pro-rate agreement or similar arrangement between such airline and the Borrower, or (D) is subject and subordinated to the rights (including remedies) of the Collateral Trustee under the applicable Collateral Documents on terms reasonably satisfactory to the Collateral Trustee; </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(f)    the lease or sublease of assets and properties in the ordinary course of business;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rights of the lessee or sublessee shall be subordinated to the rights (including remedies) of the Collateral Trustee under the applicable Collateral Document on terms reasonably satisfactory to the Collateral Trustee;</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(g)    any single transaction or series of related transactions that involves assets having an Appraised Value of less than $50.0 million;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after giving </w:t>
      </w:r>
      <w:r>
        <w:rPr>
          <w:rFonts w:ascii="Times New Roman;serif" w:hAnsi="Times New Roman;serif"/>
          <w:b w:val="false"/>
          <w:i/>
          <w:color w:val="000000"/>
          <w:sz w:val="24"/>
        </w:rPr>
        <w:t xml:space="preserve">pro forma </w:t>
      </w:r>
      <w:r>
        <w:rPr>
          <w:rFonts w:ascii="Times New Roman;serif" w:hAnsi="Times New Roman;serif"/>
          <w:b w:val="false"/>
          <w:color w:val="000000"/>
          <w:sz w:val="24"/>
        </w:rPr>
        <w:t>effect to such transaction or transactions, the Collateral Coverage Test shall be satisfied; and</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(h)    any Permitted Lien.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means: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(1)    (a) Priority Liens held by the Collateral Trustee securing the Obligations, all other Priority Lien Debt and all other Priority Lien Obligations under the Notes and the Term Loan Credit Agreement, and any refinancing of any such Indebtedness (up to an aggregate principal amount not exceeding the aggregate principal amount of the Indebtedness being refinanced plus accrued interest, fees and premiums (if any) thereon and reasonable fees and expenses associated with such refinancing) and (b) Priority Liens held by the Collateral Trustee securing Priority Lien Debt and all other Priority Lien Obligations (in each case, other than such Indebtedness described in the foregoing </w:t>
      </w:r>
      <w:r>
        <w:rPr>
          <w:rFonts w:ascii="Times New Roman;serif" w:hAnsi="Times New Roman;serif"/>
          <w:b w:val="false"/>
          <w:color w:val="000000"/>
          <w:sz w:val="24"/>
          <w:u w:val="single"/>
        </w:rPr>
        <w:t>clause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after giving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 xml:space="preserve">effect to the issuance or incurrence of any such Indebtedness under this </w:t>
      </w:r>
      <w:r>
        <w:rPr>
          <w:rFonts w:ascii="Times New Roman;serif" w:hAnsi="Times New Roman;serif"/>
          <w:b w:val="false"/>
          <w:color w:val="000000"/>
          <w:sz w:val="24"/>
          <w:u w:val="single"/>
        </w:rPr>
        <w:t>clause (b)</w:t>
      </w:r>
      <w:r>
        <w:rPr>
          <w:rFonts w:ascii="Times New Roman;serif" w:hAnsi="Times New Roman;serif"/>
          <w:b w:val="false"/>
          <w:color w:val="000000"/>
          <w:sz w:val="24"/>
        </w:rPr>
        <w:t xml:space="preserve">, the aggregate principal amount of all Priority Lien Debt would not exceed the greater of (A) $11,000,000,000 and (B) such an amount that would cause the Collateral Coverage Ratio to be equal to 2.0 to 1.0 and the Total Collateral Coverage Ratio to be equal to 1.0 to 1.0; (ii) any such Indebtedness shall not be subject to or benefit from any Guarantee by any Person that does not also Guarantee the other Priority Lien Debt; and (iii) any such Indebtedness (except for (x) Indebtedness issued in exchange for, or the net proceeds of which are used to renew, refund, extend, refinance, replace, defease or discharge Priority Lien Debt (so long as such Indebtedness has a maturity date that is after, and has a Weighted Average Life to Maturity that is equal to or </w:t>
      </w:r>
    </w:p>
    <w:p>
      <w:pPr>
        <w:pStyle w:val="TextBody"/>
        <w:bidi w:val="0"/>
        <w:spacing w:before="0" w:after="0"/>
        <w:jc w:val="center"/>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25145"/>
                <wp:effectExtent l="0" t="0" r="0" b="0"/>
                <wp:wrapNone/>
                <wp:docPr id="74" name="Frame7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greater than the Weighted Average Life to Maturity of, the Priority Lien Debt being renewed, refunded, extended, refinanced, replaced, defeased or discharged) and (y) customary bridge facilities provided by banks having a term no longer than 364 days) shall have a maturity date not earlier than the Latest Maturity Date and a Weighted Average Life to Maturity no shorter than the Weighted Average Life to Maturity of any Revolving Loans.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(2)    Liens held by the Collateral Trustee securing Junior Lien Debt and all other Junior Lien Obligations;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all such junior Liens shall rank junior to the Priority Lien Obligations pursuant to the Collateral Trust Agreement and (ii) after giving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effect to the issuance or incurrence of any such Indebtedness, the Total Collateral Coverage Ratio shall be no less than 1.0 to 1.0.</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(3)    Liens for taxes, assessments or governmental charges or claims that are not yet delinquent or that are being contested in good faith by appropriate proceedings promptly instituted and diligently concluded;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reserve or other appropriate provision as is required in conformity with GAAP has been made therefor;</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Liens imposed by law, including carriers’, warehousemen’s, landlord’s and mechanics’ Liens, in each case, incurred in the ordinary course of business;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(5)    Liens arising by operation of law in connection with judgments, attachments or awards which do not constitute an Event of Default hereunder;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(6)    Liens created for the benefit of (or to secure) the Obligations or any Guaranty Obligations;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(7)    (A) any overdrafts and related liabilities arising from treasury, netting, depository and cash management services or in connection with any automated clearing house transfers of funds, in each case as it relates to cash or Cash Equivalents, if any, and (B) Liens arising by operation of law or that are contractual rights of set-off in favor of the depository bank or securities intermediary in respect of the Letter of Credit Account or any account pledged to the Administrative Agent or the Collateral Trustee (for the benefit of the Secured Parties) and subject to an Account Control Agreement or equivalent control arrangement;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(8)    licenses, sublicenses, leases and subleases by any Grantor as they relate to any aircraft, airframe, engine or any Cure Collateral and to the extent (A) such licenses, sublicenses, leases or subleases do not interfere in any material respect with the business of Parent and its Restricted Subsidiaries, taken as a whole, and in each case, such license, sublicense, lease or sublease is to be subject and subordinate to the Liens granted to the Collateral Trustee pursuant to the </w:t>
      </w:r>
    </w:p>
    <w:p>
      <w:pPr>
        <w:pStyle w:val="TextBody"/>
        <w:bidi w:val="0"/>
        <w:spacing w:before="0" w:after="0"/>
        <w:jc w:val="center"/>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25145"/>
                <wp:effectExtent l="0" t="0" r="0" b="0"/>
                <wp:wrapNone/>
                <wp:docPr id="75" name="Frame7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Collateral Documents, and in each case, would not result in a Material Adverse Effect or (B) otherwise expressly permitted by the Collateral Documents;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(9)    salvage or similar rights of insurers, in each case as it relates to any aircraft, airframe, engine or any Cure Collateral, if any;</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(10)    in each case as it relates to any aircraft, Liens on appliances, parts, components, instruments, appurtenances, furnishings and other equipment installed on such aircraft and separately financed by a Grantor, to secure such financing;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(11)    Liens incurred in the ordinary course of business of Parent or any Restricted Subsidiary of Parent (x) with respect to obligations that do not exceed in the aggregate $30.0 million at any one time outstanding or (y) on Collateral having an aggregate Appraised Value that does not exceed $30.0 million;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(12)    Liens on Collateral permitted under the Collateral Document granting a Lien on such Collateral;</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(13)     leases, subleases, use or license agreements and swap agreements constituting “Permitted Dispositions” pursuant to </w:t>
      </w:r>
      <w:r>
        <w:rPr>
          <w:rFonts w:ascii="Times New Roman;serif" w:hAnsi="Times New Roman;serif"/>
          <w:b w:val="false"/>
          <w:color w:val="000000"/>
          <w:sz w:val="24"/>
          <w:u w:val="single"/>
        </w:rPr>
        <w:t>clause (e)(iv)</w:t>
      </w:r>
      <w:r>
        <w:rPr>
          <w:color w:val="000000"/>
        </w:rPr>
        <w:t xml:space="preserve"> </w:t>
      </w:r>
      <w:r>
        <w:rPr>
          <w:rFonts w:ascii="Times New Roman;serif" w:hAnsi="Times New Roman;serif"/>
          <w:b w:val="false"/>
          <w:color w:val="000000"/>
          <w:sz w:val="24"/>
        </w:rPr>
        <w:t xml:space="preserve">of such definition;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(14)    in the case of any Gate Leaseholds, any interest or title of a licensor, sublicensor, lessor, sublessor or airport operator under any lease, license or use agreement;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(15)    Liens on Collateral directly resulting from any Disposition (other than a Permitted Disposition incurred pursuant to clause (h) of the definition thereof) of such Collateral permitted under the Loan Documents; and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(16)    any extension, modification, renewal or replacement of the Liens described in clauses (1) through (15) above, provided that such extension, modification, renewal or replacement does not increase the principal amount of Indebtedness associated therewith.</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mean any natural person, corporation, division of a corporation, partnership, limited liability company, trust, joint venture, association, company, estate, unincorporated organization, Airport Authority or Governmental Authority or any agency or political subdivision thereof.</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shall mean a Single Employer Plan or a Multiple Employer Plan that is a pension plan subject to the provisions of Title IV of ERISA, Sections 412 or 430 of the Code or Section 302 of ERISA.</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Plan Asset Regulations</w:t>
      </w:r>
      <w:r>
        <w:rPr>
          <w:color w:val="000000"/>
        </w:rPr>
        <w:t xml:space="preserve">” </w:t>
      </w:r>
      <w:r>
        <w:rPr>
          <w:rFonts w:ascii="Times New Roman;serif" w:hAnsi="Times New Roman;serif"/>
          <w:b w:val="false"/>
          <w:color w:val="000000"/>
          <w:sz w:val="24"/>
        </w:rPr>
        <w:t>means of 29 CFR § 2510.3-101 et seq., as modified by Section 3(42) of ERISA, as amended from time to time.</w:t>
      </w:r>
    </w:p>
    <w:p>
      <w:pPr>
        <w:pStyle w:val="TextBody"/>
        <w:bidi w:val="0"/>
        <w:spacing w:before="0" w:after="0"/>
        <w:jc w:val="center"/>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25145"/>
                <wp:effectExtent l="0" t="0" r="0" b="0"/>
                <wp:wrapNone/>
                <wp:docPr id="76" name="Frame7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Pledged FAA Slots</w:t>
      </w:r>
      <w:r>
        <w:rPr>
          <w:color w:val="000000"/>
        </w:rPr>
        <w:t xml:space="preserve">” </w:t>
      </w:r>
      <w:r>
        <w:rPr>
          <w:rFonts w:ascii="Times New Roman;serif" w:hAnsi="Times New Roman;serif"/>
          <w:b w:val="false"/>
          <w:color w:val="000000"/>
          <w:sz w:val="24"/>
        </w:rPr>
        <w:t>means, as of any date, the FAA Slots included in the Collateral as of such date.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Pledged Foreign Slots</w:t>
      </w:r>
      <w:r>
        <w:rPr>
          <w:color w:val="000000"/>
        </w:rPr>
        <w:t xml:space="preserve">” </w:t>
      </w:r>
      <w:r>
        <w:rPr>
          <w:rFonts w:ascii="Times New Roman;serif" w:hAnsi="Times New Roman;serif"/>
          <w:b w:val="false"/>
          <w:color w:val="000000"/>
          <w:sz w:val="24"/>
        </w:rPr>
        <w:t>means, as of any date, the Foreign Slots included in the Collateral as of such date.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Pledged Gate Leaseholds</w:t>
      </w:r>
      <w:r>
        <w:rPr>
          <w:color w:val="000000"/>
        </w:rPr>
        <w:t xml:space="preserve">” </w:t>
      </w:r>
      <w:r>
        <w:rPr>
          <w:rFonts w:ascii="Times New Roman;serif" w:hAnsi="Times New Roman;serif"/>
          <w:b w:val="false"/>
          <w:color w:val="000000"/>
          <w:sz w:val="24"/>
        </w:rPr>
        <w:t>means, as of any date, the Gate Leaseholds included in the Collateral as of such date.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Pledged Routes</w:t>
      </w:r>
      <w:r>
        <w:rPr>
          <w:color w:val="000000"/>
        </w:rPr>
        <w:t xml:space="preserve">” </w:t>
      </w:r>
      <w:r>
        <w:rPr>
          <w:rFonts w:ascii="Times New Roman;serif" w:hAnsi="Times New Roman;serif"/>
          <w:b w:val="false"/>
          <w:color w:val="000000"/>
          <w:sz w:val="24"/>
        </w:rPr>
        <w:t xml:space="preserve">means, as of any date, the Routes included in the Collateral as of such date.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Pledged Slots</w:t>
      </w:r>
      <w:r>
        <w:rPr>
          <w:color w:val="000000"/>
        </w:rPr>
        <w:t xml:space="preserve">” </w:t>
      </w:r>
      <w:r>
        <w:rPr>
          <w:rFonts w:ascii="Times New Roman;serif" w:hAnsi="Times New Roman;serif"/>
          <w:b w:val="false"/>
          <w:color w:val="000000"/>
          <w:sz w:val="24"/>
        </w:rPr>
        <w:t>means, as of any date, the Slots included in the Collateral as of such date.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Prime Rate</w:t>
      </w:r>
      <w:r>
        <w:rPr>
          <w:color w:val="000000"/>
        </w:rPr>
        <w:t xml:space="preserve">” </w:t>
      </w:r>
      <w:r>
        <w:rPr>
          <w:rFonts w:ascii="Times New Roman;serif" w:hAnsi="Times New Roman;serif"/>
          <w:b w:val="false"/>
          <w:color w:val="000000"/>
          <w:sz w:val="24"/>
        </w:rPr>
        <w:t>shall mean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 Each change in the Prime Rate shall be effective from and including the date such change is publicly announced or quoted as being effective.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Priority Lien</w:t>
      </w:r>
      <w:r>
        <w:rPr>
          <w:color w:val="000000"/>
        </w:rPr>
        <w:t xml:space="preserve">” </w:t>
      </w:r>
      <w:r>
        <w:rPr>
          <w:rFonts w:ascii="Times New Roman;serif" w:hAnsi="Times New Roman;serif"/>
          <w:b w:val="false"/>
          <w:color w:val="000000"/>
          <w:sz w:val="24"/>
        </w:rPr>
        <w:t>means a Lien granted pursuant to the Collateral Trust Agreement to secure Priority Lien Obligations.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Priority Lien Debt</w:t>
      </w:r>
      <w:r>
        <w:rPr>
          <w:color w:val="000000"/>
        </w:rPr>
        <w:t xml:space="preserve">” </w:t>
      </w:r>
      <w:r>
        <w:rPr>
          <w:rFonts w:ascii="Times New Roman;serif" w:hAnsi="Times New Roman;serif"/>
          <w:b w:val="false"/>
          <w:color w:val="000000"/>
          <w:sz w:val="24"/>
        </w:rPr>
        <w:t>shall have the meaning given to such term in the Collateral Trust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Priority Lien Obligations</w:t>
      </w:r>
      <w:r>
        <w:rPr>
          <w:color w:val="000000"/>
        </w:rPr>
        <w:t xml:space="preserve">” </w:t>
      </w:r>
      <w:r>
        <w:rPr>
          <w:rFonts w:ascii="Times New Roman;serif" w:hAnsi="Times New Roman;serif"/>
          <w:b w:val="false"/>
          <w:color w:val="000000"/>
          <w:sz w:val="24"/>
        </w:rPr>
        <w:t xml:space="preserve">shall have the meaning given to such term in the Collateral Trust Agreement.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PTE</w:t>
      </w:r>
      <w:r>
        <w:rPr>
          <w:color w:val="000000"/>
        </w:rPr>
        <w:t xml:space="preserve">” </w:t>
      </w:r>
      <w:r>
        <w:rPr>
          <w:rFonts w:ascii="Times New Roman;serif" w:hAnsi="Times New Roman;serif"/>
          <w:b w:val="false"/>
          <w:color w:val="000000"/>
          <w:sz w:val="24"/>
        </w:rPr>
        <w:t xml:space="preserve">means a prohibited transaction class exemption issued by the U.S. Department of Labor, as any such exemption may be amended from time to time.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Put Exposure</w:t>
      </w:r>
      <w:r>
        <w:rPr>
          <w:color w:val="000000"/>
        </w:rPr>
        <w:t xml:space="preserve">” </w:t>
      </w:r>
      <w:r>
        <w:rPr>
          <w:rFonts w:ascii="Times New Roman;serif" w:hAnsi="Times New Roman;serif"/>
          <w:b w:val="false"/>
          <w:color w:val="000000"/>
          <w:sz w:val="24"/>
        </w:rPr>
        <w:t xml:space="preserve">means the principal amount of Loans, LC Exposure and unused Revolving Commitments that Lenders have elected be prepaid, Cash Collateralized and discharged, and terminated, respectively, pursuant to </w:t>
      </w:r>
      <w:r>
        <w:rPr>
          <w:rFonts w:ascii="Times New Roman;serif" w:hAnsi="Times New Roman;serif"/>
          <w:b w:val="false"/>
          <w:color w:val="000000"/>
          <w:sz w:val="24"/>
          <w:u w:val="single"/>
        </w:rPr>
        <w:t>Section 2.12(g)</w:t>
      </w:r>
      <w:r>
        <w:rPr>
          <w:color w:val="000000"/>
        </w:rPr>
        <w:t xml:space="preserve"> </w:t>
      </w:r>
      <w:r>
        <w:rPr>
          <w:rFonts w:ascii="Times New Roman;serif" w:hAnsi="Times New Roman;serif"/>
          <w:b w:val="false"/>
          <w:color w:val="000000"/>
          <w:sz w:val="24"/>
        </w:rPr>
        <w:t>in response to a Change of Control Offer.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Qualified Receivables Transaction</w:t>
      </w:r>
      <w:r>
        <w:rPr>
          <w:color w:val="000000"/>
        </w:rPr>
        <w:t xml:space="preserve">” </w:t>
      </w:r>
      <w:r>
        <w:rPr>
          <w:rFonts w:ascii="Times New Roman;serif" w:hAnsi="Times New Roman;serif"/>
          <w:b w:val="false"/>
          <w:color w:val="000000"/>
          <w:sz w:val="24"/>
        </w:rPr>
        <w:t xml:space="preserve">means any transaction or series of transactions entered into by Parent or any of its Subsidiaries pursuant to which Parent or any of its Subsidiaries sells, conveys or otherwise transfers to (a) a Receivables Subsidiary or any other Person (in the case of a transfer by Parent or any of its Subsidiaries) and (b) any other Person (in the case of a transfer by a Receivables Subsidiary), or grants a security interest in, any accounts receivable (whether now existing or arising in the future) of Parent or any of its Subsidiaries, and </w:t>
      </w:r>
    </w:p>
    <w:p>
      <w:pPr>
        <w:pStyle w:val="TextBody"/>
        <w:bidi w:val="0"/>
        <w:spacing w:before="0" w:after="0"/>
        <w:jc w:val="center"/>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25145"/>
                <wp:effectExtent l="0" t="0" r="0" b="0"/>
                <wp:wrapNone/>
                <wp:docPr id="77" name="Frame7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any assets related thereto including, without limitation, all Equity Interests and other investments in the Receivables Subsidiary,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other than assets that constitute Collateral or proceeds of Collateral.</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Qualified Replacement Assets</w:t>
      </w:r>
      <w:r>
        <w:rPr>
          <w:color w:val="000000"/>
        </w:rPr>
        <w:t xml:space="preserve">” </w:t>
      </w:r>
      <w:r>
        <w:rPr>
          <w:rFonts w:ascii="Times New Roman;serif" w:hAnsi="Times New Roman;serif"/>
          <w:b w:val="false"/>
          <w:color w:val="000000"/>
          <w:sz w:val="24"/>
        </w:rPr>
        <w:t xml:space="preserve">means (a) in the case of Collateral comprised of Slots, Routes or Gate Leaseholds of the Borrower, Slots of United or any Grantor (which shall include any Gate Leaseholds necessary for servicing the scheduled air carrier service utilizing such Slots) or Routes of United or any Grantor (which shall include any Slots and Gate Leaseholds necessary for servicing the scheduled air carrier service authorized by such Routes);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FAA Slots shall be at an Eligible Airport and (b) in the case of Cure Collateral, Cure Collateral of any type (other than cash and Cash Equivalents).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Receivables Subsidiary</w:t>
      </w:r>
      <w:r>
        <w:rPr>
          <w:color w:val="000000"/>
        </w:rPr>
        <w:t xml:space="preserve">” </w:t>
      </w:r>
      <w:r>
        <w:rPr>
          <w:rFonts w:ascii="Times New Roman;serif" w:hAnsi="Times New Roman;serif"/>
          <w:b w:val="false"/>
          <w:color w:val="000000"/>
          <w:sz w:val="24"/>
        </w:rPr>
        <w:t>means a Subsidiary of Parent which engages in no activities other than in connection with the financing of accounts receivable and which is designated by the Board of Directors of Parent (as provided below) as a Receivables Subsidiary (a) no portion of the Indebtedness or any other obligations (contingent or otherwise) of which (1) is guaranteed by Parent or any Restricted Subsidiary of Parent (other than comprising a pledge of the Capital Stock or other interests in such Receivables Subsidiary (an “</w:t>
      </w:r>
      <w:r>
        <w:rPr>
          <w:rFonts w:ascii="Times New Roman;serif" w:hAnsi="Times New Roman;serif"/>
          <w:b w:val="false"/>
          <w:color w:val="000000"/>
          <w:sz w:val="24"/>
          <w:u w:val="single"/>
        </w:rPr>
        <w:t>incidental pledge</w:t>
      </w:r>
      <w:r>
        <w:rPr>
          <w:color w:val="000000"/>
        </w:rPr>
        <w:t>”</w:t>
      </w:r>
      <w:r>
        <w:rPr>
          <w:rFonts w:ascii="Times New Roman;serif" w:hAnsi="Times New Roman;serif"/>
          <w:b w:val="false"/>
          <w:color w:val="000000"/>
          <w:sz w:val="24"/>
        </w:rPr>
        <w:t>), and excluding any guarantees of obligations (other than the principal of, and interest on, Indebtedness) pursuant to representations, warranties, covenants and indemnities entered into in the ordinary course of business in connection with a Qualified Receivables Transaction), (2) is recourse to or obligates Parent or any Restricted Subsidiary of Parent in any way other than through an incidental pledge or pursuant to representations, warranties, covenants and indemnities entered into in the ordinary course of business in connection with a Qualified Receivables Transaction or (3) subjects any property or asset of Parent or any Subsidiary of Parent (other than accounts receivable and related assets as provided in the definition of “Qualified Receivables Transaction”), directly or indirectly, contingently or otherwise, to the satisfaction thereof, other than pursuant to representations, warranties, covenants and indemnities entered into in the ordinary course of business in connection with a Qualified Receivables Transaction, (b) with which neither Parent nor any Subsidiary of Parent has any material contract, agreement, arrangement or understanding (other than pursuant to the Qualified Receivables Transaction) other than (i) on terms no less favorable to Parent or such Subsidiary than those that might be obtained at the time from Persons who are not Affiliates of Parent, and (ii) fees payable in the ordinary course of business in connection with servicing accounts receivable and (c) with which neither Parent nor any Subsidiary of Parent has any obligation to maintain or preserve such Subsidiary’s financial condition, other than a minimum capitalization in customary amounts, or to cause such Subsidiary to achieve certain levels of operating results. Any such designation by the Board of Directors of a Parent will be evidenced to the Administrative Agent by filing with the Administrative Agent a certified copy of the resolution of the Board of Directors of Parent giving effect to such designation and an Officer’s Certificate certifying that such designation complied with the foregoing conditions.</w:t>
      </w:r>
    </w:p>
    <w:p>
      <w:pPr>
        <w:pStyle w:val="TextBody"/>
        <w:bidi w:val="0"/>
        <w:spacing w:before="0" w:after="0"/>
        <w:jc w:val="center"/>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25145"/>
                <wp:effectExtent l="0" t="0" r="0" b="0"/>
                <wp:wrapNone/>
                <wp:docPr id="78" name="Frame7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Recovery Event</w:t>
      </w:r>
      <w:r>
        <w:rPr>
          <w:color w:val="000000"/>
        </w:rPr>
        <w:t xml:space="preserve">” </w:t>
      </w:r>
      <w:r>
        <w:rPr>
          <w:rFonts w:ascii="Times New Roman;serif" w:hAnsi="Times New Roman;serif"/>
          <w:b w:val="false"/>
          <w:color w:val="000000"/>
          <w:sz w:val="24"/>
        </w:rPr>
        <w:t>shall mean any settlement of or payment in respect of any property or casualty insurance claim or any condemnation proceeding relating to any Collateral or any “event of loss” or similar term (as defined in the related Collateral Document pursuant to which a security interest in such Collateral is granted to the Collateral Trustee, if applicable).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Reference Date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6.09(a)</w:t>
      </w:r>
      <w:r>
        <w:rPr>
          <w:rFonts w:ascii="Times New Roman;serif" w:hAnsi="Times New Roman;serif"/>
          <w:b w:val="false"/>
          <w:color w:val="000000"/>
          <w:sz w:val="24"/>
        </w:rPr>
        <w:t xml:space="preserve">.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Reference Time</w:t>
      </w:r>
      <w:r>
        <w:rPr>
          <w:color w:val="000000"/>
        </w:rPr>
        <w:t xml:space="preserve">” </w:t>
      </w:r>
      <w:r>
        <w:rPr>
          <w:rFonts w:ascii="Times New Roman;serif" w:hAnsi="Times New Roman;serif"/>
          <w:b w:val="false"/>
          <w:color w:val="000000"/>
          <w:sz w:val="24"/>
        </w:rPr>
        <w:t>with respect to any setting of the then-current Benchmark means (1) if such Benchmark is the Term SOFR Rate, 5:00 a.m. (Chicago time) on the day that is two U.S. Government Securities Business Days preceding the date of such setting, and (2) if such Benchmark is not the Term SOFR Rate, the time determined by the Administrative Agent in its reasonable discretion.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Register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10.02(b)(iv)</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Regulatory Authority</w:t>
      </w:r>
      <w:r>
        <w:rPr>
          <w:color w:val="000000"/>
        </w:rPr>
        <w:t xml:space="preserve">” </w:t>
      </w:r>
      <w:r>
        <w:rPr>
          <w:rFonts w:ascii="Times New Roman;serif" w:hAnsi="Times New Roman;serif"/>
          <w:b w:val="false"/>
          <w:color w:val="000000"/>
          <w:sz w:val="24"/>
        </w:rPr>
        <w:t>shall have the meaning set forth in Section 10.03.</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Related Parties</w:t>
      </w:r>
      <w:r>
        <w:rPr>
          <w:color w:val="000000"/>
        </w:rPr>
        <w:t xml:space="preserve">” </w:t>
      </w:r>
      <w:r>
        <w:rPr>
          <w:rFonts w:ascii="Times New Roman;serif" w:hAnsi="Times New Roman;serif"/>
          <w:b w:val="false"/>
          <w:color w:val="000000"/>
          <w:sz w:val="24"/>
        </w:rPr>
        <w:t>shall mean, with respect to any specified Person, such Person’s Affiliates and the respective directors, officers, partners, members, employees, agents and advisors of such Person and such Person’s Affiliates.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Release</w:t>
      </w:r>
      <w:r>
        <w:rPr>
          <w:color w:val="000000"/>
        </w:rPr>
        <w:t xml:space="preserve">” </w:t>
      </w:r>
      <w:r>
        <w:rPr>
          <w:rFonts w:ascii="Times New Roman;serif" w:hAnsi="Times New Roman;serif"/>
          <w:b w:val="false"/>
          <w:color w:val="000000"/>
          <w:sz w:val="24"/>
        </w:rPr>
        <w:t>shall have the meaning specified in Section 101(22) of the Comprehensive Environmental Response Compensation and Liability Act.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Relevant Governmental Body</w:t>
      </w:r>
      <w:r>
        <w:rPr>
          <w:color w:val="000000"/>
        </w:rPr>
        <w:t xml:space="preserve">” </w:t>
      </w:r>
      <w:r>
        <w:rPr>
          <w:rFonts w:ascii="Times New Roman;serif" w:hAnsi="Times New Roman;serif"/>
          <w:b w:val="false"/>
          <w:color w:val="000000"/>
          <w:sz w:val="24"/>
        </w:rPr>
        <w:t>means the Federal Reserve Board or the Federal Reserve Bank of New York, or a committee officially endorsed or convened by the Federal Reserve Board or the Federal Reserve Bank of New York, or any successor thereto.</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Required Class Lenders</w:t>
      </w:r>
      <w:r>
        <w:rPr>
          <w:color w:val="000000"/>
        </w:rPr>
        <w:t xml:space="preserve">” </w:t>
      </w:r>
      <w:r>
        <w:rPr>
          <w:rFonts w:ascii="Times New Roman;serif" w:hAnsi="Times New Roman;serif"/>
          <w:b w:val="false"/>
          <w:color w:val="000000"/>
          <w:sz w:val="24"/>
        </w:rPr>
        <w:t xml:space="preserve">shall mean, with respect to any Class of Loans, the Lenders having more than 50% of all outstanding Loans and Commitments of such Class.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Required Lenders</w:t>
      </w:r>
      <w:r>
        <w:rPr>
          <w:color w:val="000000"/>
        </w:rPr>
        <w:t xml:space="preserve">” </w:t>
      </w:r>
      <w:r>
        <w:rPr>
          <w:rFonts w:ascii="Times New Roman;serif" w:hAnsi="Times New Roman;serif"/>
          <w:b w:val="false"/>
          <w:color w:val="000000"/>
          <w:sz w:val="24"/>
        </w:rPr>
        <w:t>shall mean, at any time, Lenders holding more than 50% of the Total Revolving Commitments then in effect or, if the Revolving Commitments have been terminated, the Total Revolving Extensions of Credit then outstanding. The Revolving Extensions of Credit and Commitments of any Defaulting Lender shall be disregarded in determining the “Required Lenders” at any time.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Resolution Authority</w:t>
      </w:r>
      <w:r>
        <w:rPr>
          <w:color w:val="000000"/>
        </w:rPr>
        <w:t xml:space="preserve">” </w:t>
      </w:r>
      <w:r>
        <w:rPr>
          <w:rFonts w:ascii="Times New Roman;serif" w:hAnsi="Times New Roman;serif"/>
          <w:b w:val="false"/>
          <w:color w:val="000000"/>
          <w:sz w:val="24"/>
        </w:rPr>
        <w:t>means an EEA Resolution Authority or, with respect to any UK Financial Institution, a UK Resolution Authority.</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Responsible Officer</w:t>
      </w:r>
      <w:r>
        <w:rPr>
          <w:color w:val="000000"/>
        </w:rPr>
        <w:t xml:space="preserve">” </w:t>
      </w:r>
      <w:r>
        <w:rPr>
          <w:rFonts w:ascii="Times New Roman;serif" w:hAnsi="Times New Roman;serif"/>
          <w:b w:val="false"/>
          <w:color w:val="000000"/>
          <w:sz w:val="24"/>
        </w:rPr>
        <w:t>means an Officer.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Restricted Subsidiary</w:t>
      </w:r>
      <w:r>
        <w:rPr>
          <w:color w:val="000000"/>
        </w:rPr>
        <w:t xml:space="preserve">” </w:t>
      </w:r>
      <w:r>
        <w:rPr>
          <w:rFonts w:ascii="Times New Roman;serif" w:hAnsi="Times New Roman;serif"/>
          <w:b w:val="false"/>
          <w:color w:val="000000"/>
          <w:sz w:val="24"/>
        </w:rPr>
        <w:t>of a Person means any Subsidiary of the referent Person that is not an Unrestricted Subsidiary.</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Revolver Extension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2.28(b)</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25145"/>
                <wp:effectExtent l="0" t="0" r="0" b="0"/>
                <wp:wrapNone/>
                <wp:docPr id="79" name="Frame7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Revolver Extension Offer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2.28(b)</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Revolver Extension Offer Date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2.28(b)(i)</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Revolving Availability Period</w:t>
      </w:r>
      <w:r>
        <w:rPr>
          <w:color w:val="000000"/>
        </w:rPr>
        <w:t xml:space="preserve">” </w:t>
      </w:r>
      <w:r>
        <w:rPr>
          <w:rFonts w:ascii="Times New Roman;serif" w:hAnsi="Times New Roman;serif"/>
          <w:b w:val="false"/>
          <w:color w:val="000000"/>
          <w:sz w:val="24"/>
        </w:rPr>
        <w:t>shall mean the period from and including the Closing Date to but excluding the Revolving Facility Termination Date with respect to the applicable Revolving Commitments.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Revolving Commitment</w:t>
      </w:r>
      <w:r>
        <w:rPr>
          <w:color w:val="000000"/>
        </w:rPr>
        <w:t xml:space="preserve">” </w:t>
      </w:r>
      <w:r>
        <w:rPr>
          <w:rFonts w:ascii="Times New Roman;serif" w:hAnsi="Times New Roman;serif"/>
          <w:b w:val="false"/>
          <w:color w:val="000000"/>
          <w:sz w:val="24"/>
        </w:rPr>
        <w:t xml:space="preserve">shall mean the commitment of each Revolving Lender to make Revolving Loans and participate in Letters of Credit hereunder in an aggregate principal and/or face amount not to exceed the amount set forth under the heading “Revolving Commitment” opposite its name in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 xml:space="preserve">hereto or in the Assignment and Acceptance pursuant to which such Revolving Lender became a party hereto, as the same may be changed from time to time pursuant to the terms hereof. The original aggregate amount of the Total Revolving Commitments as of the Closing Date is $5,000,000,000.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Revolving Commitment Percentage</w:t>
      </w:r>
      <w:r>
        <w:rPr>
          <w:color w:val="000000"/>
        </w:rPr>
        <w:t xml:space="preserve">” </w:t>
      </w:r>
      <w:r>
        <w:rPr>
          <w:rFonts w:ascii="Times New Roman;serif" w:hAnsi="Times New Roman;serif"/>
          <w:b w:val="false"/>
          <w:color w:val="000000"/>
          <w:sz w:val="24"/>
        </w:rPr>
        <w:t>shall mean, at any time, with respect to each Revolving Lender, the percentage obtained by dividing its Revolving Commitment at such time by the Total Revolving Commitment or, if the Revolving Commitments have been terminated, the Revolving Commitment Percentage of each Revolving Lender that existed immediately prior to such termination.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Revolving Extensions of Credit</w:t>
      </w:r>
      <w:r>
        <w:rPr>
          <w:color w:val="000000"/>
        </w:rPr>
        <w:t xml:space="preserve">” </w:t>
      </w:r>
      <w:r>
        <w:rPr>
          <w:rFonts w:ascii="Times New Roman;serif" w:hAnsi="Times New Roman;serif"/>
          <w:b w:val="false"/>
          <w:color w:val="000000"/>
          <w:sz w:val="24"/>
        </w:rPr>
        <w:t>shall mean, as to any Revolving Lender at any time, an amount equal to the sum of (a) the aggregate principal amount of all Revolving Loans held by such Lender then outstanding and (b) such Lender’s Revolving Commitment Percentage of the LC Exposure then outstanding.</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Revolving Facility</w:t>
      </w:r>
      <w:r>
        <w:rPr>
          <w:color w:val="000000"/>
        </w:rPr>
        <w:t xml:space="preserve">” </w:t>
      </w:r>
      <w:r>
        <w:rPr>
          <w:rFonts w:ascii="Times New Roman;serif" w:hAnsi="Times New Roman;serif"/>
          <w:b w:val="false"/>
          <w:color w:val="000000"/>
          <w:sz w:val="24"/>
        </w:rPr>
        <w:t>shall mean the Revolving Commitments and the Revolving Loans made and Letters of Credit issued thereunder.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Revolving Facility Maturity Date</w:t>
      </w:r>
      <w:r>
        <w:rPr>
          <w:color w:val="000000"/>
        </w:rPr>
        <w:t xml:space="preserve">” </w:t>
      </w:r>
      <w:r>
        <w:rPr>
          <w:rFonts w:ascii="Times New Roman;serif" w:hAnsi="Times New Roman;serif"/>
          <w:b w:val="false"/>
          <w:color w:val="000000"/>
          <w:sz w:val="24"/>
        </w:rPr>
        <w:t xml:space="preserve">shall mean, with respect to (a) Revolving Commitments of the Lenders that have not been extended pursuant to </w:t>
      </w:r>
      <w:r>
        <w:rPr>
          <w:rFonts w:ascii="Times New Roman;serif" w:hAnsi="Times New Roman;serif"/>
          <w:b w:val="false"/>
          <w:color w:val="000000"/>
          <w:sz w:val="24"/>
          <w:u w:val="single"/>
        </w:rPr>
        <w:t>Section 2.28</w:t>
      </w:r>
      <w:r>
        <w:rPr>
          <w:rFonts w:ascii="Times New Roman;serif" w:hAnsi="Times New Roman;serif"/>
          <w:b w:val="false"/>
          <w:color w:val="000000"/>
          <w:sz w:val="24"/>
        </w:rPr>
        <w:t>, October 16, 2031 and (b) any Extended Revolving Commitments, the final maturity date therefor as specified in the applicable Revolver Extension Offer accepted by the respective Revolving Lender or Revolving Lenders.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Revolving Facility Termination Date</w:t>
      </w:r>
      <w:r>
        <w:rPr>
          <w:color w:val="000000"/>
        </w:rPr>
        <w:t xml:space="preserve">” </w:t>
      </w:r>
      <w:r>
        <w:rPr>
          <w:rFonts w:ascii="Times New Roman;serif" w:hAnsi="Times New Roman;serif"/>
          <w:b w:val="false"/>
          <w:color w:val="000000"/>
          <w:sz w:val="24"/>
        </w:rPr>
        <w:t xml:space="preserve">shall mean the earlier to occur of (a) the Revolving Facility Maturity Date with respect to the applicable Revolving Commitments, (b) the acceleration of the Loans (if any) and the termination of the Commitments in accordance with the terms hereof and (c) the termination of the applicable Revolving Commitments as a whole pursuant to </w:t>
      </w:r>
      <w:r>
        <w:rPr>
          <w:rFonts w:ascii="Times New Roman;serif" w:hAnsi="Times New Roman;serif"/>
          <w:b w:val="false"/>
          <w:color w:val="000000"/>
          <w:sz w:val="24"/>
          <w:u w:val="single"/>
        </w:rPr>
        <w:t>Section 2.11</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Revolving Lender</w:t>
      </w:r>
      <w:r>
        <w:rPr>
          <w:color w:val="000000"/>
        </w:rPr>
        <w:t xml:space="preserve">” </w:t>
      </w:r>
      <w:r>
        <w:rPr>
          <w:rFonts w:ascii="Times New Roman;serif" w:hAnsi="Times New Roman;serif"/>
          <w:b w:val="false"/>
          <w:color w:val="000000"/>
          <w:sz w:val="24"/>
        </w:rPr>
        <w:t xml:space="preserve">shall mean each Lender having a Revolving Commitment.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Revolving Loan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2.01(a)</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25145"/>
                <wp:effectExtent l="0" t="0" r="0" b="0"/>
                <wp:wrapNone/>
                <wp:docPr id="80" name="Frame7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Route</w:t>
      </w:r>
      <w:r>
        <w:rPr>
          <w:color w:val="000000"/>
        </w:rPr>
        <w:t xml:space="preserve">” </w:t>
      </w:r>
      <w:r>
        <w:rPr>
          <w:rFonts w:ascii="Times New Roman;serif" w:hAnsi="Times New Roman;serif"/>
          <w:b w:val="false"/>
          <w:color w:val="000000"/>
          <w:sz w:val="24"/>
        </w:rPr>
        <w:t>shall have the meaning given to such term in the Collateral Trust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S&amp;P</w:t>
      </w:r>
      <w:r>
        <w:rPr>
          <w:color w:val="000000"/>
        </w:rPr>
        <w:t xml:space="preserve">” </w:t>
      </w:r>
      <w:r>
        <w:rPr>
          <w:rFonts w:ascii="Times New Roman;serif" w:hAnsi="Times New Roman;serif"/>
          <w:b w:val="false"/>
          <w:color w:val="000000"/>
          <w:sz w:val="24"/>
        </w:rPr>
        <w:t>shall mean Standard &amp; Poor’s Ratings Services.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Sale of a Grantor</w:t>
      </w:r>
      <w:r>
        <w:rPr>
          <w:color w:val="000000"/>
        </w:rPr>
        <w:t xml:space="preserve">” </w:t>
      </w:r>
      <w:r>
        <w:rPr>
          <w:rFonts w:ascii="Times New Roman;serif" w:hAnsi="Times New Roman;serif"/>
          <w:b w:val="false"/>
          <w:color w:val="000000"/>
          <w:sz w:val="24"/>
        </w:rPr>
        <w:t>means, with respect to any Collateral, an issuance, sale, lease, conveyance, transfer or other disposition of the Capital Stock of the applicable Grantor that owns such Collateral other than (1) an issuance of Equity Interests by a Grantor to Parent or another Restricted Subsidiary of Parent, and (2) an issuance of directors’ qualifying shares.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Sanctions</w:t>
      </w:r>
      <w:r>
        <w:rPr>
          <w:color w:val="000000"/>
        </w:rPr>
        <w:t xml:space="preserve">” </w:t>
      </w:r>
      <w:r>
        <w:rPr>
          <w:rFonts w:ascii="Times New Roman;serif" w:hAnsi="Times New Roman;serif"/>
          <w:b w:val="false"/>
          <w:color w:val="000000"/>
          <w:sz w:val="24"/>
        </w:rPr>
        <w:t>means economic or financial sanctions or trade embargoes imposed, administered or enforced from time to time by the United States government, including those administered by the Office of Foreign Assets Control of the U.S. Department of the Treasury or the U.S. Department of State.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Sanctioned Country</w:t>
      </w:r>
      <w:r>
        <w:rPr>
          <w:color w:val="000000"/>
        </w:rPr>
        <w:t xml:space="preserve">” </w:t>
      </w:r>
      <w:r>
        <w:rPr>
          <w:rFonts w:ascii="Times New Roman;serif" w:hAnsi="Times New Roman;serif"/>
          <w:b w:val="false"/>
          <w:color w:val="000000"/>
          <w:sz w:val="24"/>
        </w:rPr>
        <w:t>means, at any time, a country, territory or region which is itself the subject or target of any Sanctions, which as of the Closing Date include the occupied regions of Donetsk and Luhansk and the Crimea region of Ukraine, Cuba, Iran and North Korea.</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Sanctioned Person</w:t>
      </w:r>
      <w:r>
        <w:rPr>
          <w:color w:val="000000"/>
        </w:rPr>
        <w:t xml:space="preserve">” </w:t>
      </w:r>
      <w:r>
        <w:rPr>
          <w:rFonts w:ascii="Times New Roman;serif" w:hAnsi="Times New Roman;serif"/>
          <w:b w:val="false"/>
          <w:color w:val="000000"/>
          <w:sz w:val="24"/>
        </w:rPr>
        <w:t>means, at any time, (a) a Person which is subject or target of any Sanctions or (b) any Person owned or controlled by any such Person or Persons.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shall mean the United States Securities and Exchange Commission.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Secured Parties</w:t>
      </w:r>
      <w:r>
        <w:rPr>
          <w:color w:val="000000"/>
        </w:rPr>
        <w:t xml:space="preserve">” </w:t>
      </w:r>
      <w:r>
        <w:rPr>
          <w:rFonts w:ascii="Times New Roman;serif" w:hAnsi="Times New Roman;serif"/>
          <w:b w:val="false"/>
          <w:color w:val="000000"/>
          <w:sz w:val="24"/>
        </w:rPr>
        <w:t>shall mean the Administrative Agent, the Collateral Trustee, the Issuing Lenders, the Lenders and all other holders of Obligations.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shall mean the Securities Act of 1933, as amended.</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Significant Subsidiary</w:t>
      </w:r>
      <w:r>
        <w:rPr>
          <w:color w:val="000000"/>
        </w:rPr>
        <w:t xml:space="preserve">” </w:t>
      </w:r>
      <w:r>
        <w:rPr>
          <w:rFonts w:ascii="Times New Roman;serif" w:hAnsi="Times New Roman;serif"/>
          <w:b w:val="false"/>
          <w:color w:val="000000"/>
          <w:sz w:val="24"/>
        </w:rPr>
        <w:t>means any Restricted Subsidiary of Parent that would be a “significant subsidiary” as defined in Article 1, Rule 1-02 of Regulation S-X, promulgated pursuant to the Securities Act, as such Regulation is in effect on the date of this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Single Employer Plan</w:t>
      </w:r>
      <w:r>
        <w:rPr>
          <w:color w:val="000000"/>
        </w:rPr>
        <w:t xml:space="preserve">” </w:t>
      </w:r>
      <w:r>
        <w:rPr>
          <w:rFonts w:ascii="Times New Roman;serif" w:hAnsi="Times New Roman;serif"/>
          <w:b w:val="false"/>
          <w:color w:val="000000"/>
          <w:sz w:val="24"/>
        </w:rPr>
        <w:t xml:space="preserve">shall mean a single employer plan, as defined in Section 4001(a)(15) of ERISA, that is maintained for current or former employees of the Borrower or an ERISA Affiliate and in respect of which the Borrower or any ERISA Affiliate could reasonably be expected to have liability under Title IV of ERISA.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Slot</w:t>
      </w:r>
      <w:r>
        <w:rPr>
          <w:color w:val="000000"/>
        </w:rPr>
        <w:t xml:space="preserve">” </w:t>
      </w:r>
      <w:r>
        <w:rPr>
          <w:rFonts w:ascii="Times New Roman;serif" w:hAnsi="Times New Roman;serif"/>
          <w:b w:val="false"/>
          <w:color w:val="000000"/>
          <w:sz w:val="24"/>
        </w:rPr>
        <w:t>shall have the meaning given to such term in the Collateral Trust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SOFR</w:t>
      </w:r>
      <w:r>
        <w:rPr>
          <w:color w:val="000000"/>
        </w:rPr>
        <w:t xml:space="preserve">” </w:t>
      </w:r>
      <w:r>
        <w:rPr>
          <w:rFonts w:ascii="Times New Roman;serif" w:hAnsi="Times New Roman;serif"/>
          <w:b w:val="false"/>
          <w:color w:val="000000"/>
          <w:sz w:val="24"/>
        </w:rPr>
        <w:t>means a rate equal to the secured overnight financing rate as administered by the SOFR Administrator.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SOFR Administrator</w:t>
      </w:r>
      <w:r>
        <w:rPr>
          <w:color w:val="000000"/>
        </w:rPr>
        <w:t xml:space="preserve">” </w:t>
      </w:r>
      <w:r>
        <w:rPr>
          <w:rFonts w:ascii="Times New Roman;serif" w:hAnsi="Times New Roman;serif"/>
          <w:b w:val="false"/>
          <w:color w:val="000000"/>
          <w:sz w:val="24"/>
        </w:rPr>
        <w:t>means the NYFRB (or a successor administrator of the secured overnight financing rate).</w:t>
      </w:r>
    </w:p>
    <w:p>
      <w:pPr>
        <w:pStyle w:val="TextBody"/>
        <w:bidi w:val="0"/>
        <w:spacing w:before="0" w:after="0"/>
        <w:jc w:val="center"/>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25145"/>
                <wp:effectExtent l="0" t="0" r="0" b="0"/>
                <wp:wrapNone/>
                <wp:docPr id="81" name="Frame8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SOFR Administrator’s Website</w:t>
      </w:r>
      <w:r>
        <w:rPr>
          <w:color w:val="000000"/>
        </w:rPr>
        <w:t xml:space="preserve">” </w:t>
      </w:r>
      <w:r>
        <w:rPr>
          <w:rFonts w:ascii="Times New Roman;serif" w:hAnsi="Times New Roman;serif"/>
          <w:b w:val="false"/>
          <w:color w:val="000000"/>
          <w:sz w:val="24"/>
        </w:rPr>
        <w:t xml:space="preserve">means the website of the Federal Reserve Bank of New York, currently at http://www.newyorkfed.org, or any successor source for the secured overnight financing rate identified as such by the SOFR Administrator from time to time.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SOFR Determination Date</w:t>
      </w:r>
      <w:r>
        <w:rPr>
          <w:color w:val="000000"/>
        </w:rPr>
        <w:t xml:space="preserve">” </w:t>
      </w:r>
      <w:r>
        <w:rPr>
          <w:rFonts w:ascii="Times New Roman;serif" w:hAnsi="Times New Roman;serif"/>
          <w:b w:val="false"/>
          <w:color w:val="000000"/>
          <w:sz w:val="24"/>
        </w:rPr>
        <w:t>has the meaning specified in the definition of “Daily Simple SOFR”.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SOFR Rate Day</w:t>
      </w:r>
      <w:r>
        <w:rPr>
          <w:color w:val="000000"/>
        </w:rPr>
        <w:t xml:space="preserve">” </w:t>
      </w:r>
      <w:r>
        <w:rPr>
          <w:rFonts w:ascii="Times New Roman;serif" w:hAnsi="Times New Roman;serif"/>
          <w:b w:val="false"/>
          <w:color w:val="000000"/>
          <w:sz w:val="24"/>
        </w:rPr>
        <w:t>has the meaning specified in the definition of “Daily Simple SOFR”.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SRG Security Agreement</w:t>
      </w:r>
      <w:r>
        <w:rPr>
          <w:color w:val="000000"/>
        </w:rPr>
        <w:t xml:space="preserve">” </w:t>
      </w:r>
      <w:r>
        <w:rPr>
          <w:rFonts w:ascii="Times New Roman;serif" w:hAnsi="Times New Roman;serif"/>
          <w:b w:val="false"/>
          <w:color w:val="000000"/>
          <w:sz w:val="24"/>
        </w:rPr>
        <w:t xml:space="preserve">shall mean that certain Priority Lien Security Agreement (Slots, Routes and Gates), dated as of the Original Closing Date, among the Borrower, any other Grantor from time to time party thereto, and the Collateral Trustee, a copy of which is attached hereto as </w:t>
      </w:r>
      <w:r>
        <w:rPr>
          <w:rFonts w:ascii="Times New Roman;serif" w:hAnsi="Times New Roman;serif"/>
          <w:b w:val="false"/>
          <w:color w:val="000000"/>
          <w:sz w:val="24"/>
          <w:u w:val="single"/>
        </w:rPr>
        <w:t>Exhibit A-1</w:t>
      </w:r>
      <w:r>
        <w:rPr>
          <w:rFonts w:ascii="Times New Roman;serif" w:hAnsi="Times New Roman;serif"/>
          <w:b w:val="false"/>
          <w:color w:val="000000"/>
          <w:sz w:val="24"/>
        </w:rPr>
        <w:t xml:space="preserve">, as the same may be amended, restated, modified, supplemented, extended, amended and restated or replaced from time to time in accordance with the terms thereof and of the Collateral Trust Agreement.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Statutory Reserve Rate</w:t>
      </w:r>
      <w:r>
        <w:rPr>
          <w:color w:val="000000"/>
        </w:rPr>
        <w:t xml:space="preserve">” </w:t>
      </w:r>
      <w:r>
        <w:rPr>
          <w:rFonts w:ascii="Times New Roman;serif" w:hAnsi="Times New Roman;serif"/>
          <w:b w:val="false"/>
          <w:color w:val="000000"/>
          <w:sz w:val="24"/>
        </w:rPr>
        <w:t>shall mean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with respect to the Term SOFR Rate, for eurocurrency funding (currently referred to as “Eurocurrency Liabilities” in Regulation D of the Board). Such reserve percentages shall include those imposed pursuant to such Regulation D. Term Benchmark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reserve percentage.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Stored</w:t>
      </w:r>
      <w:r>
        <w:rPr>
          <w:color w:val="000000"/>
        </w:rPr>
        <w:t xml:space="preserve">” </w:t>
      </w:r>
      <w:r>
        <w:rPr>
          <w:rFonts w:ascii="Times New Roman;serif" w:hAnsi="Times New Roman;serif"/>
          <w:b w:val="false"/>
          <w:color w:val="000000"/>
          <w:sz w:val="24"/>
        </w:rPr>
        <w:t>shall mean, as to any aircraft, airframe, or engine, that such aircraft, airframe or engine has been stored (a) with a low expectation of a return to service within the one year following commencement of such storage and (b) in a manner intended to minimize the rate of environmental degradation of the structure and components of such aircraft, airframe or engine (as the case may be) during such storage.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Subject Company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6.10(a)</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 xml:space="preserve">shall mean, with respect to any Person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w:t>
      </w:r>
    </w:p>
    <w:p>
      <w:pPr>
        <w:pStyle w:val="TextBody"/>
        <w:bidi w:val="0"/>
        <w:spacing w:before="0" w:after="0"/>
        <w:jc w:val="center"/>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25145"/>
                <wp:effectExtent l="0" t="0" r="0" b="0"/>
                <wp:wrapNone/>
                <wp:docPr id="82" name="Frame8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business entity is at the time of determination owned or controlled, directly or indirectly, by such Person or one or more of the other Subsidiaries of such Person (or a combination thereof); and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    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(B) such Person or any Subsidiary of such Person is a controlling general partner or otherwise controls such entity.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Swap Obligation</w:t>
      </w:r>
      <w:r>
        <w:rPr>
          <w:color w:val="000000"/>
        </w:rPr>
        <w:t xml:space="preserve">” </w:t>
      </w:r>
      <w:r>
        <w:rPr>
          <w:rFonts w:ascii="Times New Roman;serif" w:hAnsi="Times New Roman;serif"/>
          <w:b w:val="false"/>
          <w:color w:val="000000"/>
          <w:sz w:val="24"/>
        </w:rPr>
        <w:t>means, with respect to any Guarantor, any obligation to pay or perform under any agreement, contract or transaction that constitutes a “swap” within the meaning of Section 1a(47) of the Commodity Exchange Act.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shall mean any and all present or future taxes, levies, imposts, duties, assessments, fees, deductions, charges or withholdings imposed by any Governmental Authority including any interest, additions to tax or penalties applicable thereto.</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shall mean the Revolving Facility Termination Date applicable to the related Revolving Commitments.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Term Benchmark</w:t>
      </w:r>
      <w:r>
        <w:rPr>
          <w:color w:val="000000"/>
        </w:rPr>
        <w:t xml:space="preserve">” </w:t>
      </w:r>
      <w:r>
        <w:rPr>
          <w:rFonts w:ascii="Times New Roman;serif" w:hAnsi="Times New Roman;serif"/>
          <w:b w:val="false"/>
          <w:color w:val="000000"/>
          <w:sz w:val="24"/>
        </w:rPr>
        <w:t>when used in reference to any Loan or Borrowing, refers to whether such Loan, or the Loans comprising such Borrowing, are bearing interest at a rate determined by reference to the Term SOFR Rate.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Term Benchmark Tranche</w:t>
      </w:r>
      <w:r>
        <w:rPr>
          <w:color w:val="000000"/>
        </w:rPr>
        <w:t xml:space="preserve">” </w:t>
      </w:r>
      <w:r>
        <w:rPr>
          <w:rFonts w:ascii="Times New Roman;serif" w:hAnsi="Times New Roman;serif"/>
          <w:b w:val="false"/>
          <w:color w:val="000000"/>
          <w:sz w:val="24"/>
        </w:rPr>
        <w:t>shall mean the collective reference to Term Benchmark Loans under the Revolving Facility the then current Interest Periods with respect to all of which begin on the same date and end on the same later date (whether or not such Loans shall originally have been made on the same day).</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Term Loan Credit Agreement</w:t>
      </w:r>
      <w:r>
        <w:rPr>
          <w:color w:val="000000"/>
        </w:rPr>
        <w:t xml:space="preserve">” </w:t>
      </w:r>
      <w:r>
        <w:rPr>
          <w:rFonts w:ascii="Times New Roman;serif" w:hAnsi="Times New Roman;serif"/>
          <w:b w:val="false"/>
          <w:color w:val="000000"/>
          <w:sz w:val="24"/>
        </w:rPr>
        <w:t>shall have the meaning given to such term in the Collateral Trust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Term SOFR Determination Day</w:t>
      </w:r>
      <w:r>
        <w:rPr>
          <w:color w:val="000000"/>
        </w:rPr>
        <w:t xml:space="preserve">” </w:t>
      </w:r>
      <w:r>
        <w:rPr>
          <w:rFonts w:ascii="Times New Roman;serif" w:hAnsi="Times New Roman;serif"/>
          <w:b w:val="false"/>
          <w:color w:val="000000"/>
          <w:sz w:val="24"/>
        </w:rPr>
        <w:t>has the meaning assigned to it under the definition of Term SOFR Reference Rate.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Term SOFR Rate</w:t>
      </w:r>
      <w:r>
        <w:rPr>
          <w:color w:val="000000"/>
        </w:rPr>
        <w:t xml:space="preserve">” </w:t>
      </w:r>
      <w:r>
        <w:rPr>
          <w:rFonts w:ascii="Times New Roman;serif" w:hAnsi="Times New Roman;serif"/>
          <w:b w:val="false"/>
          <w:color w:val="000000"/>
          <w:sz w:val="24"/>
        </w:rPr>
        <w:t xml:space="preserve">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Term SOFR Rate as so determined would be less than 0%, such rate shall be deemed to be equal to 0% for the purposes of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25145"/>
                <wp:effectExtent l="0" t="0" r="0" b="0"/>
                <wp:wrapNone/>
                <wp:docPr id="83" name="Frame8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Term SOFR Reference Rate</w:t>
      </w:r>
      <w:r>
        <w:rPr>
          <w:color w:val="000000"/>
        </w:rPr>
        <w:t xml:space="preserve">” </w:t>
      </w:r>
      <w:r>
        <w:rPr>
          <w:rFonts w:ascii="Times New Roman;serif" w:hAnsi="Times New Roman;serif"/>
          <w:b w:val="false"/>
          <w:color w:val="000000"/>
          <w:sz w:val="24"/>
        </w:rPr>
        <w:t>means, for any day and time (such day, the “</w:t>
      </w:r>
      <w:r>
        <w:rPr>
          <w:rFonts w:ascii="Times New Roman;serif" w:hAnsi="Times New Roman;serif"/>
          <w:b w:val="false"/>
          <w:color w:val="000000"/>
          <w:sz w:val="24"/>
          <w:u w:val="single"/>
        </w:rPr>
        <w:t>Term SOFR Determination Day</w:t>
      </w:r>
      <w:r>
        <w:rPr>
          <w:color w:val="000000"/>
        </w:rPr>
        <w:t>”</w:t>
      </w:r>
      <w:r>
        <w:rPr>
          <w:rFonts w:ascii="Times New Roman;serif" w:hAnsi="Times New Roman;serif"/>
          <w:b w:val="false"/>
          <w:color w:val="000000"/>
          <w:sz w:val="24"/>
        </w:rPr>
        <w:t xml:space="preserve">),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Title 14</w:t>
      </w:r>
      <w:r>
        <w:rPr>
          <w:color w:val="000000"/>
        </w:rPr>
        <w:t xml:space="preserve">” </w:t>
      </w:r>
      <w:r>
        <w:rPr>
          <w:rFonts w:ascii="Times New Roman;serif" w:hAnsi="Times New Roman;serif"/>
          <w:b w:val="false"/>
          <w:color w:val="000000"/>
          <w:sz w:val="24"/>
        </w:rPr>
        <w:t>means Title 14 of the U.S. Code of Federal Regulations, including Part 93, Subparts K and S thereof, as amended from time to time or any successor or recodified regulation.</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Title 49</w:t>
      </w:r>
      <w:r>
        <w:rPr>
          <w:color w:val="000000"/>
        </w:rPr>
        <w:t xml:space="preserve">” </w:t>
      </w:r>
      <w:r>
        <w:rPr>
          <w:rFonts w:ascii="Times New Roman;serif" w:hAnsi="Times New Roman;serif"/>
          <w:b w:val="false"/>
          <w:color w:val="000000"/>
          <w:sz w:val="24"/>
        </w:rPr>
        <w:t>shall mean Title 49 of the United States Code, which, among other things, recodified and replaced the U.S. Federal Aviation Act of 1958, and the rules and regulations promulgated pursuant thereto, and any subsequent legislation that amends, supplements or supersedes such provisions.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Total Collateral Coverage Ratio</w:t>
      </w:r>
      <w:r>
        <w:rPr>
          <w:color w:val="000000"/>
        </w:rPr>
        <w:t xml:space="preserve">” </w:t>
      </w:r>
      <w:r>
        <w:rPr>
          <w:rFonts w:ascii="Times New Roman;serif" w:hAnsi="Times New Roman;serif"/>
          <w:b w:val="false"/>
          <w:color w:val="000000"/>
          <w:sz w:val="24"/>
        </w:rPr>
        <w:t xml:space="preserve">shall mean, as of any date, the ratio of (a) the Appraised Value of the Eligible Collateral as of such date to (b) the sum of (i) the Total Priority Lien Principal Amount as of such date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(ii) the sum of (x) the aggregate principal amount of all Junior Lien Debt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 xml:space="preserve">the amount of cash, Cash Equivalents or the undrawn amount of “back-to-back” letters of credit that are (1) issued by a bank approved by the Administrative Agent to cash collateralize Letters of Credit hereunder and (2) in an amount up to an amount approved to collateralize Letters of Credit hereunder, and that separately securing the undrawn amounts of any outstanding letters of credit that constitute Junior Lien Debt, in an amount not to exceed the maximum undrawn amount of such letter of credit,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(y) the aggregate amount of all Hedging Obligations that constitute “Junior Lien Obligations” then outstanding, in each case, as of such date.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Total Priority Lien Principal Amount</w:t>
      </w:r>
      <w:r>
        <w:rPr>
          <w:color w:val="000000"/>
        </w:rPr>
        <w:t xml:space="preserve">” </w:t>
      </w:r>
      <w:r>
        <w:rPr>
          <w:rFonts w:ascii="Times New Roman;serif" w:hAnsi="Times New Roman;serif"/>
          <w:b w:val="false"/>
          <w:color w:val="000000"/>
          <w:sz w:val="24"/>
        </w:rPr>
        <w:t xml:space="preserve">shall mean, as of any date, the sum of (x) the aggregate principal amount of all Priority Lien Debt </w:t>
      </w:r>
      <w:r>
        <w:rPr>
          <w:rFonts w:ascii="Times New Roman;serif" w:hAnsi="Times New Roman;serif"/>
          <w:b w:val="false"/>
          <w:i/>
          <w:color w:val="000000"/>
          <w:sz w:val="24"/>
        </w:rPr>
        <w:t xml:space="preserve">minus </w:t>
      </w:r>
      <w:r>
        <w:rPr>
          <w:rFonts w:ascii="Times New Roman;serif" w:hAnsi="Times New Roman;serif"/>
          <w:b w:val="false"/>
          <w:color w:val="000000"/>
          <w:sz w:val="24"/>
        </w:rPr>
        <w:t xml:space="preserve">the amount of cash, Cash Equivalents or the undrawn amount of “back-to-back” letters of credit permitted to collateralize Letters of Credit hereunder separately securing the undrawn amounts of any outstanding letters of credit that constitute Priority Lien Debt (including LC Exposure that has been Cash Collateralized in accordance with </w:t>
      </w:r>
      <w:r>
        <w:rPr>
          <w:rFonts w:ascii="Times New Roman;serif" w:hAnsi="Times New Roman;serif"/>
          <w:b w:val="false"/>
          <w:color w:val="000000"/>
          <w:sz w:val="24"/>
          <w:u w:val="single"/>
        </w:rPr>
        <w:t>Section 2.02(j)</w:t>
      </w:r>
      <w:r>
        <w:rPr>
          <w:rFonts w:ascii="Times New Roman;serif" w:hAnsi="Times New Roman;serif"/>
          <w:b w:val="false"/>
          <w:color w:val="000000"/>
          <w:sz w:val="24"/>
        </w:rPr>
        <w:t xml:space="preserve">), in an amount not to exceed the maximum undrawn amount of such letter of credit,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(y) the aggregate amount of all Hedging Obligations that constitute “Priority Lien Obligations” then outstanding, in each case, as of such date.</w:t>
      </w:r>
    </w:p>
    <w:p>
      <w:pPr>
        <w:pStyle w:val="TextBody"/>
        <w:bidi w:val="0"/>
        <w:spacing w:before="0" w:after="0"/>
        <w:jc w:val="center"/>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25145"/>
                <wp:effectExtent l="0" t="0" r="0" b="0"/>
                <wp:wrapNone/>
                <wp:docPr id="84" name="Frame8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Total Revolving Commitment</w:t>
      </w:r>
      <w:r>
        <w:rPr>
          <w:color w:val="000000"/>
        </w:rPr>
        <w:t xml:space="preserve">” </w:t>
      </w:r>
      <w:r>
        <w:rPr>
          <w:rFonts w:ascii="Times New Roman;serif" w:hAnsi="Times New Roman;serif"/>
          <w:b w:val="false"/>
          <w:color w:val="000000"/>
          <w:sz w:val="24"/>
        </w:rPr>
        <w:t>shall mean, at any time, the sum of the Revolving Commitments at such time.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Total Revolving Extensions of Credit</w:t>
      </w:r>
      <w:r>
        <w:rPr>
          <w:color w:val="000000"/>
        </w:rPr>
        <w:t xml:space="preserve">” </w:t>
      </w:r>
      <w:r>
        <w:rPr>
          <w:rFonts w:ascii="Times New Roman;serif" w:hAnsi="Times New Roman;serif"/>
          <w:b w:val="false"/>
          <w:color w:val="000000"/>
          <w:sz w:val="24"/>
        </w:rPr>
        <w:t>shall mean, at any time, the aggregate amount of the Revolving Extensions of Credit of the Revolving Lenders outstanding at such time.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Transactions</w:t>
      </w:r>
      <w:r>
        <w:rPr>
          <w:color w:val="000000"/>
        </w:rPr>
        <w:t xml:space="preserve">” </w:t>
      </w:r>
      <w:r>
        <w:rPr>
          <w:rFonts w:ascii="Times New Roman;serif" w:hAnsi="Times New Roman;serif"/>
          <w:b w:val="false"/>
          <w:color w:val="000000"/>
          <w:sz w:val="24"/>
        </w:rPr>
        <w:t>shall mean the execution, delivery and performance by the Borrower and Guarantors of this Agreement and the other Loan Documents to which they may be a party, the creation of the Liens in the Collateral in favor of the Collateral Trustee for the benefit of the Secured Parties, the borrowing of Loans and the use of the proceeds thereof, and the request for and issuance of Letters of Credit hereunder.</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Type</w:t>
      </w:r>
      <w:r>
        <w:rPr>
          <w:color w:val="000000"/>
        </w:rPr>
        <w:t>”</w:t>
      </w:r>
      <w:r>
        <w:rPr>
          <w:rFonts w:ascii="Times New Roman;serif" w:hAnsi="Times New Roman;serif"/>
          <w:b w:val="false"/>
          <w:color w:val="000000"/>
          <w:sz w:val="24"/>
        </w:rPr>
        <w:t xml:space="preserve">, when used in reference to any Loan or Borrowing, refers to whether the rate of interest on such Loan, or on the Loans comprising such Borrowing, is determined by reference to the Term SOFR Rate or the Alternate Base Rate. </w:t>
      </w:r>
    </w:p>
    <w:p>
      <w:pPr>
        <w:pStyle w:val="TextBody"/>
        <w:bidi w:val="0"/>
        <w:spacing w:lineRule="auto" w:line="288" w:before="240" w:after="240"/>
        <w:ind w:left="0" w:right="0" w:firstLine="1440"/>
        <w:jc w:val="both"/>
        <w:rPr/>
      </w:pPr>
      <w:r>
        <w:rPr>
          <w:color w:val="000000"/>
        </w:rPr>
        <w:t>“</w:t>
      </w:r>
      <w:r>
        <w:rPr>
          <w:rFonts w:ascii="Times New Roman;serif" w:hAnsi="Times New Roman;serif"/>
          <w:b w:val="false"/>
          <w:color w:val="000000"/>
          <w:sz w:val="24"/>
          <w:u w:val="single"/>
        </w:rPr>
        <w:t>U.S. Government Securities Business Day</w:t>
      </w:r>
      <w:r>
        <w:rPr>
          <w:color w:val="000000"/>
        </w:rPr>
        <w:t xml:space="preserve">” </w:t>
      </w:r>
      <w:r>
        <w:rPr>
          <w:rFonts w:ascii="Times New Roman;serif" w:hAnsi="Times New Roman;serif"/>
          <w:b w:val="false"/>
          <w:color w:val="000000"/>
          <w:sz w:val="24"/>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240" w:after="283"/>
        <w:ind w:left="0" w:right="0" w:firstLine="1440"/>
        <w:jc w:val="left"/>
        <w:rPr>
          <w:color w:val="000000"/>
        </w:rPr>
      </w:pPr>
      <w:r>
        <w:rPr>
          <w:color w:val="000000"/>
        </w:rPr>
        <w:t>“</w:t>
      </w:r>
      <w:r>
        <w:rPr>
          <w:rFonts w:ascii="Times New Roman;serif" w:hAnsi="Times New Roman;serif"/>
          <w:b w:val="false"/>
          <w:color w:val="000000"/>
          <w:sz w:val="24"/>
        </w:rPr>
        <w:t xml:space="preserve">UCC” shall mean the Uniform Commercial Code as in effect from time to time in any applicable jurisdiction.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UK Collateral Qualifications</w:t>
      </w:r>
      <w:r>
        <w:rPr>
          <w:color w:val="000000"/>
        </w:rPr>
        <w:t xml:space="preserve">” </w:t>
      </w:r>
      <w:r>
        <w:rPr>
          <w:rFonts w:ascii="Times New Roman;serif" w:hAnsi="Times New Roman;serif"/>
          <w:b w:val="false"/>
          <w:color w:val="000000"/>
          <w:sz w:val="24"/>
        </w:rPr>
        <w:t>means, with respect to the Collateral (solely in this instance, as defined in the UK Debenture) and the UK Debenture, the legal qualifications and reservations (however described) set out in the legal opinion of Milbank LLP that was delivered in connection with the UK Debenture.</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UK Debenture</w:t>
      </w:r>
      <w:r>
        <w:rPr>
          <w:color w:val="000000"/>
        </w:rPr>
        <w:t xml:space="preserve">” </w:t>
      </w:r>
      <w:r>
        <w:rPr>
          <w:rFonts w:ascii="Times New Roman;serif" w:hAnsi="Times New Roman;serif"/>
          <w:b w:val="false"/>
          <w:color w:val="000000"/>
          <w:sz w:val="24"/>
        </w:rPr>
        <w:t>shall mean, that certain English law debenture between the Borrower and the Collateral Trustee, dated as of May 20, 2021, a copy of which is attached hereto as Exhibit A-2, as the same may be amended, restated, modified, supplemented, extended, amended and restated or replaced from time to time in accordance with the terms thereof and of the Collateral Trust Agreement.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UK Financial Institution</w:t>
      </w:r>
      <w:r>
        <w:rPr>
          <w:color w:val="000000"/>
        </w:rPr>
        <w:t xml:space="preserve">” </w:t>
      </w:r>
      <w:r>
        <w:rPr>
          <w:rFonts w:ascii="Times New Roman;serif" w:hAnsi="Times New Roman;serif"/>
          <w:b w:val="false"/>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UK Resolution Authority</w:t>
      </w:r>
      <w:r>
        <w:rPr>
          <w:color w:val="000000"/>
        </w:rPr>
        <w:t xml:space="preserve">” </w:t>
      </w:r>
      <w:r>
        <w:rPr>
          <w:rFonts w:ascii="Times New Roman;serif" w:hAnsi="Times New Roman;serif"/>
          <w:b w:val="false"/>
          <w:color w:val="000000"/>
          <w:sz w:val="24"/>
        </w:rPr>
        <w:t>means the Bank of England or any other public administrative authority having responsibility for the resolution of any UK Financial Institution.</w:t>
      </w:r>
    </w:p>
    <w:p>
      <w:pPr>
        <w:pStyle w:val="TextBody"/>
        <w:bidi w:val="0"/>
        <w:spacing w:before="0" w:after="0"/>
        <w:jc w:val="center"/>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25145"/>
                <wp:effectExtent l="0" t="0" r="0" b="0"/>
                <wp:wrapNone/>
                <wp:docPr id="85" name="Frame8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Unadjusted Benchmark Replacement</w:t>
      </w:r>
      <w:r>
        <w:rPr>
          <w:color w:val="000000"/>
        </w:rPr>
        <w:t xml:space="preserve">” </w:t>
      </w:r>
      <w:r>
        <w:rPr>
          <w:rFonts w:ascii="Times New Roman;serif" w:hAnsi="Times New Roman;serif"/>
          <w:b w:val="false"/>
          <w:color w:val="000000"/>
          <w:sz w:val="24"/>
        </w:rPr>
        <w:t>means the applicable Benchmark Replacement excluding the related Benchmark Replacement Adjustment.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United</w:t>
      </w:r>
      <w:r>
        <w:rPr>
          <w:color w:val="000000"/>
        </w:rPr>
        <w:t xml:space="preserve">” </w:t>
      </w:r>
      <w:r>
        <w:rPr>
          <w:rFonts w:ascii="Times New Roman;serif" w:hAnsi="Times New Roman;serif"/>
          <w:b w:val="false"/>
          <w:color w:val="000000"/>
          <w:sz w:val="24"/>
        </w:rPr>
        <w:t xml:space="preserve">means United Airlines, Inc., a Delaware corporation.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United SRG</w:t>
      </w:r>
      <w:r>
        <w:rPr>
          <w:color w:val="000000"/>
        </w:rPr>
        <w:t xml:space="preserve">” </w:t>
      </w:r>
      <w:r>
        <w:rPr>
          <w:rFonts w:ascii="Times New Roman;serif" w:hAnsi="Times New Roman;serif"/>
          <w:b w:val="false"/>
          <w:color w:val="000000"/>
          <w:sz w:val="24"/>
        </w:rPr>
        <w:t xml:space="preserve">means all Slots, Routes and Gate Leaseholds of the Parent or any of its Subsidiaries, other than any such Slots, Routes or Gate Leaseholds that are both (x) held by a foreign or domestic Subsidiary of the Parent (other than the Borrower) formed or acquired after the date hereof as a result of or in connection with the acquisition of an existing airline having its own air carrier operating certificate (or equivalent in its applicable jurisdiction of certification) (including also any additional Subsidiaries as may be formed thereafter in connection with continued operations following such acquisition), and (y) operated under an air carrier operating certificate (or equivalent in its applicable jurisdiction of certification) separate from that of the Borrower. </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United States Citizen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3.02</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Unrestricted Subsidiary</w:t>
      </w:r>
      <w:r>
        <w:rPr>
          <w:color w:val="000000"/>
        </w:rPr>
        <w:t xml:space="preserve">” </w:t>
      </w:r>
      <w:r>
        <w:rPr>
          <w:rFonts w:ascii="Times New Roman;serif" w:hAnsi="Times New Roman;serif"/>
          <w:b w:val="false"/>
          <w:color w:val="000000"/>
          <w:sz w:val="24"/>
        </w:rPr>
        <w:t xml:space="preserve">means any Subsidiary of Parent that is designated by the Board of Directors of Parent as an Unrestricted Subsidiary in compliance with </w:t>
      </w:r>
      <w:r>
        <w:rPr>
          <w:rFonts w:ascii="Times New Roman;serif" w:hAnsi="Times New Roman;serif"/>
          <w:b w:val="false"/>
          <w:color w:val="000000"/>
          <w:sz w:val="24"/>
          <w:u w:val="single"/>
        </w:rPr>
        <w:t>Section 5.06</w:t>
      </w:r>
      <w:r>
        <w:rPr>
          <w:color w:val="000000"/>
        </w:rPr>
        <w:t xml:space="preserve"> </w:t>
      </w:r>
      <w:r>
        <w:rPr>
          <w:rFonts w:ascii="Times New Roman;serif" w:hAnsi="Times New Roman;serif"/>
          <w:b w:val="false"/>
          <w:color w:val="000000"/>
          <w:sz w:val="24"/>
        </w:rPr>
        <w:t>hereof pursuant to a resolution of the Board of Directors, but only if such Subsidiary:</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has no Indebtedness other than Non-Recourse Debt;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[intentionally omitted];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is a Person with respect to which neither Parent nor any of its Restricted Subsidiaries has any direct or indirect obligation (A) to subscribe for additional Equity Interests or (B) to maintain or preserve such Person’s financial condition or to cause such Person to achieve any specified levels of operating results;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has not guaranteed or otherwise directly or indirectly provided credit support for any Indebtedness of Parent or any of its Restricted Subsidiaries; and</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    does not own any assets or properties that constitute Collateral.</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Unused Total Revolving Commitment</w:t>
      </w:r>
      <w:r>
        <w:rPr>
          <w:color w:val="000000"/>
        </w:rPr>
        <w:t xml:space="preserve">” </w:t>
      </w:r>
      <w:r>
        <w:rPr>
          <w:rFonts w:ascii="Times New Roman;serif" w:hAnsi="Times New Roman;serif"/>
          <w:b w:val="false"/>
          <w:color w:val="000000"/>
          <w:sz w:val="24"/>
        </w:rPr>
        <w:t>shall mean, at any time, (a) the Total Revolving Commitment less (b) the Total Revolving Extensions of Credit.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Use or Lose Rule</w:t>
      </w:r>
      <w:r>
        <w:rPr>
          <w:color w:val="000000"/>
        </w:rPr>
        <w:t xml:space="preserve">” </w:t>
      </w:r>
      <w:r>
        <w:rPr>
          <w:rFonts w:ascii="Times New Roman;serif" w:hAnsi="Times New Roman;serif"/>
          <w:b w:val="false"/>
          <w:color w:val="000000"/>
          <w:sz w:val="24"/>
        </w:rPr>
        <w:t>shall mean with respect to Slots, the terms of 14 C.F.R. Section 93.227 or other applicable utilization requirements issued by the FAA, other Governmental Authorities, any Foreign Aviation Authorities or any Airport Authorities.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Voting Stock</w:t>
      </w:r>
      <w:r>
        <w:rPr>
          <w:color w:val="000000"/>
        </w:rPr>
        <w:t xml:space="preserve">” </w:t>
      </w:r>
      <w:r>
        <w:rPr>
          <w:rFonts w:ascii="Times New Roman;serif" w:hAnsi="Times New Roman;serif"/>
          <w:b w:val="false"/>
          <w:color w:val="000000"/>
          <w:sz w:val="24"/>
        </w:rPr>
        <w:t>of any specified Person as of any date means the Capital Stock of such Person that is at the time entitled to vote in the election of the Board of Directors of such Person.</w:t>
      </w:r>
    </w:p>
    <w:p>
      <w:pPr>
        <w:pStyle w:val="TextBody"/>
        <w:bidi w:val="0"/>
        <w:spacing w:before="0" w:after="0"/>
        <w:jc w:val="center"/>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25145"/>
                <wp:effectExtent l="0" t="0" r="0" b="0"/>
                <wp:wrapNone/>
                <wp:docPr id="86" name="Frame8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Weighted Average Life to Maturity</w:t>
      </w:r>
      <w:r>
        <w:rPr>
          <w:color w:val="000000"/>
        </w:rPr>
        <w:t xml:space="preserve">” </w:t>
      </w:r>
      <w:r>
        <w:rPr>
          <w:rFonts w:ascii="Times New Roman;serif" w:hAnsi="Times New Roman;serif"/>
          <w:b w:val="false"/>
          <w:color w:val="000000"/>
          <w:sz w:val="24"/>
        </w:rPr>
        <w:t>means, when applied to any Indebtedness at any date, the number of years obtained by dividing:</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the then outstanding principal amount of such Indebtedness.</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Withholding Agent</w:t>
      </w:r>
      <w:r>
        <w:rPr>
          <w:color w:val="000000"/>
        </w:rPr>
        <w:t xml:space="preserve">” </w:t>
      </w:r>
      <w:r>
        <w:rPr>
          <w:rFonts w:ascii="Times New Roman;serif" w:hAnsi="Times New Roman;serif"/>
          <w:b w:val="false"/>
          <w:color w:val="000000"/>
          <w:sz w:val="24"/>
        </w:rPr>
        <w:t>shall mean the Borrower, a Guarantor and the Administrative Agent.</w:t>
      </w:r>
    </w:p>
    <w:p>
      <w:pPr>
        <w:pStyle w:val="TextBody"/>
        <w:bidi w:val="0"/>
        <w:spacing w:lineRule="auto" w:line="288" w:before="240" w:after="283"/>
        <w:ind w:left="0" w:right="0" w:firstLine="1440"/>
        <w:jc w:val="left"/>
        <w:rPr/>
      </w:pPr>
      <w:r>
        <w:rPr>
          <w:color w:val="000000"/>
        </w:rPr>
        <w:t>“</w:t>
      </w:r>
      <w:r>
        <w:rPr>
          <w:rFonts w:ascii="Times New Roman;serif" w:hAnsi="Times New Roman;serif"/>
          <w:b w:val="false"/>
          <w:color w:val="000000"/>
          <w:sz w:val="24"/>
          <w:u w:val="single"/>
        </w:rPr>
        <w:t>Write-Down and Conversion Powers</w:t>
      </w:r>
      <w:r>
        <w:rPr>
          <w:color w:val="000000"/>
        </w:rPr>
        <w:t xml:space="preserve">” </w:t>
      </w:r>
      <w:r>
        <w:rPr>
          <w:rFonts w:ascii="Times New Roman;serif" w:hAnsi="Times New Roman;serif"/>
          <w:b w:val="false"/>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240" w:after="283"/>
        <w:ind w:left="0" w:right="0" w:firstLine="720"/>
        <w:jc w:val="left"/>
        <w:rPr/>
      </w:pPr>
      <w:bookmarkStart w:id="3" w:name="i7835f314b16f4ea885023d1631a348fa"/>
      <w:bookmarkEnd w:id="3"/>
      <w:r>
        <w:rPr>
          <w:rFonts w:ascii="Times New Roman;serif" w:hAnsi="Times New Roman;serif"/>
          <w:b w:val="false"/>
          <w:color w:val="000000"/>
          <w:sz w:val="24"/>
        </w:rPr>
        <w:t>Section 1.02.    </w:t>
      </w:r>
      <w:r>
        <w:rPr>
          <w:rFonts w:ascii="Times New Roman;serif" w:hAnsi="Times New Roman;serif"/>
          <w:b w:val="false"/>
          <w:color w:val="000000"/>
          <w:sz w:val="24"/>
          <w:u w:val="single"/>
        </w:rPr>
        <w:t>Terms Generally</w:t>
      </w:r>
      <w:r>
        <w:rPr>
          <w:rFonts w:ascii="Times New Roman;serif" w:hAnsi="Times New Roman;serif"/>
          <w:b w:val="false"/>
          <w:color w:val="000000"/>
          <w:sz w:val="24"/>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extended, amended and restated or otherwise modified (subject to any restrictions on such amendments, supplements or modifications set forth herein), (b) any reference herein to any Person shall be construed to include such Person’s permitted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unless expressly provided otherwise, (e) the words “asset” and “property” shall be construed to have the same meaning and effect and to refer to any and all tangible and intangible assets and properties, including cash, securities, accounts and contract rights and (f) “knowledge” or “aware” or words of similar import shall mean, when used in reference to the Borrower or the Guarantors, the actual knowledge of any Responsible Officer.</w:t>
      </w:r>
    </w:p>
    <w:p>
      <w:pPr>
        <w:pStyle w:val="TextBody"/>
        <w:bidi w:val="0"/>
        <w:spacing w:before="0" w:after="0"/>
        <w:jc w:val="center"/>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25145"/>
                <wp:effectExtent l="0" t="0" r="0" b="0"/>
                <wp:wrapNone/>
                <wp:docPr id="87" name="Frame8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4" w:name="iee35e79d6b994bc1b7aa79b867d34cca"/>
      <w:bookmarkEnd w:id="4"/>
      <w:r>
        <w:rPr>
          <w:rFonts w:ascii="Times New Roman;serif" w:hAnsi="Times New Roman;serif"/>
          <w:b w:val="false"/>
          <w:color w:val="000000"/>
          <w:sz w:val="24"/>
        </w:rPr>
        <w:t>Section 1.03.    </w:t>
      </w:r>
      <w:r>
        <w:rPr>
          <w:rFonts w:ascii="Times New Roman;serif" w:hAnsi="Times New Roman;serif"/>
          <w:b w:val="false"/>
          <w:color w:val="000000"/>
          <w:sz w:val="24"/>
          <w:u w:val="single"/>
        </w:rPr>
        <w:t>Accounting Terms; GAAP</w:t>
      </w:r>
      <w:r>
        <w:rPr>
          <w:rFonts w:ascii="Times New Roman;serif" w:hAnsi="Times New Roman;serif"/>
          <w:b w:val="false"/>
          <w:color w:val="000000"/>
          <w:sz w:val="24"/>
        </w:rPr>
        <w:t xml:space="preserve">. Except as otherwise expressly provided herein, all terms of an accounting or financial nature shall be construed in accordance with GAAP, as in effect from time to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Upon any such request for an amendment, the Borrower, the Required Lenders and the Administrative Agent agree to consider in good faith any such amendment in order to amend the provisions of this Agreement so as to reflect equitably such accounting changes so that the criteria for evaluating the Parent’s consolidated financial condition shall be the same after such accounting changes as if such accounting changes had not occurred.</w:t>
      </w:r>
    </w:p>
    <w:p>
      <w:pPr>
        <w:pStyle w:val="TextBody"/>
        <w:bidi w:val="0"/>
        <w:spacing w:lineRule="auto" w:line="288" w:before="240" w:after="283"/>
        <w:ind w:left="0" w:right="0" w:firstLine="720"/>
        <w:jc w:val="left"/>
        <w:rPr/>
      </w:pPr>
      <w:bookmarkStart w:id="5" w:name="ieef7679ed0d04d1385001fc6d2b0ad2f"/>
      <w:bookmarkEnd w:id="5"/>
      <w:r>
        <w:rPr>
          <w:rFonts w:ascii="Times New Roman;serif" w:hAnsi="Times New Roman;serif"/>
          <w:b w:val="false"/>
          <w:color w:val="000000"/>
          <w:sz w:val="24"/>
        </w:rPr>
        <w:t>Section 1.04.    </w:t>
      </w:r>
      <w:r>
        <w:rPr>
          <w:rFonts w:ascii="Times New Roman;serif" w:hAnsi="Times New Roman;serif"/>
          <w:b w:val="false"/>
          <w:color w:val="000000"/>
          <w:sz w:val="24"/>
          <w:u w:val="single"/>
        </w:rPr>
        <w:t>Divisions</w:t>
      </w:r>
      <w:r>
        <w:rPr>
          <w:rFonts w:ascii="Times New Roman;serif" w:hAnsi="Times New Roman;serif"/>
          <w:b w:val="false"/>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lineRule="auto" w:line="288" w:before="240" w:after="283"/>
        <w:ind w:left="0" w:right="0" w:firstLine="720"/>
        <w:jc w:val="left"/>
        <w:rPr/>
      </w:pPr>
      <w:bookmarkStart w:id="6" w:name="i696f22e6ab6b4aa9916870f2938b20f0"/>
      <w:bookmarkEnd w:id="6"/>
      <w:r>
        <w:rPr>
          <w:rFonts w:ascii="Times New Roman;serif" w:hAnsi="Times New Roman;serif"/>
          <w:b w:val="false"/>
          <w:color w:val="000000"/>
          <w:sz w:val="24"/>
        </w:rPr>
        <w:t>Section 1.05.    </w:t>
      </w:r>
      <w:r>
        <w:rPr>
          <w:rFonts w:ascii="Times New Roman;serif" w:hAnsi="Times New Roman;serif"/>
          <w:b w:val="false"/>
          <w:color w:val="000000"/>
          <w:sz w:val="24"/>
          <w:u w:val="single"/>
        </w:rPr>
        <w:t>Interest Rates; Benchmark Notification</w:t>
      </w:r>
      <w:r>
        <w:rPr>
          <w:rFonts w:ascii="Times New Roman;serif" w:hAnsi="Times New Roman;serif"/>
          <w:b w:val="false"/>
          <w:color w:val="000000"/>
          <w:sz w:val="24"/>
        </w:rPr>
        <w:t xml:space="preserve">. The interest rate on a Loan denominated in dollars may be derived from an interest rate benchmark that may be discontinued or is, or may in the future become, the subject of regulatory reform. Upon the occurrence of a Benchmark Transition Event, Section 2.29(b)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w:t>
      </w:r>
    </w:p>
    <w:p>
      <w:pPr>
        <w:pStyle w:val="TextBody"/>
        <w:bidi w:val="0"/>
        <w:spacing w:before="0" w:after="0"/>
        <w:jc w:val="center"/>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25145"/>
                <wp:effectExtent l="0" t="0" r="0" b="0"/>
                <wp:wrapNone/>
                <wp:docPr id="88" name="Frame8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88" w:before="240" w:after="283"/>
        <w:ind w:left="0" w:right="0" w:firstLine="720"/>
        <w:jc w:val="left"/>
        <w:rPr/>
      </w:pPr>
      <w:bookmarkStart w:id="7" w:name="i2a2b5e45a780410fa483c9b081c94434"/>
      <w:bookmarkEnd w:id="7"/>
      <w:r>
        <w:rPr>
          <w:rFonts w:ascii="Times New Roman;serif" w:hAnsi="Times New Roman;serif"/>
          <w:b w:val="false"/>
          <w:color w:val="000000"/>
          <w:sz w:val="24"/>
        </w:rPr>
        <w:t>Section 1.06.    </w:t>
      </w:r>
      <w:r>
        <w:rPr>
          <w:rFonts w:ascii="Times New Roman;serif" w:hAnsi="Times New Roman;serif"/>
          <w:b w:val="false"/>
          <w:color w:val="000000"/>
          <w:sz w:val="24"/>
          <w:u w:val="single"/>
        </w:rPr>
        <w:t>Acknowledgement Regarding Any Supported QFCs</w:t>
      </w:r>
      <w:r>
        <w:rPr>
          <w:rFonts w:ascii="Times New Roman;serif" w:hAnsi="Times New Roman;serif"/>
          <w:b w:val="false"/>
          <w:color w:val="000000"/>
          <w:sz w:val="24"/>
        </w:rPr>
        <w:t>. To the extent that the Loan Documents provide support, through a guarantee or otherwise, for Designated Hedge Agreements or any other agreement or instrument that is a QFC (such support, “</w:t>
      </w:r>
      <w:r>
        <w:rPr>
          <w:rFonts w:ascii="Times New Roman;serif" w:hAnsi="Times New Roman;serif"/>
          <w:b w:val="false"/>
          <w:color w:val="000000"/>
          <w:sz w:val="24"/>
          <w:u w:val="single"/>
        </w:rPr>
        <w:t>QFC Credit Support</w:t>
      </w:r>
      <w:r>
        <w:rPr>
          <w:color w:val="000000"/>
        </w:rPr>
        <w:t xml:space="preserve">” </w:t>
      </w:r>
      <w:r>
        <w:rPr>
          <w:rFonts w:ascii="Times New Roman;serif" w:hAnsi="Times New Roman;serif"/>
          <w:b w:val="false"/>
          <w:color w:val="000000"/>
          <w:sz w:val="24"/>
        </w:rPr>
        <w:t>and each such QFC a “</w:t>
      </w:r>
      <w:r>
        <w:rPr>
          <w:rFonts w:ascii="Times New Roman;serif" w:hAnsi="Times New Roman;serif"/>
          <w:b w:val="false"/>
          <w:color w:val="000000"/>
          <w:sz w:val="24"/>
          <w:u w:val="single"/>
        </w:rPr>
        <w:t>Supported QFC</w:t>
      </w:r>
      <w:r>
        <w:rPr>
          <w:color w:val="000000"/>
        </w:rPr>
        <w:t>”</w:t>
      </w:r>
      <w:r>
        <w:rPr>
          <w:rFonts w:ascii="Times New Roman;serif" w:hAnsi="Times New Roman;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4"/>
          <w:u w:val="single"/>
        </w:rPr>
        <w:t>U.S. Special Resolution Regimes</w:t>
      </w:r>
      <w:r>
        <w:rPr>
          <w:color w:val="000000"/>
        </w:rPr>
        <w:t>”</w:t>
      </w:r>
      <w:r>
        <w:rPr>
          <w:rFonts w:ascii="Times New Roman;serif" w:hAnsi="Times New Roman;serif"/>
          <w:b w:val="false"/>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8" w:before="240" w:after="283"/>
        <w:ind w:left="0" w:right="0" w:firstLine="720"/>
        <w:jc w:val="left"/>
        <w:rPr/>
      </w:pPr>
      <w:bookmarkStart w:id="8" w:name="i947bcf0aea624ba7a0cf36dc5507142b"/>
      <w:bookmarkEnd w:id="8"/>
      <w:r>
        <w:rPr>
          <w:rFonts w:ascii="Times New Roman;serif" w:hAnsi="Times New Roman;serif"/>
          <w:b w:val="false"/>
          <w:color w:val="000000"/>
          <w:sz w:val="24"/>
        </w:rPr>
        <w:t>(a)    In the event a Covered Entity that is party to a Supported QFC (each, a “</w:t>
      </w:r>
      <w:r>
        <w:rPr>
          <w:rFonts w:ascii="Times New Roman;serif" w:hAnsi="Times New Roman;serif"/>
          <w:b w:val="false"/>
          <w:color w:val="000000"/>
          <w:sz w:val="24"/>
          <w:u w:val="single"/>
        </w:rPr>
        <w:t>Covered Party</w:t>
      </w:r>
      <w:r>
        <w:rPr>
          <w:color w:val="000000"/>
        </w:rPr>
        <w:t>”</w:t>
      </w:r>
      <w:r>
        <w:rPr>
          <w:rFonts w:ascii="Times New Roman;serif" w:hAnsi="Times New Roman;serif"/>
          <w:b w:val="false"/>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pStyle w:val="TextBody"/>
        <w:bidi w:val="0"/>
        <w:spacing w:lineRule="auto" w:line="288" w:before="240" w:after="283"/>
        <w:ind w:left="0" w:right="0" w:firstLine="720"/>
        <w:jc w:val="left"/>
        <w:rPr/>
      </w:pPr>
      <w:bookmarkStart w:id="9" w:name="i40484ce156964b76bf4310d58ad4462b"/>
      <w:bookmarkEnd w:id="9"/>
      <w:r>
        <w:rPr>
          <w:rFonts w:ascii="Times New Roman;serif" w:hAnsi="Times New Roman;serif"/>
          <w:b w:val="false"/>
          <w:color w:val="000000"/>
          <w:sz w:val="24"/>
        </w:rPr>
        <w:t xml:space="preserve">(b)    As used in this </w:t>
      </w:r>
      <w:r>
        <w:rPr>
          <w:rFonts w:ascii="Times New Roman;serif" w:hAnsi="Times New Roman;serif"/>
          <w:b w:val="false"/>
          <w:color w:val="000000"/>
          <w:sz w:val="24"/>
          <w:u w:val="single"/>
        </w:rPr>
        <w:t>Section 1.06</w:t>
      </w:r>
      <w:r>
        <w:rPr>
          <w:rFonts w:ascii="Times New Roman;serif" w:hAnsi="Times New Roman;serif"/>
          <w:b w:val="false"/>
          <w:color w:val="000000"/>
          <w:sz w:val="24"/>
        </w:rPr>
        <w:t>, the following terms have the following meanings:</w:t>
      </w:r>
    </w:p>
    <w:p>
      <w:pPr>
        <w:pStyle w:val="TextBody"/>
        <w:bidi w:val="0"/>
        <w:spacing w:lineRule="auto" w:line="288" w:before="240" w:after="120"/>
        <w:ind w:left="0" w:right="0" w:firstLine="1440"/>
        <w:jc w:val="left"/>
        <w:rPr/>
      </w:pPr>
      <w:r>
        <w:rPr>
          <w:color w:val="000000"/>
        </w:rPr>
        <w:t>“</w:t>
      </w:r>
      <w:r>
        <w:rPr>
          <w:rFonts w:ascii="Times New Roman;serif" w:hAnsi="Times New Roman;serif"/>
          <w:b w:val="false"/>
          <w:color w:val="000000"/>
          <w:sz w:val="24"/>
          <w:u w:val="single"/>
        </w:rPr>
        <w:t>BHC Act Affiliate</w:t>
      </w:r>
      <w:r>
        <w:rPr>
          <w:color w:val="000000"/>
        </w:rPr>
        <w:t xml:space="preserve">” </w:t>
      </w:r>
      <w:r>
        <w:rPr>
          <w:rFonts w:ascii="Times New Roman;serif" w:hAnsi="Times New Roman;serif"/>
          <w:b w:val="false"/>
          <w:color w:val="000000"/>
          <w:sz w:val="24"/>
        </w:rPr>
        <w:t>of a party means an “affiliate” (as such term is defined under, and interpreted in accordance with, 12 U.S.C. 1841(k)) of such party.</w:t>
      </w:r>
    </w:p>
    <w:p>
      <w:pPr>
        <w:pStyle w:val="TextBody"/>
        <w:bidi w:val="0"/>
        <w:spacing w:lineRule="auto" w:line="288" w:before="0" w:after="120"/>
        <w:ind w:left="0" w:right="0" w:firstLine="1440"/>
        <w:jc w:val="left"/>
        <w:rPr/>
      </w:pPr>
      <w:r>
        <w:rPr>
          <w:color w:val="000000"/>
        </w:rPr>
        <w:t>“</w:t>
      </w:r>
      <w:r>
        <w:rPr>
          <w:rFonts w:ascii="Times New Roman;serif" w:hAnsi="Times New Roman;serif"/>
          <w:b w:val="false"/>
          <w:color w:val="000000"/>
          <w:sz w:val="24"/>
          <w:u w:val="single"/>
        </w:rPr>
        <w:t>Covered Entity</w:t>
      </w:r>
      <w:r>
        <w:rPr>
          <w:color w:val="000000"/>
        </w:rPr>
        <w:t xml:space="preserve">” </w:t>
      </w:r>
      <w:r>
        <w:rPr>
          <w:rFonts w:ascii="Times New Roman;serif" w:hAnsi="Times New Roman;serif"/>
          <w:b w:val="false"/>
          <w:color w:val="000000"/>
          <w:sz w:val="24"/>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lineRule="auto" w:line="288" w:before="0" w:after="120"/>
        <w:ind w:left="0" w:right="0" w:firstLine="1440"/>
        <w:jc w:val="left"/>
        <w:rPr/>
      </w:pPr>
      <w:r>
        <w:rPr>
          <w:color w:val="000000"/>
        </w:rPr>
        <w:t>“</w:t>
      </w:r>
      <w:r>
        <w:rPr>
          <w:rFonts w:ascii="Times New Roman;serif" w:hAnsi="Times New Roman;serif"/>
          <w:b w:val="false"/>
          <w:color w:val="000000"/>
          <w:sz w:val="24"/>
          <w:u w:val="single"/>
        </w:rPr>
        <w:t>Default Right</w:t>
      </w:r>
      <w:r>
        <w:rPr>
          <w:color w:val="000000"/>
        </w:rPr>
        <w:t xml:space="preserve">” </w:t>
      </w:r>
      <w:r>
        <w:rPr>
          <w:rFonts w:ascii="Times New Roman;serif" w:hAnsi="Times New Roman;serif"/>
          <w:b w:val="false"/>
          <w:color w:val="000000"/>
          <w:sz w:val="24"/>
        </w:rPr>
        <w:t>has the meaning assigned to that term in, and shall be interpreted in accordance with, 12 C.F.R. §§ 252.81, 47.2 or 382.1, as applicable.</w:t>
      </w:r>
    </w:p>
    <w:p>
      <w:pPr>
        <w:pStyle w:val="TextBody"/>
        <w:bidi w:val="0"/>
        <w:spacing w:before="0" w:after="0"/>
        <w:jc w:val="center"/>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25145"/>
                <wp:effectExtent l="0" t="0" r="0" b="0"/>
                <wp:wrapNone/>
                <wp:docPr id="89" name="Frame8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1440"/>
        <w:jc w:val="left"/>
        <w:rPr/>
      </w:pPr>
      <w:r>
        <w:rPr>
          <w:color w:val="000000"/>
        </w:rPr>
        <w:t>“</w:t>
      </w:r>
      <w:r>
        <w:rPr>
          <w:rFonts w:ascii="Times New Roman;serif" w:hAnsi="Times New Roman;serif"/>
          <w:b w:val="false"/>
          <w:color w:val="000000"/>
          <w:sz w:val="24"/>
          <w:u w:val="single"/>
        </w:rPr>
        <w:t>QFC</w:t>
      </w:r>
      <w:r>
        <w:rPr>
          <w:color w:val="000000"/>
        </w:rPr>
        <w:t xml:space="preserve">” </w:t>
      </w:r>
      <w:r>
        <w:rPr>
          <w:rFonts w:ascii="Times New Roman;serif" w:hAnsi="Times New Roman;serif"/>
          <w:b w:val="false"/>
          <w:color w:val="000000"/>
          <w:sz w:val="24"/>
        </w:rPr>
        <w:t>has the meaning assigned to the term “qualified financial contract” in, and shall be interpreted in accordance with, 12 U.S.C. 5390(c)(8)(D).</w:t>
      </w:r>
    </w:p>
    <w:p>
      <w:pPr>
        <w:pStyle w:val="TextBody"/>
        <w:bidi w:val="0"/>
        <w:spacing w:lineRule="auto" w:line="288" w:before="240" w:after="283"/>
        <w:jc w:val="center"/>
        <w:rPr>
          <w:rFonts w:ascii="Times New Roman;serif" w:hAnsi="Times New Roman;serif"/>
          <w:b/>
          <w:color w:val="000000"/>
          <w:sz w:val="24"/>
        </w:rPr>
      </w:pPr>
      <w:bookmarkStart w:id="10" w:name="iabcb43a885614ea191c31931295afdce"/>
      <w:bookmarkEnd w:id="10"/>
      <w:r>
        <w:rPr>
          <w:rFonts w:ascii="Times New Roman;serif" w:hAnsi="Times New Roman;serif"/>
          <w:b/>
          <w:color w:val="000000"/>
          <w:sz w:val="24"/>
        </w:rPr>
        <w:t>SECTION 2.</w:t>
        <w:br/>
        <w:br/>
        <w:t>AMOUNT AND TERMS OF CREDIT</w:t>
      </w:r>
    </w:p>
    <w:p>
      <w:pPr>
        <w:pStyle w:val="TextBody"/>
        <w:bidi w:val="0"/>
        <w:spacing w:lineRule="auto" w:line="288" w:before="240" w:after="283"/>
        <w:ind w:left="0" w:right="0" w:firstLine="720"/>
        <w:jc w:val="left"/>
        <w:rPr/>
      </w:pPr>
      <w:bookmarkStart w:id="11" w:name="i0df0d977a95c426497076fe7081af2de"/>
      <w:bookmarkEnd w:id="11"/>
      <w:r>
        <w:rPr>
          <w:rFonts w:ascii="Times New Roman;serif" w:hAnsi="Times New Roman;serif"/>
          <w:b w:val="false"/>
          <w:color w:val="000000"/>
          <w:sz w:val="24"/>
        </w:rPr>
        <w:t>Section 2.01.    </w:t>
      </w:r>
      <w:r>
        <w:rPr>
          <w:rFonts w:ascii="Times New Roman;serif" w:hAnsi="Times New Roman;serif"/>
          <w:b w:val="false"/>
          <w:color w:val="000000"/>
          <w:sz w:val="24"/>
          <w:u w:val="single"/>
        </w:rPr>
        <w:t>Commitments of the Lenders</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12" w:name="idaf70a52df774e2fac1a77f3e0937519"/>
      <w:bookmarkEnd w:id="12"/>
      <w:r>
        <w:rPr>
          <w:rFonts w:ascii="Times New Roman;serif" w:hAnsi="Times New Roman;serif"/>
          <w:b w:val="false"/>
          <w:color w:val="000000"/>
          <w:sz w:val="24"/>
        </w:rPr>
        <w:t>(a)    </w:t>
      </w:r>
      <w:r>
        <w:rPr>
          <w:rFonts w:ascii="Times New Roman;serif" w:hAnsi="Times New Roman;serif"/>
          <w:b w:val="false"/>
          <w:color w:val="000000"/>
          <w:sz w:val="24"/>
          <w:u w:val="single"/>
        </w:rPr>
        <w:t>Revolving Commitments</w:t>
      </w:r>
      <w:r>
        <w:rPr>
          <w:rFonts w:ascii="Times New Roman;serif" w:hAnsi="Times New Roman;serif"/>
          <w:b w:val="false"/>
          <w:color w:val="000000"/>
          <w:sz w:val="24"/>
        </w:rPr>
        <w:t>. (i) Each Revolving Lender severally, and not jointly with the other Revolving Lenders, agrees, upon the terms and subject to the conditions herein set forth, to make revolving credit loans denominated in Dollars (each a “</w:t>
      </w:r>
      <w:r>
        <w:rPr>
          <w:rFonts w:ascii="Times New Roman;serif" w:hAnsi="Times New Roman;serif"/>
          <w:b w:val="false"/>
          <w:color w:val="000000"/>
          <w:sz w:val="24"/>
          <w:u w:val="single"/>
        </w:rPr>
        <w:t>Revolving Loan</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Revolving Loans</w:t>
      </w:r>
      <w:r>
        <w:rPr>
          <w:color w:val="000000"/>
        </w:rPr>
        <w:t>”</w:t>
      </w:r>
      <w:r>
        <w:rPr>
          <w:rFonts w:ascii="Times New Roman;serif" w:hAnsi="Times New Roman;serif"/>
          <w:b w:val="false"/>
          <w:color w:val="000000"/>
          <w:sz w:val="24"/>
        </w:rPr>
        <w:t>) to the Borrower at any time and from time to time during the Revolving Availability Period in an aggregate principal amount not to exceed, when added to such Revolving Lender’s LC Exposure, the Revolving Commitment of such Lender, which Revolving Loans may be repaid and reborrowed in accordance with the provisions of this Agreement. At no time shall the sum of the then outstanding aggregate principal amount of the Revolving Loans plus the LC Exposure exceed the Total Revolving Commitment.</w:t>
      </w:r>
    </w:p>
    <w:p>
      <w:pPr>
        <w:pStyle w:val="TextBody"/>
        <w:bidi w:val="0"/>
        <w:spacing w:lineRule="auto" w:line="288" w:before="240" w:after="283"/>
        <w:ind w:left="0" w:right="0" w:firstLine="720"/>
        <w:jc w:val="left"/>
        <w:rPr/>
      </w:pPr>
      <w:bookmarkStart w:id="13" w:name="i14930b3d76244670bd532ea4fea39f1e"/>
      <w:bookmarkEnd w:id="13"/>
      <w:r>
        <w:rPr>
          <w:rFonts w:ascii="Times New Roman;serif" w:hAnsi="Times New Roman;serif"/>
          <w:b w:val="false"/>
          <w:color w:val="000000"/>
          <w:sz w:val="24"/>
        </w:rPr>
        <w:t xml:space="preserve">(i)    Each Borrowing of a Revolving Loan shall be made from the Revolving Lenders pro rata in accordance with their respective Revolving Commitments; </w:t>
      </w:r>
      <w:r>
        <w:rPr>
          <w:rFonts w:ascii="Times New Roman;serif" w:hAnsi="Times New Roman;serif"/>
          <w:b w:val="false"/>
          <w:color w:val="000000"/>
          <w:sz w:val="24"/>
          <w:u w:val="single"/>
        </w:rPr>
        <w:t>provided</w:t>
      </w:r>
      <w:r>
        <w:rPr>
          <w:rFonts w:ascii="Times New Roman;serif" w:hAnsi="Times New Roman;serif"/>
          <w:b w:val="false"/>
          <w:color w:val="000000"/>
          <w:sz w:val="24"/>
        </w:rPr>
        <w:t>, however, that the failure of any Revolving Lender to make any Revolving Loan shall not in itself relieve the other Revolving Lenders of their obligations to lend.</w:t>
      </w:r>
    </w:p>
    <w:p>
      <w:pPr>
        <w:pStyle w:val="TextBody"/>
        <w:bidi w:val="0"/>
        <w:spacing w:lineRule="auto" w:line="288" w:before="240" w:after="283"/>
        <w:ind w:left="0" w:right="0" w:firstLine="720"/>
        <w:jc w:val="left"/>
        <w:rPr/>
      </w:pPr>
      <w:bookmarkStart w:id="14" w:name="ib713f9fd736341568ee36a5200b3f906"/>
      <w:bookmarkEnd w:id="14"/>
      <w:r>
        <w:rPr>
          <w:rFonts w:ascii="Times New Roman;serif" w:hAnsi="Times New Roman;serif"/>
          <w:b w:val="false"/>
          <w:color w:val="000000"/>
          <w:sz w:val="24"/>
        </w:rPr>
        <w:t>(b)    [</w:t>
      </w:r>
      <w:r>
        <w:rPr>
          <w:rFonts w:ascii="Times New Roman;serif" w:hAnsi="Times New Roman;serif"/>
          <w:b w:val="false"/>
          <w:color w:val="000000"/>
          <w:sz w:val="24"/>
          <w:u w:val="single"/>
        </w:rPr>
        <w:t>Intentionally Omitted</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left"/>
        <w:rPr/>
      </w:pPr>
      <w:bookmarkStart w:id="15" w:name="ie4bd4f0a11b74066aa35f03362aa239e"/>
      <w:bookmarkEnd w:id="15"/>
      <w:r>
        <w:rPr>
          <w:rFonts w:ascii="Times New Roman;serif" w:hAnsi="Times New Roman;serif"/>
          <w:b w:val="false"/>
          <w:color w:val="000000"/>
          <w:sz w:val="24"/>
        </w:rPr>
        <w:t>(c)    </w:t>
      </w:r>
      <w:r>
        <w:rPr>
          <w:rFonts w:ascii="Times New Roman;serif" w:hAnsi="Times New Roman;serif"/>
          <w:b w:val="false"/>
          <w:color w:val="000000"/>
          <w:sz w:val="24"/>
          <w:u w:val="single"/>
        </w:rPr>
        <w:t>Type of Borrowing</w:t>
      </w:r>
      <w:r>
        <w:rPr>
          <w:rFonts w:ascii="Times New Roman;serif" w:hAnsi="Times New Roman;serif"/>
          <w:b w:val="false"/>
          <w:color w:val="000000"/>
          <w:sz w:val="24"/>
        </w:rPr>
        <w:t xml:space="preserve">. Each Borrowing shall be comprised entirely of ABR Loans or Term Benchmark Loans as the Borrower may request in accordance herewith. Each Lender at its option may make any Term Benchmark Loan by causing any domestic or foreign branch or Affiliate of such Lender to make such Loan;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exercise of such option shall not affect the obligation of the Borrower to repay such Loan in accordance with the terms of this Agreement. There may be multiple Borrowings incurred, converted or continued on the same day.</w:t>
      </w:r>
    </w:p>
    <w:p>
      <w:pPr>
        <w:pStyle w:val="TextBody"/>
        <w:bidi w:val="0"/>
        <w:spacing w:lineRule="auto" w:line="288" w:before="240" w:after="283"/>
        <w:ind w:left="0" w:right="0" w:firstLine="720"/>
        <w:jc w:val="left"/>
        <w:rPr/>
      </w:pPr>
      <w:bookmarkStart w:id="16" w:name="iaf215f97a2684adcb3abddb16e26c646"/>
      <w:bookmarkEnd w:id="16"/>
      <w:r>
        <w:rPr>
          <w:rFonts w:ascii="Times New Roman;serif" w:hAnsi="Times New Roman;serif"/>
          <w:b w:val="false"/>
          <w:color w:val="000000"/>
          <w:sz w:val="24"/>
        </w:rPr>
        <w:t>(d)    </w:t>
      </w:r>
      <w:r>
        <w:rPr>
          <w:rFonts w:ascii="Times New Roman;serif" w:hAnsi="Times New Roman;serif"/>
          <w:b w:val="false"/>
          <w:color w:val="000000"/>
          <w:sz w:val="24"/>
          <w:u w:val="single"/>
        </w:rPr>
        <w:t>Amount of Borrowing</w:t>
      </w:r>
      <w:r>
        <w:rPr>
          <w:rFonts w:ascii="Times New Roman;serif" w:hAnsi="Times New Roman;serif"/>
          <w:b w:val="false"/>
          <w:color w:val="000000"/>
          <w:sz w:val="24"/>
        </w:rPr>
        <w:t xml:space="preserve">. At the commencement of each Interest Period for any Term Benchmark Borrowing, such Borrowing shall be in an aggregate amount that is in an integral multiple of $1,000,000 and not less than $1,000,000. At the time that each ABR Borrowing is made, such Borrowing shall be in an aggregate amount that is an integral multiple of $100,000 and not less than $1,000,000;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 ABR Borrowing may be in an aggregate amount that is equal to the entire Unused Total Revolving Commitment or that is required to finance the reimbursement of an LC Disbursement as contemplated by Section 2.02(e). Borrowings of more than one Type may be outstanding at the same time.</w:t>
      </w:r>
    </w:p>
    <w:p>
      <w:pPr>
        <w:pStyle w:val="TextBody"/>
        <w:bidi w:val="0"/>
        <w:spacing w:lineRule="auto" w:line="288" w:before="240" w:after="283"/>
        <w:ind w:left="0" w:right="0" w:firstLine="720"/>
        <w:jc w:val="left"/>
        <w:rPr/>
      </w:pPr>
      <w:bookmarkStart w:id="17" w:name="ie04d5909ce89445f848b521c80f5a719"/>
      <w:bookmarkEnd w:id="17"/>
      <w:r>
        <w:rPr>
          <w:rFonts w:ascii="Times New Roman;serif" w:hAnsi="Times New Roman;serif"/>
          <w:b w:val="false"/>
          <w:color w:val="000000"/>
          <w:sz w:val="24"/>
        </w:rPr>
        <w:t>(e)    </w:t>
      </w:r>
      <w:r>
        <w:rPr>
          <w:rFonts w:ascii="Times New Roman;serif" w:hAnsi="Times New Roman;serif"/>
          <w:b w:val="false"/>
          <w:color w:val="000000"/>
          <w:sz w:val="24"/>
          <w:u w:val="single"/>
        </w:rPr>
        <w:t>Limitation on Interest Period</w:t>
      </w:r>
      <w:r>
        <w:rPr>
          <w:rFonts w:ascii="Times New Roman;serif" w:hAnsi="Times New Roman;serif"/>
          <w:b w:val="false"/>
          <w:color w:val="000000"/>
          <w:sz w:val="24"/>
        </w:rPr>
        <w:t xml:space="preserve">. Notwithstanding any other provision of this Agreement, the Borrower shall not be entitled to request, or to elect to convert or continue, any Borrowing of a Revolving Loan if the Interest Period requested with respect thereto would end </w:t>
      </w:r>
    </w:p>
    <w:p>
      <w:pPr>
        <w:pStyle w:val="TextBody"/>
        <w:bidi w:val="0"/>
        <w:spacing w:before="0" w:after="0"/>
        <w:jc w:val="center"/>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25145"/>
                <wp:effectExtent l="0" t="0" r="0" b="0"/>
                <wp:wrapNone/>
                <wp:docPr id="90" name="Frame8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after the Revolving Facility Maturity Date with respect to the applicable Revolving Commitments.</w:t>
      </w:r>
    </w:p>
    <w:p>
      <w:pPr>
        <w:pStyle w:val="TextBody"/>
        <w:bidi w:val="0"/>
        <w:spacing w:lineRule="auto" w:line="288" w:before="240" w:after="283"/>
        <w:ind w:left="0" w:right="0" w:firstLine="720"/>
        <w:jc w:val="left"/>
        <w:rPr/>
      </w:pPr>
      <w:bookmarkStart w:id="18" w:name="i89d8bf53c81149dd8db8525475216f2e"/>
      <w:bookmarkEnd w:id="18"/>
      <w:r>
        <w:rPr>
          <w:rFonts w:ascii="Times New Roman;serif" w:hAnsi="Times New Roman;serif"/>
          <w:b w:val="false"/>
          <w:color w:val="000000"/>
          <w:sz w:val="24"/>
        </w:rPr>
        <w:t>Section 2.02.    </w:t>
      </w:r>
      <w:r>
        <w:rPr>
          <w:rFonts w:ascii="Times New Roman;serif" w:hAnsi="Times New Roman;serif"/>
          <w:b w:val="false"/>
          <w:color w:val="000000"/>
          <w:sz w:val="24"/>
          <w:u w:val="single"/>
        </w:rPr>
        <w:t>Letters of Credit</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19" w:name="i5d1385b8811742509d2b685d9dcddab8"/>
      <w:bookmarkEnd w:id="19"/>
      <w:r>
        <w:rPr>
          <w:rFonts w:ascii="Times New Roman;serif" w:hAnsi="Times New Roman;serif"/>
          <w:b w:val="false"/>
          <w:color w:val="000000"/>
          <w:sz w:val="24"/>
        </w:rPr>
        <w:t>(a)    </w:t>
      </w:r>
      <w:r>
        <w:rPr>
          <w:rFonts w:ascii="Times New Roman;serif" w:hAnsi="Times New Roman;serif"/>
          <w:b w:val="false"/>
          <w:color w:val="000000"/>
          <w:sz w:val="24"/>
          <w:u w:val="single"/>
        </w:rPr>
        <w:t>General</w:t>
      </w:r>
      <w:r>
        <w:rPr>
          <w:rFonts w:ascii="Times New Roman;serif" w:hAnsi="Times New Roman;serif"/>
          <w:b w:val="false"/>
          <w:color w:val="000000"/>
          <w:sz w:val="24"/>
        </w:rPr>
        <w:t xml:space="preserve">. Subject to the terms and conditions set forth herein, the Borrower may request the issuance of (and, subject to the third to last sentence of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below, the applicable Issuing Lender shall issue) Letters of Credit in Dollars, at any time and from time to time during the Revolving Availability Period, in each case, for the Borrower’s own account or the account of any other Subsidiary of Parent, in a form reasonably acceptable to the Administrative Agent, such Issuing Lender and the Borrower. In the event of any inconsistency between the terms and conditions of this Agreement and the terms and conditions of any form of letter of credit application or other agreement submitted by the Borrower to, or entered into by the Borrower with, an Issuing Lender relating to any Letter of Credit, the terms and conditions of this Agreement shall control. </w:t>
      </w:r>
    </w:p>
    <w:p>
      <w:pPr>
        <w:pStyle w:val="TextBody"/>
        <w:bidi w:val="0"/>
        <w:spacing w:lineRule="auto" w:line="288" w:before="240" w:after="283"/>
        <w:ind w:left="0" w:right="0" w:firstLine="720"/>
        <w:jc w:val="left"/>
        <w:rPr/>
      </w:pPr>
      <w:bookmarkStart w:id="20" w:name="i1edbaf212d8e40f7a3eba991c7f69ad6"/>
      <w:bookmarkEnd w:id="20"/>
      <w:r>
        <w:rPr>
          <w:rFonts w:ascii="Times New Roman;serif" w:hAnsi="Times New Roman;serif"/>
          <w:b w:val="false"/>
          <w:color w:val="000000"/>
          <w:sz w:val="24"/>
        </w:rPr>
        <w:t>(b)    </w:t>
      </w:r>
      <w:r>
        <w:rPr>
          <w:rFonts w:ascii="Times New Roman;serif" w:hAnsi="Times New Roman;serif"/>
          <w:b w:val="false"/>
          <w:color w:val="000000"/>
          <w:sz w:val="24"/>
          <w:u w:val="single"/>
        </w:rPr>
        <w:t>Notice of Issuance, Amendment, Renewal, Extension; Certain Conditions</w:t>
      </w:r>
      <w:r>
        <w:rPr>
          <w:rFonts w:ascii="Times New Roman;serif" w:hAnsi="Times New Roman;serif"/>
          <w:b w:val="false"/>
          <w:color w:val="000000"/>
          <w:sz w:val="24"/>
        </w:rPr>
        <w:t xml:space="preserve">. To request the issuance of a Letter of Credit (or the amendment, renewal or extension of an outstanding Letter of Credit), the Borrower shall either provide (i) telephonic notice promptly followed by written notice or (ii) hand deliver (or transmit by electronic communication, if arrangements for doing so have been approved by the applicable Issuing Lender (which approval shall not be unreasonably withheld, delayed or conditioned)) to the applicable Issuing Lender and the Administrative Agent (at least three (3) Business Days in advance of the requested date of issuance, amendment, renewal or extension) a notice requesting the issuance of a Letter of Credit, or identifying the Letter of Credit to be amended, renewed or extended, and specifying (1) the date of issuance, amendment, renewal or extension (which shall be a Business Day), (2) the date on which such Letter of Credit is to expire (which shall comply with paragraph (c) of this Section), (3) the amount of such Letter of Credit, (4) the name and address of the beneficiary thereof and (5) such other information as shall be necessary to prepare, amend, renew or extend such Letter of Credit. If requested by the applicable Issuing Lender, the Borrower also shall submit a letter of credit application on such Issuing Lender’s standard form in connection with any request for a Letter of Credit;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to the extent such standard form (and/or any related reimbursement agreement) is inconsistent with the Loan Documents, the Loan Documents shall control. A Letter of Credit shall be issued, amended, renewed or extended only if (and upon issuance, amendment, renewal or extension of each Letter of Credit the Borrower shall be deemed to represent and warrant that), after giving effect to such issuance, amendment, renewal or extension, (w) the LC Exposure shall not exceed the aggregate amount of all Issuing Lender Commitments, (x) the LC Exposure shall not exceed the LC Commitment, (y) the aggregate amount of the Unused Total Revolving Commitment shall not be less than zero and (z) the LC Exposure with respect to all Letters of Credit issued by the applicable Issuing Lender with respect to such Letter of Credit shall not exceed the Issuing Lender Commitment with respect to such Issuing Lender. No Issuing Lender shall be under any obligation to issue any Letter of Credit if: (i) any order, judgment or decree of any Governmental Authority or arbitrator shall by its terms purport to enjoin or restrain such Issuing Lender from issuing such Letter of Credit, or any law applicable to such Issuing Lender or any request or directive (whether or not </w:t>
      </w:r>
    </w:p>
    <w:p>
      <w:pPr>
        <w:pStyle w:val="TextBody"/>
        <w:bidi w:val="0"/>
        <w:spacing w:before="0" w:after="0"/>
        <w:jc w:val="center"/>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25145"/>
                <wp:effectExtent l="0" t="0" r="0" b="0"/>
                <wp:wrapNone/>
                <wp:docPr id="91" name="Frame9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having the force of Law) from any Governmental Authority with jurisdiction over such Issuing Lender shall prohibit, or require that such Issuing Lender refrain from, the issuance of letters of credit generally or such Letter of Credit in particular or shall impose upon such Issuing Lender with respect to such Letter of Credit any restriction, reserve or capital requirement (for which such Issuing Lender is not otherwise compensated hereunder) not in effect on the Closing Date, or shall impose upon such Issuing Lender any unreimbursed loss, cost or expense which was not in effect on the Closing Date and which, in each case, such Issuing Lender in good faith deems material to it; or (ii) the issuance of such Letter of Credit would violate one or more written policies of such Issuing Lender applicable to letters of credit generally in place at the time of, and not in contemplation of, such request. No Issuing Lender (other than an Affiliate of the Administrative Agent) shall permit any such issuance, renewal, extension or amendment resulting in an increase in the amount of any Letter of Credit to occur without first obtaining written confirmation from the Administrative Agent that it is then permitted under this Agreement. </w:t>
      </w:r>
    </w:p>
    <w:p>
      <w:pPr>
        <w:pStyle w:val="TextBody"/>
        <w:bidi w:val="0"/>
        <w:spacing w:lineRule="auto" w:line="288" w:before="240" w:after="283"/>
        <w:ind w:left="0" w:right="0" w:firstLine="720"/>
        <w:jc w:val="left"/>
        <w:rPr/>
      </w:pPr>
      <w:bookmarkStart w:id="21" w:name="ia0fdfa87fcf343bf9fab5c24fb1a3414"/>
      <w:bookmarkEnd w:id="21"/>
      <w:r>
        <w:rPr>
          <w:rFonts w:ascii="Times New Roman;serif" w:hAnsi="Times New Roman;serif"/>
          <w:b w:val="false"/>
          <w:color w:val="000000"/>
          <w:sz w:val="24"/>
        </w:rPr>
        <w:t>(c)    </w:t>
      </w:r>
      <w:r>
        <w:rPr>
          <w:rFonts w:ascii="Times New Roman;serif" w:hAnsi="Times New Roman;serif"/>
          <w:b w:val="false"/>
          <w:color w:val="000000"/>
          <w:sz w:val="24"/>
          <w:u w:val="single"/>
        </w:rPr>
        <w:t>Expiration Date</w:t>
      </w:r>
      <w:r>
        <w:rPr>
          <w:rFonts w:ascii="Times New Roman;serif" w:hAnsi="Times New Roman;serif"/>
          <w:b w:val="false"/>
          <w:color w:val="000000"/>
          <w:sz w:val="24"/>
        </w:rPr>
        <w:t xml:space="preserve">. Each Letter of Credit shall expire at or prior to the close of business on the earlier of (i) the date that is one year after the date of the issuance of such Letter of Credit (or, in the case of any renewal or extension thereof, one year after such renewal or extension) and (ii) the date that is seven (7) Business Days prior to the earliest Revolving Facility Maturity Date with respect to such Revolving Commitments (provided that, to the extent that all of the participations in such Letter of Credit held by the holders of such Revolving Commitments have been re-allocated or Cash Collateralized pursuant to the terms of any Extension Amendment, such Revolving Commitments shall be disregarded for purposes of this </w:t>
      </w:r>
      <w:r>
        <w:rPr>
          <w:rFonts w:ascii="Times New Roman;serif" w:hAnsi="Times New Roman;serif"/>
          <w:b w:val="false"/>
          <w:color w:val="000000"/>
          <w:sz w:val="24"/>
          <w:u w:val="single"/>
        </w:rPr>
        <w:t>clause (ii)</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22" w:name="i74264c965663404495c7959b4b50bd7a"/>
      <w:bookmarkEnd w:id="22"/>
      <w:r>
        <w:rPr>
          <w:rFonts w:ascii="Times New Roman;serif" w:hAnsi="Times New Roman;serif"/>
          <w:b w:val="false"/>
          <w:color w:val="000000"/>
          <w:sz w:val="24"/>
        </w:rPr>
        <w:t>(d)    </w:t>
      </w:r>
      <w:r>
        <w:rPr>
          <w:rFonts w:ascii="Times New Roman;serif" w:hAnsi="Times New Roman;serif"/>
          <w:b w:val="false"/>
          <w:color w:val="000000"/>
          <w:sz w:val="24"/>
          <w:u w:val="single"/>
        </w:rPr>
        <w:t>Participations</w:t>
      </w:r>
      <w:r>
        <w:rPr>
          <w:rFonts w:ascii="Times New Roman;serif" w:hAnsi="Times New Roman;serif"/>
          <w:b w:val="false"/>
          <w:color w:val="000000"/>
          <w:sz w:val="24"/>
        </w:rPr>
        <w:t xml:space="preserve">. By the issuance of a Letter of Credit (or an amendment, renewal or extension of a Letter of Credit, including any amendment increasing the amount thereof), and without any further action on the part of the applicable Issuing Lender or the Revolving Lenders, such Issuing Lender hereby grants to each Revolving Lender, and each Revolving Lender hereby acquires from such Issuing Lender, a participation in such Letter of Credit equal to such Revolving Lender’s Revolving Commitment Percentage of the amount available to be drawn under such Letter of Credit. In consideration and in furtherance of the foregoing, each Revolving Lender hereby absolutely and unconditionally agrees to pay to the Administrative Agent, for the account of such Issuing Lender, such Revolving Lender’s Revolving Commitment Percentage of the amount of each LC Disbursement made by such Issuing Lender and not reimbursed by the Borrower on the date due as provided in </w:t>
      </w:r>
      <w:r>
        <w:rPr>
          <w:rFonts w:ascii="Times New Roman;serif" w:hAnsi="Times New Roman;serif"/>
          <w:b w:val="false"/>
          <w:color w:val="000000"/>
          <w:sz w:val="24"/>
          <w:u w:val="single"/>
        </w:rPr>
        <w:t>Section 2.02(e)</w:t>
      </w:r>
      <w:r>
        <w:rPr>
          <w:rFonts w:ascii="Times New Roman;serif" w:hAnsi="Times New Roman;serif"/>
          <w:b w:val="false"/>
          <w:color w:val="000000"/>
          <w:sz w:val="24"/>
        </w:rPr>
        <w:t>,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of an Event of Default or reduction or termination of the Revolving Commitments, and that each such payment shall be made without any offset, abatement, withholding or reduction whatsoever.</w:t>
      </w:r>
    </w:p>
    <w:p>
      <w:pPr>
        <w:pStyle w:val="TextBody"/>
        <w:bidi w:val="0"/>
        <w:spacing w:lineRule="auto" w:line="288" w:before="240" w:after="283"/>
        <w:ind w:left="0" w:right="0" w:firstLine="720"/>
        <w:jc w:val="left"/>
        <w:rPr/>
      </w:pPr>
      <w:bookmarkStart w:id="23" w:name="i9c338618049941f5be9733f40638418f"/>
      <w:bookmarkEnd w:id="23"/>
      <w:r>
        <w:rPr>
          <w:rFonts w:ascii="Times New Roman;serif" w:hAnsi="Times New Roman;serif"/>
          <w:b w:val="false"/>
          <w:color w:val="000000"/>
          <w:sz w:val="24"/>
        </w:rPr>
        <w:t>(e)    </w:t>
      </w:r>
      <w:r>
        <w:rPr>
          <w:rFonts w:ascii="Times New Roman;serif" w:hAnsi="Times New Roman;serif"/>
          <w:b w:val="false"/>
          <w:color w:val="000000"/>
          <w:sz w:val="24"/>
          <w:u w:val="single"/>
        </w:rPr>
        <w:t>Reimbursement</w:t>
      </w:r>
      <w:r>
        <w:rPr>
          <w:rFonts w:ascii="Times New Roman;serif" w:hAnsi="Times New Roman;serif"/>
          <w:b w:val="false"/>
          <w:color w:val="000000"/>
          <w:sz w:val="24"/>
        </w:rPr>
        <w:t xml:space="preserve">. (i) If an Issuing Lender shall make any LC Disbursement in respect of a Letter of Credit, the Borrower shall reimburse such LC Disbursement by paying to </w:t>
      </w:r>
    </w:p>
    <w:p>
      <w:pPr>
        <w:pStyle w:val="TextBody"/>
        <w:bidi w:val="0"/>
        <w:spacing w:before="0" w:after="0"/>
        <w:jc w:val="center"/>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25145"/>
                <wp:effectExtent l="0" t="0" r="0" b="0"/>
                <wp:wrapNone/>
                <wp:docPr id="92" name="Frame9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the Administrative Agent an amount equal to the amount of such LC Disbursement not later than the first Business Day following the date the Borrower receives notice from the Issuing Lender of such LC Disbursement;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the case of any LC Disbursement, to the extent not reimbursed and, subject to the satisfaction (or waiver) of the conditions to borrowing set forth herein, including, without limitation, making a request in accordance with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that such payment shall be financed with an ABR Revolving Borrowing, as the case may be, in an equivalent amount and, to the extent so financed, the Borrower’s obligation to make such payment shall be discharged and replaced by the resulting ABR Revolving Borrowing.</w:t>
      </w:r>
    </w:p>
    <w:p>
      <w:pPr>
        <w:pStyle w:val="TextBody"/>
        <w:bidi w:val="0"/>
        <w:spacing w:lineRule="auto" w:line="288" w:before="240" w:after="283"/>
        <w:ind w:left="0" w:right="0" w:firstLine="720"/>
        <w:jc w:val="left"/>
        <w:rPr/>
      </w:pPr>
      <w:bookmarkStart w:id="24" w:name="i400e66f5805443bfad32cfd7b0291fe4"/>
      <w:bookmarkEnd w:id="24"/>
      <w:r>
        <w:rPr>
          <w:rFonts w:ascii="Times New Roman;serif" w:hAnsi="Times New Roman;serif"/>
          <w:b w:val="false"/>
          <w:color w:val="000000"/>
          <w:sz w:val="24"/>
        </w:rPr>
        <w:t xml:space="preserve">(i)    If the Borrower fails to make any payment due under the preceding paragraph (i) with respect to a Letter of Credit when due (including by a Borrowing), the Administrative Agent shall notify each Revolving Lender of the applicable LC Disbursement, the payment then due from the Borrower in respect thereof and such Revolving Lender’s Revolving Commitment Percentage thereof. Promptly following receipt of such notice, each Revolving Lender shall pay to the Administrative Agent its Revolving Commitment Percentage of the payment then due from the Borrower, in the same manner as provided in </w:t>
      </w:r>
      <w:r>
        <w:rPr>
          <w:rFonts w:ascii="Times New Roman;serif" w:hAnsi="Times New Roman;serif"/>
          <w:b w:val="false"/>
          <w:color w:val="000000"/>
          <w:sz w:val="24"/>
          <w:u w:val="single"/>
        </w:rPr>
        <w:t>Section 2.04</w:t>
      </w:r>
      <w:r>
        <w:rPr>
          <w:color w:val="000000"/>
        </w:rPr>
        <w:t xml:space="preserve"> </w:t>
      </w:r>
      <w:r>
        <w:rPr>
          <w:rFonts w:ascii="Times New Roman;serif" w:hAnsi="Times New Roman;serif"/>
          <w:b w:val="false"/>
          <w:color w:val="000000"/>
          <w:sz w:val="24"/>
        </w:rPr>
        <w:t xml:space="preserve">with respect to Revolving Loans made by such Revolving Lender (and </w:t>
      </w:r>
      <w:r>
        <w:rPr>
          <w:rFonts w:ascii="Times New Roman;serif" w:hAnsi="Times New Roman;serif"/>
          <w:b w:val="false"/>
          <w:color w:val="000000"/>
          <w:sz w:val="24"/>
          <w:u w:val="single"/>
        </w:rPr>
        <w:t>Section 2.04</w:t>
      </w:r>
      <w:r>
        <w:rPr>
          <w:color w:val="000000"/>
        </w:rPr>
        <w:t xml:space="preserve"> </w:t>
      </w:r>
      <w:r>
        <w:rPr>
          <w:rFonts w:ascii="Times New Roman;serif" w:hAnsi="Times New Roman;serif"/>
          <w:b w:val="false"/>
          <w:color w:val="000000"/>
          <w:sz w:val="24"/>
        </w:rPr>
        <w:t xml:space="preserve">shall apply, </w:t>
      </w:r>
      <w:r>
        <w:rPr>
          <w:rFonts w:ascii="Times New Roman;serif" w:hAnsi="Times New Roman;serif"/>
          <w:b w:val="false"/>
          <w:i/>
          <w:color w:val="000000"/>
          <w:sz w:val="24"/>
        </w:rPr>
        <w:t>mutatis mutandis</w:t>
      </w:r>
      <w:r>
        <w:rPr>
          <w:rFonts w:ascii="Times New Roman;serif" w:hAnsi="Times New Roman;serif"/>
          <w:b w:val="false"/>
          <w:color w:val="000000"/>
          <w:sz w:val="24"/>
        </w:rPr>
        <w:t xml:space="preserve">, to the payment obligations of the Revolving Lenders), and the Administrative Agent shall promptly pay to the Issuing Lender the amounts so received by it from the Revolving Lenders. Promptly following receipt by the Administrative Agent of any payment from the Borrower pursuant to this </w:t>
      </w:r>
      <w:r>
        <w:rPr>
          <w:rFonts w:ascii="Times New Roman;serif" w:hAnsi="Times New Roman;serif"/>
          <w:b w:val="false"/>
          <w:color w:val="000000"/>
          <w:sz w:val="24"/>
          <w:u w:val="single"/>
        </w:rPr>
        <w:t>Section 2.02(e)</w:t>
      </w:r>
      <w:r>
        <w:rPr>
          <w:color w:val="000000"/>
        </w:rPr>
        <w:t xml:space="preserve"> </w:t>
      </w:r>
      <w:r>
        <w:rPr>
          <w:rFonts w:ascii="Times New Roman;serif" w:hAnsi="Times New Roman;serif"/>
          <w:b w:val="false"/>
          <w:color w:val="000000"/>
          <w:sz w:val="24"/>
        </w:rPr>
        <w:t>with respect to any LC Disbursement, the Administrative Agent shall distribute such payment to the applicable Issuing Lender or, to the extent that Revolving Lenders have made payments pursuant to this paragraph to reimburse such Issuing Lender, then to such Revolving Lenders and such Issuing Lender as their interests may appear. Any payment made by a Revolving Lender pursuant to this paragraph to reimburse the applicable Issuing Lender for any LC Disbursement (other than the funding of ABR Loans as contemplated above) shall not constitute a Revolving Loan and shall not relieve the Borrower of its obligation to reimburse such LC Disbursement.</w:t>
      </w:r>
    </w:p>
    <w:p>
      <w:pPr>
        <w:pStyle w:val="TextBody"/>
        <w:bidi w:val="0"/>
        <w:spacing w:lineRule="auto" w:line="288" w:before="240" w:after="283"/>
        <w:ind w:left="0" w:right="0" w:firstLine="720"/>
        <w:jc w:val="left"/>
        <w:rPr/>
      </w:pPr>
      <w:bookmarkStart w:id="25" w:name="i89fac78acc6c420aa68d999877f0d69b"/>
      <w:bookmarkEnd w:id="25"/>
      <w:r>
        <w:rPr>
          <w:rFonts w:ascii="Times New Roman;serif" w:hAnsi="Times New Roman;serif"/>
          <w:b w:val="false"/>
          <w:color w:val="000000"/>
          <w:sz w:val="24"/>
        </w:rPr>
        <w:t>(f)    </w:t>
      </w:r>
      <w:r>
        <w:rPr>
          <w:rFonts w:ascii="Times New Roman;serif" w:hAnsi="Times New Roman;serif"/>
          <w:b w:val="false"/>
          <w:color w:val="000000"/>
          <w:sz w:val="24"/>
          <w:u w:val="single"/>
        </w:rPr>
        <w:t>Obligations Absolute</w:t>
      </w:r>
      <w:r>
        <w:rPr>
          <w:rFonts w:ascii="Times New Roman;serif" w:hAnsi="Times New Roman;serif"/>
          <w:b w:val="false"/>
          <w:color w:val="000000"/>
          <w:sz w:val="24"/>
        </w:rPr>
        <w:t xml:space="preserve">. The Borrower’s obligation to reimburse LC Disbursements as provided in </w:t>
      </w:r>
      <w:r>
        <w:rPr>
          <w:rFonts w:ascii="Times New Roman;serif" w:hAnsi="Times New Roman;serif"/>
          <w:b w:val="false"/>
          <w:color w:val="000000"/>
          <w:sz w:val="24"/>
          <w:u w:val="single"/>
        </w:rPr>
        <w:t>Section 2.02(e)</w:t>
      </w:r>
      <w:r>
        <w:rPr>
          <w:color w:val="000000"/>
        </w:rPr>
        <w:t xml:space="preserve"> </w:t>
      </w:r>
      <w:r>
        <w:rPr>
          <w:rFonts w:ascii="Times New Roman;serif" w:hAnsi="Times New Roman;serif"/>
          <w:b w:val="false"/>
          <w:color w:val="000000"/>
          <w:sz w:val="24"/>
        </w:rPr>
        <w:t xml:space="preserve">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payment by the applicable Issuing Lender under a Letter of Credit against presentation of a draft or other document that does not comply with the terms of such Letter of Credit, or (iv) any other event or circumstance whatsoever, whether or not similar to any of the foregoing, that might, but for the provisions of this </w:t>
      </w:r>
      <w:r>
        <w:rPr>
          <w:rFonts w:ascii="Times New Roman;serif" w:hAnsi="Times New Roman;serif"/>
          <w:b w:val="false"/>
          <w:color w:val="000000"/>
          <w:sz w:val="24"/>
          <w:u w:val="single"/>
        </w:rPr>
        <w:t>Section 2.02</w:t>
      </w:r>
      <w:r>
        <w:rPr>
          <w:rFonts w:ascii="Times New Roman;serif" w:hAnsi="Times New Roman;serif"/>
          <w:b w:val="false"/>
          <w:color w:val="000000"/>
          <w:sz w:val="24"/>
        </w:rPr>
        <w:t xml:space="preserve">, constitute a legal or equitable discharge of, or provide a right of setoff against, the Borrower’s obligations hereunder. Neither the Administrative Agent, the Revolving Lenders, nor the applicable Issuing Lender, nor any of their Related Parties, shall have any liability or responsibility by reason of or in connection with the issuance or transfer of any </w:t>
      </w:r>
    </w:p>
    <w:p>
      <w:pPr>
        <w:pStyle w:val="TextBody"/>
        <w:bidi w:val="0"/>
        <w:spacing w:before="0" w:after="0"/>
        <w:jc w:val="center"/>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25145"/>
                <wp:effectExtent l="0" t="0" r="0" b="0"/>
                <wp:wrapNone/>
                <wp:docPr id="93" name="Frame9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foregoing shall not be construed to excuse an Issuing Lender from liability to the Borrower to the extent of any direct damages (as opposed to consequential damages, claims in respect of which are hereby waived by the Borrower to the extent permitted by applicable law) suffered by the Borrower that are caused by such Issuing Lender’s failure to exercise care when determining whether drafts and other documents presented under a Letter of Credit comply with the terms thereof. The parties hereto expressly agree that, in the absence of gross negligence, bad faith or willful misconduct on the part of the applicable Issuing Lender (as finally determined by a court of competent jurisdiction), the applicable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lineRule="auto" w:line="288" w:before="240" w:after="283"/>
        <w:ind w:left="0" w:right="0" w:firstLine="720"/>
        <w:jc w:val="left"/>
        <w:rPr/>
      </w:pPr>
      <w:bookmarkStart w:id="26" w:name="ibcd4f9ca98594bf696964e5c09ad233c"/>
      <w:bookmarkEnd w:id="26"/>
      <w:r>
        <w:rPr>
          <w:rFonts w:ascii="Times New Roman;serif" w:hAnsi="Times New Roman;serif"/>
          <w:b w:val="false"/>
          <w:color w:val="000000"/>
          <w:sz w:val="24"/>
        </w:rPr>
        <w:t>(g)    </w:t>
      </w:r>
      <w:r>
        <w:rPr>
          <w:rFonts w:ascii="Times New Roman;serif" w:hAnsi="Times New Roman;serif"/>
          <w:b w:val="false"/>
          <w:color w:val="000000"/>
          <w:sz w:val="24"/>
          <w:u w:val="single"/>
        </w:rPr>
        <w:t>Disbursement Procedures</w:t>
      </w:r>
      <w:r>
        <w:rPr>
          <w:rFonts w:ascii="Times New Roman;serif" w:hAnsi="Times New Roman;serif"/>
          <w:b w:val="false"/>
          <w:color w:val="000000"/>
          <w:sz w:val="24"/>
        </w:rPr>
        <w:t xml:space="preserve">. The applicable Issuing Lender shall, promptly following its receipt thereof, examine all documents purporting to represent a demand for payment under a Letter of Credit. The applicable Issuing Lender shall promptly notify the Administrative Agent and the Borrower by telephone (confirmed by email) of such demand for payment, whether the applicable Issuing Lender has made or will make an LC Disbursement thereunder and the amount of such LC Disbursement;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failure to give or delay in giving such notice shall not relieve the Borrower of its obligation to reimburse the applicable Issuing Lender and the Revolving Lenders with respect to any such LC Disbursement in accordance with the terms herein.</w:t>
      </w:r>
    </w:p>
    <w:p>
      <w:pPr>
        <w:pStyle w:val="TextBody"/>
        <w:bidi w:val="0"/>
        <w:spacing w:lineRule="auto" w:line="288" w:before="240" w:after="283"/>
        <w:ind w:left="0" w:right="0" w:firstLine="720"/>
        <w:jc w:val="left"/>
        <w:rPr/>
      </w:pPr>
      <w:bookmarkStart w:id="27" w:name="i3101d3ef3ef64da8976769c4f2c2e925"/>
      <w:bookmarkEnd w:id="27"/>
      <w:r>
        <w:rPr>
          <w:rFonts w:ascii="Times New Roman;serif" w:hAnsi="Times New Roman;serif"/>
          <w:b w:val="false"/>
          <w:color w:val="000000"/>
          <w:sz w:val="24"/>
        </w:rPr>
        <w:t>(h)    </w:t>
      </w:r>
      <w:r>
        <w:rPr>
          <w:rFonts w:ascii="Times New Roman;serif" w:hAnsi="Times New Roman;serif"/>
          <w:b w:val="false"/>
          <w:color w:val="000000"/>
          <w:sz w:val="24"/>
          <w:u w:val="single"/>
        </w:rPr>
        <w:t>Interim Interest</w:t>
      </w:r>
      <w:r>
        <w:rPr>
          <w:rFonts w:ascii="Times New Roman;serif" w:hAnsi="Times New Roman;serif"/>
          <w:b w:val="false"/>
          <w:color w:val="000000"/>
          <w:sz w:val="24"/>
        </w:rPr>
        <w:t xml:space="preserve">. If the applicable Issuing Lender shall make any LC Disbursement, then, unless the Borrower shall reimburse (including by a Borrowing) such LC Disbursement in full not later than the first Business Day following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Borrower fails to reimburse (including by a Borrowing) such LC Disbursement when due pursuant to </w:t>
      </w:r>
      <w:r>
        <w:rPr>
          <w:rFonts w:ascii="Times New Roman;serif" w:hAnsi="Times New Roman;serif"/>
          <w:b w:val="false"/>
          <w:color w:val="000000"/>
          <w:sz w:val="24"/>
          <w:u w:val="single"/>
        </w:rPr>
        <w:t>Section 2.02(e)</w:t>
      </w:r>
      <w:r>
        <w:rPr>
          <w:rFonts w:ascii="Times New Roman;serif" w:hAnsi="Times New Roman;serif"/>
          <w:b w:val="false"/>
          <w:color w:val="000000"/>
          <w:sz w:val="24"/>
        </w:rPr>
        <w:t xml:space="preserve">, then </w:t>
      </w:r>
      <w:r>
        <w:rPr>
          <w:rFonts w:ascii="Times New Roman;serif" w:hAnsi="Times New Roman;serif"/>
          <w:b w:val="false"/>
          <w:color w:val="000000"/>
          <w:sz w:val="24"/>
          <w:u w:val="single"/>
        </w:rPr>
        <w:t>Section 2.08</w:t>
      </w:r>
      <w:r>
        <w:rPr>
          <w:color w:val="000000"/>
        </w:rPr>
        <w:t xml:space="preserve"> </w:t>
      </w:r>
      <w:r>
        <w:rPr>
          <w:rFonts w:ascii="Times New Roman;serif" w:hAnsi="Times New Roman;serif"/>
          <w:b w:val="false"/>
          <w:color w:val="000000"/>
          <w:sz w:val="24"/>
        </w:rPr>
        <w:t xml:space="preserve">shall apply. Interest accrued pursuant to this paragraph shall be for the account of the applicable Issuing Lender, except that interest accrued on and after the date of payment by any Revolving Lender pursuant to </w:t>
      </w:r>
      <w:r>
        <w:rPr>
          <w:rFonts w:ascii="Times New Roman;serif" w:hAnsi="Times New Roman;serif"/>
          <w:b w:val="false"/>
          <w:color w:val="000000"/>
          <w:sz w:val="24"/>
          <w:u w:val="single"/>
        </w:rPr>
        <w:t>Section 2.02(e)</w:t>
      </w:r>
      <w:r>
        <w:rPr>
          <w:color w:val="000000"/>
        </w:rPr>
        <w:t xml:space="preserve"> </w:t>
      </w:r>
      <w:r>
        <w:rPr>
          <w:rFonts w:ascii="Times New Roman;serif" w:hAnsi="Times New Roman;serif"/>
          <w:b w:val="false"/>
          <w:color w:val="000000"/>
          <w:sz w:val="24"/>
        </w:rPr>
        <w:t>to reimburse the applicable Issuing Lender shall be for the account of such Lender to the extent of such payment.</w:t>
      </w:r>
    </w:p>
    <w:p>
      <w:pPr>
        <w:pStyle w:val="TextBody"/>
        <w:bidi w:val="0"/>
        <w:spacing w:before="0" w:after="0"/>
        <w:jc w:val="center"/>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25145"/>
                <wp:effectExtent l="0" t="0" r="0" b="0"/>
                <wp:wrapNone/>
                <wp:docPr id="94" name="Frame9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28" w:name="iaed40a1b70af45bcb0f9fe32ed89f8c5"/>
      <w:bookmarkEnd w:id="28"/>
      <w:r>
        <w:rPr>
          <w:rFonts w:ascii="Times New Roman;serif" w:hAnsi="Times New Roman;serif"/>
          <w:b w:val="false"/>
          <w:color w:val="000000"/>
          <w:sz w:val="24"/>
        </w:rPr>
        <w:t>(i)    </w:t>
      </w:r>
      <w:r>
        <w:rPr>
          <w:rFonts w:ascii="Times New Roman;serif" w:hAnsi="Times New Roman;serif"/>
          <w:b w:val="false"/>
          <w:color w:val="000000"/>
          <w:sz w:val="24"/>
          <w:u w:val="single"/>
        </w:rPr>
        <w:t>Replacement or Resignation of an Issuing Lender</w:t>
      </w:r>
      <w:r>
        <w:rPr>
          <w:rFonts w:ascii="Times New Roman;serif" w:hAnsi="Times New Roman;serif"/>
          <w:b w:val="false"/>
          <w:color w:val="000000"/>
          <w:sz w:val="24"/>
        </w:rPr>
        <w:t xml:space="preserve">. Any Issuing Lender may be replaced at any time by written agreement among the Borrower, the Administrative Agent, the replaced Issuing Lender and the successor Issuing Lender.  Any Issuing Lender may resign at any time by giving 30 days’ prior written notice to the Administrative Agent and the Borrower.  The Administrative Agent shall notify the Revolving Lenders of any such replacement or resignation of the Issuing Lender.  At the time any such replacement or resignation shall become effective, the Borrower shall pay all unpaid Fees accrued for the account of the replaced or retiring Issuing Lender pursuant to </w:t>
      </w:r>
      <w:r>
        <w:rPr>
          <w:rFonts w:ascii="Times New Roman;serif" w:hAnsi="Times New Roman;serif"/>
          <w:b w:val="false"/>
          <w:color w:val="000000"/>
          <w:sz w:val="24"/>
          <w:u w:val="single"/>
        </w:rPr>
        <w:t>Section 2.21</w:t>
      </w:r>
      <w:r>
        <w:rPr>
          <w:rFonts w:ascii="Times New Roman;serif" w:hAnsi="Times New Roman;serif"/>
          <w:b w:val="false"/>
          <w:color w:val="000000"/>
          <w:sz w:val="24"/>
        </w:rPr>
        <w:t>.  From and after the effective date of any such replacement, (i) the successor Issuing Lender shall have all the rights and obligations of the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or resignation of an Issuing Lender hereunder, the replaced or retiring Issuing Lender shall remain a party hereto and shall continue to have all the rights and obligations of an Issuing Lender under this Agreement with respect to Letters of Credit issued by it prior to such replacement or resignation, but shall not be required to issue additional Letters of Credit or to extend, reinstate, or increase any existing Letter of Credit.</w:t>
      </w:r>
    </w:p>
    <w:p>
      <w:pPr>
        <w:pStyle w:val="TextBody"/>
        <w:bidi w:val="0"/>
        <w:spacing w:lineRule="auto" w:line="288" w:before="240" w:after="283"/>
        <w:ind w:left="0" w:right="0" w:firstLine="720"/>
        <w:jc w:val="left"/>
        <w:rPr/>
      </w:pPr>
      <w:bookmarkStart w:id="29" w:name="i082f9e6aaf834cd0a49af3e59d3647f1"/>
      <w:bookmarkEnd w:id="29"/>
      <w:r>
        <w:rPr>
          <w:rFonts w:ascii="Times New Roman;serif" w:hAnsi="Times New Roman;serif"/>
          <w:b w:val="false"/>
          <w:color w:val="000000"/>
          <w:sz w:val="24"/>
        </w:rPr>
        <w:t>(j)    </w:t>
      </w:r>
      <w:r>
        <w:rPr>
          <w:rFonts w:ascii="Times New Roman;serif" w:hAnsi="Times New Roman;serif"/>
          <w:b w:val="false"/>
          <w:color w:val="000000"/>
          <w:sz w:val="24"/>
          <w:u w:val="single"/>
        </w:rPr>
        <w:t>Replacement of Letters of Credit; Cash Collateralization</w:t>
      </w:r>
      <w:r>
        <w:rPr>
          <w:rFonts w:ascii="Times New Roman;serif" w:hAnsi="Times New Roman;serif"/>
          <w:b w:val="false"/>
          <w:color w:val="000000"/>
          <w:sz w:val="24"/>
        </w:rPr>
        <w:t>. The Borrower shall (i) upon or prior to the occurrence of the earlier of (A) the Revolving Facility Maturity Date with respect to all Revolving Commitments and (B) the acceleration of the Revolving Loans (if any) and the termination of the Revolving Commitments in accordance with the terms hereof, (x) cause all Letters of Credit which expire after the earlier to occur of (A) the Revolving Facility Maturity Date with respect to all Revolving Commitments and (B) the acceleration of the Revolving Loans (if any) and the termination of the Revolving Commitments in accordance with the terms hereof (the “</w:t>
      </w:r>
      <w:r>
        <w:rPr>
          <w:rFonts w:ascii="Times New Roman;serif" w:hAnsi="Times New Roman;serif"/>
          <w:b w:val="false"/>
          <w:color w:val="000000"/>
          <w:sz w:val="24"/>
          <w:u w:val="single"/>
        </w:rPr>
        <w:t>Outstanding Letters of Credit</w:t>
      </w:r>
      <w:r>
        <w:rPr>
          <w:color w:val="000000"/>
        </w:rPr>
        <w:t>”</w:t>
      </w:r>
      <w:r>
        <w:rPr>
          <w:rFonts w:ascii="Times New Roman;serif" w:hAnsi="Times New Roman;serif"/>
          <w:b w:val="false"/>
          <w:color w:val="000000"/>
          <w:sz w:val="24"/>
        </w:rPr>
        <w:t>) to be returned to the applicable Issuing Lender undrawn and marked “cancelled” or (y) if the Borrower does not do so in whole or in part either (A) provide one or more “back-to-back” letters of credit to each applicable Issuing Lender with respect to any such Outstanding Letters of Credit in a form reasonably satisfactory to each such Issuing Lender and the Administrative Agent, issued by a bank reasonably satisfactory to each such Issuing Lender and the Administrative Agent, and/or (B) deposit cash in the Letter of Credit Account, as collateral security for the Borrower’s reimbursement obligations in connection with any such Outstanding Letters of Credit, such cash (or any applicable portion thereof) to be promptly remitted to the Borrower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no Default or Event of Default has occurred and is continuing) upon the expiration, cancellation or other termination or satisfaction of the Borrower’s reimbursement obligations with respect to such Outstanding Letters of Credit, in whole or in part, in an aggregate principal amount for all such “back-to-back” letters of credit and any such Cash Collateralization equal to 102% of the then outstanding amount of all LC Exposure (less the amount, if any, on deposit in the Letter of Credit Account prior to taking any action pursuant to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above), and (ii) if required pursuant to </w:t>
      </w:r>
      <w:r>
        <w:rPr>
          <w:rFonts w:ascii="Times New Roman;serif" w:hAnsi="Times New Roman;serif"/>
          <w:b w:val="false"/>
          <w:color w:val="000000"/>
          <w:sz w:val="24"/>
          <w:u w:val="single"/>
        </w:rPr>
        <w:t>Section 2.02(m)</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2.12(c)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2.12(d)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2.12(e)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2.12(g)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2.26(d)(ii)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2.26(e)(ii)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2.26(f)</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7.01</w:t>
      </w:r>
      <w:r>
        <w:rPr>
          <w:color w:val="000000"/>
        </w:rPr>
        <w:t xml:space="preserve"> </w:t>
      </w:r>
      <w:r>
        <w:rPr>
          <w:rFonts w:ascii="Times New Roman;serif" w:hAnsi="Times New Roman;serif"/>
          <w:b w:val="false"/>
          <w:color w:val="000000"/>
          <w:sz w:val="24"/>
        </w:rPr>
        <w:t xml:space="preserve">or pursuant to any Extension Amendment, deposit in the Letter of Credit Account an amount required pursuant to </w:t>
      </w:r>
      <w:r>
        <w:rPr>
          <w:rFonts w:ascii="Times New Roman;serif" w:hAnsi="Times New Roman;serif"/>
          <w:b w:val="false"/>
          <w:color w:val="000000"/>
          <w:sz w:val="24"/>
          <w:u w:val="single"/>
        </w:rPr>
        <w:t>Section 2.02(m)</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2.12(c)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2.12(d)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2.12(e)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2.12(g)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2.26(d)(ii)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2.26(e)(ii)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2.26(f)</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7.01</w:t>
      </w:r>
      <w:r>
        <w:rPr>
          <w:rFonts w:ascii="Times New Roman;serif" w:hAnsi="Times New Roman;serif"/>
          <w:b w:val="false"/>
          <w:color w:val="000000"/>
          <w:sz w:val="24"/>
        </w:rPr>
        <w:t xml:space="preserve">, or pursuant to any such Extension Amendment, as applicable (any such deposit or provision of “back-to-back” letters of credit described in the preceding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clause (ii)</w:t>
      </w:r>
      <w:r>
        <w:rPr>
          <w:rFonts w:ascii="Times New Roman;serif" w:hAnsi="Times New Roman;serif"/>
          <w:b w:val="false"/>
          <w:color w:val="000000"/>
          <w:sz w:val="24"/>
        </w:rPr>
        <w:t>, “</w:t>
      </w:r>
      <w:r>
        <w:rPr>
          <w:rFonts w:ascii="Times New Roman;serif" w:hAnsi="Times New Roman;serif"/>
          <w:b w:val="false"/>
          <w:color w:val="000000"/>
          <w:sz w:val="24"/>
          <w:u w:val="single"/>
        </w:rPr>
        <w:t xml:space="preserve">Cash </w:t>
      </w:r>
    </w:p>
    <w:p>
      <w:pPr>
        <w:pStyle w:val="TextBody"/>
        <w:bidi w:val="0"/>
        <w:spacing w:before="0" w:after="0"/>
        <w:jc w:val="center"/>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25145"/>
                <wp:effectExtent l="0" t="0" r="0" b="0"/>
                <wp:wrapNone/>
                <wp:docPr id="95" name="Frame9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u w:val="single"/>
        </w:rPr>
        <w:t>Collateralization</w:t>
      </w:r>
      <w:r>
        <w:rPr>
          <w:color w:val="000000"/>
        </w:rPr>
        <w:t xml:space="preserve">” </w:t>
      </w:r>
      <w:r>
        <w:rPr>
          <w:rFonts w:ascii="Times New Roman;serif" w:hAnsi="Times New Roman;serif"/>
          <w:b w:val="false"/>
          <w:color w:val="000000"/>
          <w:sz w:val="24"/>
        </w:rPr>
        <w:t>(it being understood that any LC Exposure shall be deemed to be “</w:t>
      </w:r>
      <w:r>
        <w:rPr>
          <w:rFonts w:ascii="Times New Roman;serif" w:hAnsi="Times New Roman;serif"/>
          <w:b w:val="false"/>
          <w:color w:val="000000"/>
          <w:sz w:val="24"/>
          <w:u w:val="single"/>
        </w:rPr>
        <w:t>Cash Collateralized</w:t>
      </w:r>
      <w:r>
        <w:rPr>
          <w:color w:val="000000"/>
        </w:rPr>
        <w:t xml:space="preserve">” </w:t>
      </w:r>
      <w:r>
        <w:rPr>
          <w:rFonts w:ascii="Times New Roman;serif" w:hAnsi="Times New Roman;serif"/>
          <w:b w:val="false"/>
          <w:color w:val="000000"/>
          <w:sz w:val="24"/>
        </w:rPr>
        <w:t xml:space="preserve">only to the extent a deposit or provision of “back-to-back” letters of credit as described above is made in an amount equal to 102% of the amount of such LC Exposure)). The Administrative Agent shall have exclusive dominion and control, including the exclusive right of withdrawal, over the Letter of Credit Account. Other than any interest earned on the investment of such deposits, which investments shall be made at the option and sole discretion of the Administrative Agent (in accordance with its usual and customary practices for investments of this type) and at the Borrower’s risk and reasonable expense, such deposits shall not bear interest. Interest or profits, if any, on such investments shall accumulate in such account and shall be paid to the Borrower on its request provided no Default or Event of Default has occurred and is continuing. Moneys in such account shall be applied by the Administrative Agent to reimburse the applicable Issuing Lender for LC Disbursements for which it has not been reimbursed and, to the extent not so applied, shall be held for the satisfaction of the reimbursement obligations of the Borrower for the LC Exposure at such time. If the Borrower is required to provide Cash Collateralization hereunder pursuant to </w:t>
      </w:r>
      <w:r>
        <w:rPr>
          <w:rFonts w:ascii="Times New Roman;serif" w:hAnsi="Times New Roman;serif"/>
          <w:b w:val="false"/>
          <w:color w:val="000000"/>
          <w:sz w:val="24"/>
          <w:u w:val="single"/>
        </w:rPr>
        <w:t>Section 2.02(m)</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2.12(c)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2.12(d)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2.12(e)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2.12(g)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2.26(d)(ii)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2.26(e)(ii)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2.26(f)</w:t>
      </w:r>
      <w:r>
        <w:rPr>
          <w:rFonts w:ascii="Times New Roman;serif" w:hAnsi="Times New Roman;serif"/>
          <w:b w:val="false"/>
          <w:color w:val="000000"/>
          <w:sz w:val="24"/>
        </w:rPr>
        <w:t>, or the terms of any Extension Amendment, such Cash Collateralization (to the extent not applied as contemplated by the applicable section) shall be returned to the Borrower within three (3) Business Days after the applicable section (or Extension Amendment) no longer requires the provision of such Cash Collateralization.</w:t>
      </w:r>
    </w:p>
    <w:p>
      <w:pPr>
        <w:pStyle w:val="TextBody"/>
        <w:bidi w:val="0"/>
        <w:spacing w:lineRule="auto" w:line="288" w:before="240" w:after="283"/>
        <w:ind w:left="0" w:right="0" w:firstLine="720"/>
        <w:jc w:val="left"/>
        <w:rPr/>
      </w:pPr>
      <w:bookmarkStart w:id="30" w:name="i3ef0e7315b71407b92fbafaa026cae7c"/>
      <w:bookmarkEnd w:id="30"/>
      <w:r>
        <w:rPr>
          <w:rFonts w:ascii="Times New Roman;serif" w:hAnsi="Times New Roman;serif"/>
          <w:b w:val="false"/>
          <w:color w:val="000000"/>
          <w:sz w:val="24"/>
        </w:rPr>
        <w:t>(k)    </w:t>
      </w:r>
      <w:r>
        <w:rPr>
          <w:rFonts w:ascii="Times New Roman;serif" w:hAnsi="Times New Roman;serif"/>
          <w:b w:val="false"/>
          <w:color w:val="000000"/>
          <w:sz w:val="24"/>
          <w:u w:val="single"/>
        </w:rPr>
        <w:t>Issuing Lender Agreements</w:t>
      </w:r>
      <w:r>
        <w:rPr>
          <w:rFonts w:ascii="Times New Roman;serif" w:hAnsi="Times New Roman;serif"/>
          <w:b w:val="false"/>
          <w:color w:val="000000"/>
          <w:sz w:val="24"/>
        </w:rPr>
        <w:t xml:space="preserve">. Unless otherwise requested by the Administrative Agent, each Issuing Lender shall report in writing to the Administrative Agent (i) on the first Business Day of each month, the daily activity (set forth by day) in respect of Letters of Credit during the immediately preceding month, including all issuances, extensions, amendments and renewals, all expirations and cancellations and all disbursements and reimbursements, (ii) on or prior to each Business Day on which such Issuing Lender expects to issue, amend, renew or extend any Letter of Credit, the date of such issuance, amendment, renewal or extension, the aggregate face amount of the Letters of Credit to be issued, amended, renewed, or extended by it (and whether, subject to </w:t>
      </w:r>
      <w:r>
        <w:rPr>
          <w:rFonts w:ascii="Times New Roman;serif" w:hAnsi="Times New Roman;serif"/>
          <w:b w:val="false"/>
          <w:color w:val="000000"/>
          <w:sz w:val="24"/>
          <w:u w:val="single"/>
        </w:rPr>
        <w:t>Section 2.02(b)</w:t>
      </w:r>
      <w:r>
        <w:rPr>
          <w:rFonts w:ascii="Times New Roman;serif" w:hAnsi="Times New Roman;serif"/>
          <w:b w:val="false"/>
          <w:color w:val="000000"/>
          <w:sz w:val="24"/>
        </w:rPr>
        <w:t>, the face amount of any such Letter of Credit was changed thereby) and the aggregate face amount of such Letters of Credit outstanding after giving effect to such issuance, amendment, renewal or extension, (iii) on each Business Day on which such Issuing Lender makes any LC Disbursement, the date of such LC Disbursement and the amount of such LC Disbursement, (iv) on any Business Day on which the Borrower fails to reimburse an LC Disbursement required to be reimbursed to such Issuing Lender on such day, the date of such failure, and the amount of such LC Disbursement and (v) on any other Business Day, such other information as the Administrative Agent shall reasonably request.</w:t>
      </w:r>
    </w:p>
    <w:p>
      <w:pPr>
        <w:pStyle w:val="TextBody"/>
        <w:bidi w:val="0"/>
        <w:spacing w:lineRule="auto" w:line="288" w:before="240" w:after="283"/>
        <w:ind w:left="0" w:right="0" w:firstLine="720"/>
        <w:jc w:val="left"/>
        <w:rPr/>
      </w:pPr>
      <w:bookmarkStart w:id="31" w:name="i4729ac67db0d4d7aa7177735d0b0dc46"/>
      <w:bookmarkEnd w:id="31"/>
      <w:r>
        <w:rPr>
          <w:rFonts w:ascii="Times New Roman;serif" w:hAnsi="Times New Roman;serif"/>
          <w:b w:val="false"/>
          <w:color w:val="000000"/>
          <w:sz w:val="24"/>
        </w:rPr>
        <w:t>(l)    [</w:t>
      </w:r>
      <w:r>
        <w:rPr>
          <w:rFonts w:ascii="Times New Roman;serif" w:hAnsi="Times New Roman;serif"/>
          <w:b w:val="false"/>
          <w:color w:val="000000"/>
          <w:sz w:val="24"/>
          <w:u w:val="single"/>
        </w:rPr>
        <w:t>Intentionally Omitted</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32" w:name="i59014dac293645bc8acece8204a56d70"/>
      <w:bookmarkEnd w:id="32"/>
      <w:r>
        <w:rPr>
          <w:rFonts w:ascii="Times New Roman;serif" w:hAnsi="Times New Roman;serif"/>
          <w:b w:val="false"/>
          <w:color w:val="000000"/>
          <w:sz w:val="24"/>
        </w:rPr>
        <w:t>(m)    </w:t>
      </w:r>
      <w:r>
        <w:rPr>
          <w:rFonts w:ascii="Times New Roman;serif" w:hAnsi="Times New Roman;serif"/>
          <w:b w:val="false"/>
          <w:color w:val="000000"/>
          <w:sz w:val="24"/>
          <w:u w:val="single"/>
        </w:rPr>
        <w:t>Provisions Related to Extended Revolving Commitments</w:t>
      </w:r>
      <w:r>
        <w:rPr>
          <w:rFonts w:ascii="Times New Roman;serif" w:hAnsi="Times New Roman;serif"/>
          <w:b w:val="false"/>
          <w:color w:val="000000"/>
          <w:sz w:val="24"/>
        </w:rPr>
        <w:t xml:space="preserve">. If the maturity date in respect of any tranche of Revolving Commitments occurs prior to the expiration of any Letter of Credit with respect to which Lenders holding such Revolving Commitments hold participation interests, then (i) if one or more other tranches of Revolving Commitments in respect of which the maturity date shall not have occurred are then in effect, such Letters of Credit shall </w:t>
      </w:r>
    </w:p>
    <w:p>
      <w:pPr>
        <w:pStyle w:val="TextBody"/>
        <w:bidi w:val="0"/>
        <w:spacing w:before="0" w:after="0"/>
        <w:jc w:val="center"/>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25145"/>
                <wp:effectExtent l="0" t="0" r="0" b="0"/>
                <wp:wrapNone/>
                <wp:docPr id="96" name="Frame9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automatically be deemed to have been issued (including for purposes of the obligations of the Revolving Lenders to purchase participations therein and to make payments in respect thereof pursuant to </w:t>
      </w:r>
      <w:r>
        <w:rPr>
          <w:rFonts w:ascii="Times New Roman;serif" w:hAnsi="Times New Roman;serif"/>
          <w:b w:val="false"/>
          <w:color w:val="000000"/>
          <w:sz w:val="24"/>
          <w:u w:val="single"/>
        </w:rPr>
        <w:t>Section 2.02(d)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and for any reallocations required pursuant to </w:t>
      </w:r>
      <w:r>
        <w:rPr>
          <w:rFonts w:ascii="Times New Roman;serif" w:hAnsi="Times New Roman;serif"/>
          <w:b w:val="false"/>
          <w:color w:val="000000"/>
          <w:sz w:val="24"/>
          <w:u w:val="single"/>
        </w:rPr>
        <w:t>Section 2.26(d)(i)</w:t>
      </w:r>
      <w:r>
        <w:rPr>
          <w:rFonts w:ascii="Times New Roman;serif" w:hAnsi="Times New Roman;serif"/>
          <w:b w:val="false"/>
          <w:color w:val="000000"/>
          <w:sz w:val="24"/>
        </w:rPr>
        <w:t xml:space="preserve">) under (and ratably participated in by Revolving Lenders pursuant to) the Revolving Commitments in respect of such non-terminating tranches up to an aggregate amount not to exceed the aggregate principal amount of the unutilized Revolving Commitments thereunder at such time (it being understood that no partial face amount of any Letter of Credit may be so reallocated) and (ii) to the extent not reallocated pursuant to the immediately preceding clause (i), the Borrower shall Cash Collateralize any such Letter of Credit in accordance with </w:t>
      </w:r>
      <w:r>
        <w:rPr>
          <w:rFonts w:ascii="Times New Roman;serif" w:hAnsi="Times New Roman;serif"/>
          <w:b w:val="false"/>
          <w:color w:val="000000"/>
          <w:sz w:val="24"/>
          <w:u w:val="single"/>
        </w:rPr>
        <w:t>Section 2.02(j)</w:t>
      </w:r>
      <w:r>
        <w:rPr>
          <w:rFonts w:ascii="Times New Roman;serif" w:hAnsi="Times New Roman;serif"/>
          <w:b w:val="false"/>
          <w:color w:val="000000"/>
          <w:sz w:val="24"/>
        </w:rPr>
        <w:t>. For the avoidance of doubt, commencing with the maturity date of any tranche of Revolving Commitments, the sublimit for Letters of Credit under any tranche of Revolving Commitments that has not so then matured shall be as agreed in the relevant Extension Amendment with such Revolving Lenders (to the extent such Extension Amendment so provides).</w:t>
      </w:r>
    </w:p>
    <w:p>
      <w:pPr>
        <w:pStyle w:val="TextBody"/>
        <w:bidi w:val="0"/>
        <w:spacing w:lineRule="auto" w:line="288" w:before="240" w:after="283"/>
        <w:ind w:left="0" w:right="0" w:firstLine="720"/>
        <w:jc w:val="left"/>
        <w:rPr/>
      </w:pPr>
      <w:bookmarkStart w:id="33" w:name="i7f9a508d199148e7ae26ad6d11c2cd86"/>
      <w:bookmarkEnd w:id="33"/>
      <w:r>
        <w:rPr>
          <w:rFonts w:ascii="Times New Roman;serif" w:hAnsi="Times New Roman;serif"/>
          <w:b w:val="false"/>
          <w:color w:val="000000"/>
          <w:sz w:val="24"/>
        </w:rPr>
        <w:t>Section 2.03.    </w:t>
      </w:r>
      <w:r>
        <w:rPr>
          <w:rFonts w:ascii="Times New Roman;serif" w:hAnsi="Times New Roman;serif"/>
          <w:b w:val="false"/>
          <w:color w:val="000000"/>
          <w:sz w:val="24"/>
          <w:u w:val="single"/>
        </w:rPr>
        <w:t>Requests for Loans</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left"/>
        <w:rPr/>
      </w:pPr>
      <w:bookmarkStart w:id="34" w:name="i6f2478ede8e94590b6b8b81fe8bae6ca"/>
      <w:bookmarkEnd w:id="34"/>
      <w:r>
        <w:rPr>
          <w:rFonts w:ascii="Times New Roman;serif" w:hAnsi="Times New Roman;serif"/>
          <w:b w:val="false"/>
          <w:color w:val="000000"/>
          <w:sz w:val="24"/>
        </w:rPr>
        <w:t xml:space="preserve">(a)    Unless otherwise agreed to by the Administrative Agent in connection with making the initial Revolving Loans, to request a Revolving Loan, the Borrower shall notify the Administrative Agent of such request in writing (A) in the case of a Term Benchmark Loan, not later than 2:00 p.m., New York City time, three (3) Business Days before the date of the proposed Loan and (B) in the case of an ABR Loan, not later than 11:00 a.m., New York City time, on the date of the proposed Loan. Each Loan Request shall specify the following information in compliance with </w:t>
      </w:r>
      <w:r>
        <w:rPr>
          <w:rFonts w:ascii="Times New Roman;serif" w:hAnsi="Times New Roman;serif"/>
          <w:b w:val="false"/>
          <w:color w:val="000000"/>
          <w:sz w:val="24"/>
          <w:u w:val="single"/>
        </w:rPr>
        <w:t>Section 2.01(a)</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35" w:name="i017b48512dc3461f91e25e3a6269bcb8"/>
      <w:bookmarkEnd w:id="35"/>
      <w:r>
        <w:rPr>
          <w:rFonts w:ascii="Times New Roman;serif" w:hAnsi="Times New Roman;serif"/>
          <w:b w:val="false"/>
          <w:color w:val="000000"/>
          <w:sz w:val="24"/>
        </w:rPr>
        <w:t xml:space="preserve">(i)    the aggregate amount of the requested Loan (which shall comply with </w:t>
      </w:r>
      <w:r>
        <w:rPr>
          <w:rFonts w:ascii="Times New Roman;serif" w:hAnsi="Times New Roman;serif"/>
          <w:b w:val="false"/>
          <w:color w:val="000000"/>
          <w:sz w:val="24"/>
          <w:u w:val="single"/>
        </w:rPr>
        <w:t>Section 2.01(d)</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6" w:name="i5b894ea03f10411ba0fac3f1d0052b36"/>
      <w:bookmarkEnd w:id="36"/>
      <w:r>
        <w:rPr>
          <w:rFonts w:ascii="Times New Roman;serif" w:hAnsi="Times New Roman;serif"/>
          <w:b w:val="false"/>
          <w:color w:val="000000"/>
          <w:sz w:val="24"/>
        </w:rPr>
        <w:t>(ii)    the date of such Loan, which shall be a Business Day;</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7" w:name="i620d91b45a4b45f9a553cd938af0a4c4"/>
      <w:bookmarkEnd w:id="37"/>
      <w:r>
        <w:rPr>
          <w:rFonts w:ascii="Times New Roman;serif" w:hAnsi="Times New Roman;serif"/>
          <w:b w:val="false"/>
          <w:color w:val="000000"/>
          <w:sz w:val="24"/>
        </w:rPr>
        <w:t>(iii)    whether such Loan is to be an ABR Loan or a Term Benchmark Loan; and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8" w:name="i13eac2cadd284dc78f46bf581f32e28b"/>
      <w:bookmarkEnd w:id="38"/>
      <w:r>
        <w:rPr>
          <w:rFonts w:ascii="Times New Roman;serif" w:hAnsi="Times New Roman;serif"/>
          <w:b w:val="false"/>
          <w:color w:val="000000"/>
          <w:sz w:val="24"/>
        </w:rPr>
        <w:t>(iv)    in the case of a Term Benchmark Loan, the initial Interest Period to be applicable thereto, which shall be a period contemplated by the definition of the term “Interest Period”.</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If no election as to the Type of Loan is specified, then the requested Loan shall be an ABR Loan. If no Interest Period is specified with respect to any requested Term Benchmark Loan, then the Borrower shall be deemed to have selected an Interest Period of one month’s duration. </w:t>
      </w:r>
    </w:p>
    <w:p>
      <w:pPr>
        <w:pStyle w:val="TextBody"/>
        <w:bidi w:val="0"/>
        <w:spacing w:lineRule="auto" w:line="288" w:before="240" w:after="283"/>
        <w:ind w:left="0" w:right="0" w:firstLine="720"/>
        <w:jc w:val="left"/>
        <w:rPr/>
      </w:pPr>
      <w:bookmarkStart w:id="39" w:name="ie52d15c50dc9489b95ad5fbfffb2f026"/>
      <w:bookmarkEnd w:id="39"/>
      <w:r>
        <w:rPr>
          <w:rFonts w:ascii="Times New Roman;serif" w:hAnsi="Times New Roman;serif"/>
          <w:b w:val="false"/>
          <w:color w:val="000000"/>
          <w:sz w:val="24"/>
        </w:rPr>
        <w:t xml:space="preserve">(b)    Promptly following receipt of a Loan Request in accordance with this </w:t>
      </w:r>
      <w:r>
        <w:rPr>
          <w:rFonts w:ascii="Times New Roman;serif" w:hAnsi="Times New Roman;serif"/>
          <w:b w:val="false"/>
          <w:color w:val="000000"/>
          <w:sz w:val="24"/>
          <w:u w:val="single"/>
        </w:rPr>
        <w:t>Section 2.03</w:t>
      </w:r>
      <w:r>
        <w:rPr>
          <w:rFonts w:ascii="Times New Roman;serif" w:hAnsi="Times New Roman;serif"/>
          <w:b w:val="false"/>
          <w:color w:val="000000"/>
          <w:sz w:val="24"/>
        </w:rPr>
        <w:t>, the Administrative Agent shall advise each Revolving Lender of the details thereof and of the amount of such Revolving Lender’s Loan to be made as part of the requested Loan.</w:t>
      </w:r>
    </w:p>
    <w:p>
      <w:pPr>
        <w:pStyle w:val="TextBody"/>
        <w:bidi w:val="0"/>
        <w:spacing w:lineRule="auto" w:line="288" w:before="240" w:after="283"/>
        <w:ind w:left="0" w:right="0" w:firstLine="720"/>
        <w:jc w:val="left"/>
        <w:rPr/>
      </w:pPr>
      <w:bookmarkStart w:id="40" w:name="i56e9239fb7424a7c81887afb5a6230ac"/>
      <w:bookmarkEnd w:id="40"/>
      <w:r>
        <w:rPr>
          <w:rFonts w:ascii="Times New Roman;serif" w:hAnsi="Times New Roman;serif"/>
          <w:b w:val="false"/>
          <w:color w:val="000000"/>
          <w:sz w:val="24"/>
        </w:rPr>
        <w:t>Section 2.04.    </w:t>
      </w:r>
      <w:r>
        <w:rPr>
          <w:rFonts w:ascii="Times New Roman;serif" w:hAnsi="Times New Roman;serif"/>
          <w:b w:val="false"/>
          <w:color w:val="000000"/>
          <w:sz w:val="24"/>
          <w:u w:val="single"/>
        </w:rPr>
        <w:t>Funding of Loans</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25145"/>
                <wp:effectExtent l="0" t="0" r="0" b="0"/>
                <wp:wrapNone/>
                <wp:docPr id="97" name="Frame9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(a)    Each Revolving Lender shall make each Revolving Loan to be made by it hereunder on the proposed date thereof by wire transfer of immediately available funds by 12:00 p.m.,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ABR Loans made to finance the reimbursement of an LC Disbursement as provided in </w:t>
      </w:r>
      <w:r>
        <w:rPr>
          <w:rFonts w:ascii="Times New Roman;serif" w:hAnsi="Times New Roman;serif"/>
          <w:b w:val="false"/>
          <w:color w:val="000000"/>
          <w:sz w:val="24"/>
          <w:u w:val="single"/>
        </w:rPr>
        <w:t>Section 2.02(e)</w:t>
      </w:r>
      <w:r>
        <w:rPr>
          <w:color w:val="000000"/>
        </w:rPr>
        <w:t xml:space="preserve"> </w:t>
      </w:r>
      <w:r>
        <w:rPr>
          <w:rFonts w:ascii="Times New Roman;serif" w:hAnsi="Times New Roman;serif"/>
          <w:b w:val="false"/>
          <w:color w:val="000000"/>
          <w:sz w:val="24"/>
        </w:rPr>
        <w:t>shall be remitted by the Administrative Agent to the Issuing Lender.</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[Intentionally Omitted.]</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(c)    Unless the Administrative Agent shall have received notice from a Lender prior to the proposed date of any Loan (or, with respect to any ABR Loan made on same-day notice, prior to 11:00 a.m., New York City time, on the date of such Loan) that such Lender will not make available to the Administrative Agent such Lender’s share of such Loan, the Administrative Agent may assume that such Lender has made such share available on such date in accordance with </w:t>
      </w:r>
      <w:r>
        <w:rPr>
          <w:rFonts w:ascii="Times New Roman;serif" w:hAnsi="Times New Roman;serif"/>
          <w:b w:val="false"/>
          <w:color w:val="000000"/>
          <w:sz w:val="24"/>
          <w:u w:val="single"/>
        </w:rPr>
        <w:t>paragraph (a)</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2.04</w:t>
      </w:r>
      <w:r>
        <w:rPr>
          <w:color w:val="000000"/>
        </w:rPr>
        <w:t xml:space="preserve"> </w:t>
      </w:r>
      <w:r>
        <w:rPr>
          <w:rFonts w:ascii="Times New Roman;serif" w:hAnsi="Times New Roman;serif"/>
          <w:b w:val="false"/>
          <w:color w:val="000000"/>
          <w:sz w:val="24"/>
        </w:rPr>
        <w:t>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upon written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otherwise applicable to such Loan. If such Lender pays such amount to the Administrative Agent, then (x) such amount shall constitute such Lender’s Loan included in such Loan and the Borrower shall not be obligated to repay such amount pursuant to the preceding sentence if not previously repaid and (y) if such amount was previously repaid by the Borrower, the Administrative Agent shall promptly make a corresponding amount available to the Borrower.</w:t>
      </w:r>
    </w:p>
    <w:p>
      <w:pPr>
        <w:pStyle w:val="TextBody"/>
        <w:bidi w:val="0"/>
        <w:spacing w:lineRule="auto" w:line="288" w:before="240" w:after="283"/>
        <w:ind w:left="0" w:right="0" w:firstLine="720"/>
        <w:jc w:val="left"/>
        <w:rPr/>
      </w:pPr>
      <w:bookmarkStart w:id="41" w:name="i80eb9bb3799649c6886a4d8388c8c371"/>
      <w:bookmarkEnd w:id="41"/>
      <w:r>
        <w:rPr>
          <w:rFonts w:ascii="Times New Roman;serif" w:hAnsi="Times New Roman;serif"/>
          <w:b w:val="false"/>
          <w:color w:val="000000"/>
          <w:sz w:val="24"/>
        </w:rPr>
        <w:t>Section 2.05.    </w:t>
      </w:r>
      <w:r>
        <w:rPr>
          <w:rFonts w:ascii="Times New Roman;serif" w:hAnsi="Times New Roman;serif"/>
          <w:b w:val="false"/>
          <w:color w:val="000000"/>
          <w:sz w:val="24"/>
          <w:u w:val="single"/>
        </w:rPr>
        <w:t>Interest Elections</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2" w:name="i379c9f1dee5d41cdaa144cbb6bc0e8d3"/>
      <w:bookmarkEnd w:id="42"/>
      <w:r>
        <w:rPr>
          <w:rFonts w:ascii="Times New Roman;serif" w:hAnsi="Times New Roman;serif"/>
          <w:b w:val="false"/>
          <w:color w:val="000000"/>
          <w:sz w:val="24"/>
        </w:rPr>
        <w:t>(a)    The Borrower may elect from time to time to (i) convert ABR Loans to Term Benchmark Loans, (ii) convert Term Benchmark Loans to ABR Loans, provided that any such conversion of Term Benchmark Loans may be made only on the last day of an Interest Period with respect thereto or (iii) continue any Term Benchmark Loan as such upon the expiration of the then current Interest Period with respect thereto.</w:t>
      </w:r>
    </w:p>
    <w:p>
      <w:pPr>
        <w:pStyle w:val="TextBody"/>
        <w:bidi w:val="0"/>
        <w:spacing w:lineRule="auto" w:line="288" w:before="240" w:after="283"/>
        <w:ind w:left="0" w:right="0" w:firstLine="720"/>
        <w:jc w:val="left"/>
        <w:rPr/>
      </w:pPr>
      <w:bookmarkStart w:id="43" w:name="i4654ce97686b44a6a62525490eecb81a"/>
      <w:bookmarkEnd w:id="43"/>
      <w:r>
        <w:rPr>
          <w:rFonts w:ascii="Times New Roman;serif" w:hAnsi="Times New Roman;serif"/>
          <w:b w:val="false"/>
          <w:color w:val="000000"/>
          <w:sz w:val="24"/>
        </w:rPr>
        <w:t xml:space="preserve">(b)    To make an Interest Election Request pursuant to this </w:t>
      </w:r>
      <w:r>
        <w:rPr>
          <w:rFonts w:ascii="Times New Roman;serif" w:hAnsi="Times New Roman;serif"/>
          <w:b w:val="false"/>
          <w:color w:val="000000"/>
          <w:sz w:val="24"/>
          <w:u w:val="single"/>
        </w:rPr>
        <w:t>Section 2.05</w:t>
      </w:r>
      <w:r>
        <w:rPr>
          <w:rFonts w:ascii="Times New Roman;serif" w:hAnsi="Times New Roman;serif"/>
          <w:b w:val="false"/>
          <w:color w:val="000000"/>
          <w:sz w:val="24"/>
        </w:rPr>
        <w:t xml:space="preserve">, the Borrower shall notify the Administrative Agent of such election by hand delivery or by electronic mail of a written Interest Election Request by the time that the Loan Request would be required under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 xml:space="preserve">if the Borrower were requesting a Loan of the Type resulting from such election to be made on the effective date of such election, provided that the initial Interest Election Request </w:t>
      </w:r>
    </w:p>
    <w:p>
      <w:pPr>
        <w:pStyle w:val="TextBody"/>
        <w:bidi w:val="0"/>
        <w:spacing w:before="0" w:after="0"/>
        <w:jc w:val="center"/>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25145"/>
                <wp:effectExtent l="0" t="0" r="0" b="0"/>
                <wp:wrapNone/>
                <wp:docPr id="98" name="Frame9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may be incorporated into the Loan Request on the Closing Date. Each such Interest Election Request shall be irrevocable.</w:t>
      </w:r>
    </w:p>
    <w:p>
      <w:pPr>
        <w:pStyle w:val="TextBody"/>
        <w:bidi w:val="0"/>
        <w:spacing w:lineRule="auto" w:line="288" w:before="240" w:after="283"/>
        <w:ind w:left="0" w:right="0" w:firstLine="720"/>
        <w:jc w:val="left"/>
        <w:rPr/>
      </w:pPr>
      <w:bookmarkStart w:id="44" w:name="i7c60e37cdecd4754be11b8478db3d24b"/>
      <w:bookmarkEnd w:id="44"/>
      <w:r>
        <w:rPr>
          <w:rFonts w:ascii="Times New Roman;serif" w:hAnsi="Times New Roman;serif"/>
          <w:b w:val="false"/>
          <w:color w:val="000000"/>
          <w:sz w:val="24"/>
        </w:rPr>
        <w:t xml:space="preserve">(c)    Each telephonic and written Interest Election Request shall specify the following information in compliance with </w:t>
      </w:r>
      <w:r>
        <w:rPr>
          <w:rFonts w:ascii="Times New Roman;serif" w:hAnsi="Times New Roman;serif"/>
          <w:b w:val="false"/>
          <w:color w:val="000000"/>
          <w:sz w:val="24"/>
          <w:u w:val="single"/>
        </w:rPr>
        <w:t>Section 2.01</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45" w:name="i07323ff1b1024f628eeb21932738182d"/>
      <w:bookmarkEnd w:id="45"/>
      <w:r>
        <w:rPr>
          <w:rFonts w:ascii="Times New Roman;serif" w:hAnsi="Times New Roman;serif"/>
          <w:b w:val="false"/>
          <w:color w:val="000000"/>
          <w:sz w:val="24"/>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serif" w:hAnsi="Times New Roman;serif"/>
          <w:b w:val="false"/>
          <w:color w:val="000000"/>
          <w:sz w:val="24"/>
          <w:u w:val="single"/>
        </w:rPr>
        <w:t>clauses (iii)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(iv)</w:t>
      </w:r>
      <w:r>
        <w:rPr>
          <w:color w:val="000000"/>
        </w:rPr>
        <w:t xml:space="preserve"> </w:t>
      </w:r>
      <w:r>
        <w:rPr>
          <w:rFonts w:ascii="Times New Roman;serif" w:hAnsi="Times New Roman;serif"/>
          <w:b w:val="false"/>
          <w:color w:val="000000"/>
          <w:sz w:val="24"/>
        </w:rPr>
        <w:t>below shall be specified for each resulting Borrowing);</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6" w:name="i4b2323d131b44f36b9751d41c99801e9"/>
      <w:bookmarkEnd w:id="46"/>
      <w:r>
        <w:rPr>
          <w:rFonts w:ascii="Times New Roman;serif" w:hAnsi="Times New Roman;serif"/>
          <w:b w:val="false"/>
          <w:color w:val="000000"/>
          <w:sz w:val="24"/>
        </w:rPr>
        <w:t>(ii)    the effective date of the election made pursuant to such Interest Election Request, which shall be a Business Day;</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7" w:name="i77de2de2ca76415bb50a404e784130bc"/>
      <w:bookmarkEnd w:id="47"/>
      <w:r>
        <w:rPr>
          <w:rFonts w:ascii="Times New Roman;serif" w:hAnsi="Times New Roman;serif"/>
          <w:b w:val="false"/>
          <w:color w:val="000000"/>
          <w:sz w:val="24"/>
        </w:rPr>
        <w:t>(iii)    whether the resulting Borrowing is to be an ABR Borrowing or a Term Benchmark Borrowing; and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8" w:name="i8e92bc89f692471a81bbe627ab7a4d77"/>
      <w:bookmarkEnd w:id="48"/>
      <w:r>
        <w:rPr>
          <w:rFonts w:ascii="Times New Roman;serif" w:hAnsi="Times New Roman;serif"/>
          <w:b w:val="false"/>
          <w:color w:val="000000"/>
          <w:sz w:val="24"/>
        </w:rPr>
        <w:t>(iv)    if the resulting Borrowing is a Term Benchmark Borrowing, the Interest Period to be applicable thereto after giving effect to such election, which shall be a period contemplated by the definition of the term “Interest Period”.</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If any such Interest Election Request requests a Term Benchmark Borrowing but does not specify an Interest Period, then the Borrower shall be deemed to have selected an Interest Period of one month’s duration.</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9" w:name="id2d8938d993d42239923a312d54b60cd"/>
      <w:bookmarkEnd w:id="49"/>
      <w:r>
        <w:rPr>
          <w:rFonts w:ascii="Times New Roman;serif" w:hAnsi="Times New Roman;serif"/>
          <w:b w:val="false"/>
          <w:color w:val="000000"/>
          <w:sz w:val="24"/>
        </w:rPr>
        <w:t>(d)    Promptly following receipt of an Interest Election Request, the Administrative Agent shall advise each Lender of the details thereof and of such Lender’s portion of each resulting Borrowing.</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50" w:name="ied93265e56184b7b97acb6ae3470a9c7"/>
      <w:bookmarkEnd w:id="50"/>
      <w:r>
        <w:rPr>
          <w:rFonts w:ascii="Times New Roman;serif" w:hAnsi="Times New Roman;serif"/>
          <w:b w:val="false"/>
          <w:color w:val="000000"/>
          <w:sz w:val="24"/>
        </w:rPr>
        <w:t>(e)    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 one month Term Benchmark Borrowing. Notwithstanding any contrary provision hereof, if an Event of Default has occurred and is continuing, and upon the request of the Required Lenders, (i) no outstanding Borrowing may be converted to or continued as a Term Benchmark Borrowing and (ii) unless repaid, each Term Benchmark Borrowing shall be converted to an ABR Borrowing at the end of the Interest Period applicable thereto.</w:t>
      </w:r>
    </w:p>
    <w:p>
      <w:pPr>
        <w:pStyle w:val="TextBody"/>
        <w:bidi w:val="0"/>
        <w:spacing w:lineRule="auto" w:line="288" w:before="240" w:after="283"/>
        <w:ind w:left="0" w:right="0" w:firstLine="720"/>
        <w:jc w:val="left"/>
        <w:rPr/>
      </w:pPr>
      <w:bookmarkStart w:id="51" w:name="ib69fa41683144b8fa3c64c60c2dcf9f6"/>
      <w:bookmarkEnd w:id="51"/>
      <w:r>
        <w:rPr>
          <w:rFonts w:ascii="Times New Roman;serif" w:hAnsi="Times New Roman;serif"/>
          <w:b w:val="false"/>
          <w:color w:val="000000"/>
          <w:sz w:val="24"/>
        </w:rPr>
        <w:t>Section 2.06.    </w:t>
      </w:r>
      <w:r>
        <w:rPr>
          <w:rFonts w:ascii="Times New Roman;serif" w:hAnsi="Times New Roman;serif"/>
          <w:b w:val="false"/>
          <w:color w:val="000000"/>
          <w:sz w:val="24"/>
          <w:u w:val="single"/>
        </w:rPr>
        <w:t>Limitation on Term Benchmark Tranches</w:t>
      </w:r>
      <w:r>
        <w:rPr>
          <w:rFonts w:ascii="Times New Roman;serif" w:hAnsi="Times New Roman;serif"/>
          <w:b w:val="false"/>
          <w:color w:val="000000"/>
          <w:sz w:val="24"/>
        </w:rPr>
        <w:t xml:space="preserve">. Notwithstanding anything to the contrary in this Agreement, all borrowings, conversions and continuations of Term Benchmark Loans and all selections of Interest Periods shall be in such amounts and be made pursuant to such elections so that, (a) after giving effect thereto, the aggregate principal amount of the Term Benchmark Loans comprising each Term Benchmark Tranche shall be equal to </w:t>
      </w:r>
    </w:p>
    <w:p>
      <w:pPr>
        <w:pStyle w:val="TextBody"/>
        <w:bidi w:val="0"/>
        <w:spacing w:before="0" w:after="0"/>
        <w:jc w:val="center"/>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25145"/>
                <wp:effectExtent l="0" t="0" r="0" b="0"/>
                <wp:wrapNone/>
                <wp:docPr id="99" name="Frame9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$1,000,000 or a whole multiple of $1,000,000 in excess thereof and (b) no more than twenty Term Benchmark Tranches shall be outstanding at any one time. </w:t>
      </w:r>
    </w:p>
    <w:p>
      <w:pPr>
        <w:pStyle w:val="TextBody"/>
        <w:bidi w:val="0"/>
        <w:spacing w:lineRule="auto" w:line="288" w:before="240" w:after="283"/>
        <w:ind w:left="0" w:right="0" w:firstLine="720"/>
        <w:jc w:val="left"/>
        <w:rPr/>
      </w:pPr>
      <w:bookmarkStart w:id="52" w:name="i709c0f1d508743839b38102c33d2d455"/>
      <w:bookmarkEnd w:id="52"/>
      <w:r>
        <w:rPr>
          <w:rFonts w:ascii="Times New Roman;serif" w:hAnsi="Times New Roman;serif"/>
          <w:b w:val="false"/>
          <w:color w:val="000000"/>
          <w:sz w:val="24"/>
        </w:rPr>
        <w:t>Section 2.07.    </w:t>
      </w:r>
      <w:r>
        <w:rPr>
          <w:rFonts w:ascii="Times New Roman;serif" w:hAnsi="Times New Roman;serif"/>
          <w:b w:val="false"/>
          <w:color w:val="000000"/>
          <w:sz w:val="24"/>
          <w:u w:val="single"/>
        </w:rPr>
        <w:t>Interest on Loans</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53" w:name="ib80334dfbdfc4002907612b9e56c994a"/>
      <w:bookmarkEnd w:id="53"/>
      <w:r>
        <w:rPr>
          <w:rFonts w:ascii="Times New Roman;serif" w:hAnsi="Times New Roman;serif"/>
          <w:b w:val="false"/>
          <w:color w:val="000000"/>
          <w:sz w:val="24"/>
        </w:rPr>
        <w:t xml:space="preserve">(a)    Subject to the provisions of </w:t>
      </w:r>
      <w:r>
        <w:rPr>
          <w:rFonts w:ascii="Times New Roman;serif" w:hAnsi="Times New Roman;serif"/>
          <w:b w:val="false"/>
          <w:color w:val="000000"/>
          <w:sz w:val="24"/>
          <w:u w:val="single"/>
        </w:rPr>
        <w:t>Section 2.08</w:t>
      </w:r>
      <w:r>
        <w:rPr>
          <w:rFonts w:ascii="Times New Roman;serif" w:hAnsi="Times New Roman;serif"/>
          <w:b w:val="false"/>
          <w:color w:val="000000"/>
          <w:sz w:val="24"/>
        </w:rPr>
        <w:t xml:space="preserve">, each ABR Loan shall bear interest (computed on the basis of the actual number of days elapsed over a year of 365 days or 366 days in a leap year) at a rate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equal to the Alternate Base Rate plus the Applicable Margin.</w:t>
      </w:r>
    </w:p>
    <w:p>
      <w:pPr>
        <w:pStyle w:val="TextBody"/>
        <w:bidi w:val="0"/>
        <w:spacing w:lineRule="auto" w:line="288" w:before="240" w:after="283"/>
        <w:ind w:left="0" w:right="0" w:firstLine="720"/>
        <w:jc w:val="left"/>
        <w:rPr/>
      </w:pPr>
      <w:bookmarkStart w:id="54" w:name="i3ac705634bde49e2b6cddd2c91252b28"/>
      <w:bookmarkEnd w:id="54"/>
      <w:r>
        <w:rPr>
          <w:rFonts w:ascii="Times New Roman;serif" w:hAnsi="Times New Roman;serif"/>
          <w:b w:val="false"/>
          <w:color w:val="000000"/>
          <w:sz w:val="24"/>
        </w:rPr>
        <w:t xml:space="preserve">(b)    Subject to the provisions of </w:t>
      </w:r>
      <w:r>
        <w:rPr>
          <w:rFonts w:ascii="Times New Roman;serif" w:hAnsi="Times New Roman;serif"/>
          <w:b w:val="false"/>
          <w:color w:val="000000"/>
          <w:sz w:val="24"/>
          <w:u w:val="single"/>
        </w:rPr>
        <w:t>Section 2.08</w:t>
      </w:r>
      <w:r>
        <w:rPr>
          <w:rFonts w:ascii="Times New Roman;serif" w:hAnsi="Times New Roman;serif"/>
          <w:b w:val="false"/>
          <w:color w:val="000000"/>
          <w:sz w:val="24"/>
        </w:rPr>
        <w:t xml:space="preserve">, each Term Benchmark Loan shall bear interest (computed on the basis of the actual number of days elapsed over a year of 360 days) at a rate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equal, during each Interest Period applicable thereto, to the Term SOFR Rate for such Interest Period in effect for such Borrowing plus the Applicable Margin.</w:t>
      </w:r>
    </w:p>
    <w:p>
      <w:pPr>
        <w:pStyle w:val="TextBody"/>
        <w:bidi w:val="0"/>
        <w:spacing w:lineRule="auto" w:line="288" w:before="240" w:after="283"/>
        <w:ind w:left="0" w:right="0" w:firstLine="720"/>
        <w:jc w:val="left"/>
        <w:rPr/>
      </w:pPr>
      <w:bookmarkStart w:id="55" w:name="i6ed98065aec64bb3ae5c1808c766cd06"/>
      <w:bookmarkEnd w:id="55"/>
      <w:r>
        <w:rPr>
          <w:rFonts w:ascii="Times New Roman;serif" w:hAnsi="Times New Roman;serif"/>
          <w:b w:val="false"/>
          <w:color w:val="000000"/>
          <w:sz w:val="24"/>
        </w:rPr>
        <w:t xml:space="preserve">(c)    Accrued interest on all Loans shall be payable in arrears on each Interest Payment Date applicable thereto, on the Termination Date with respect to such Loans and thereafter on written demand and upon any repayment or prepayment thereof (on the amount repaid or prepaid);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event of any conversion of any Term Benchmark Loan to an ABR Loan, accrued interest on such Loan shall be payable on the effective date of such conversion.</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56" w:name="i215a414fa9ce4b799b45d939f9f328a3"/>
      <w:bookmarkEnd w:id="56"/>
      <w:r>
        <w:rPr>
          <w:rFonts w:ascii="Times New Roman;serif" w:hAnsi="Times New Roman;serif"/>
          <w:b w:val="false"/>
          <w:color w:val="000000"/>
          <w:sz w:val="24"/>
        </w:rPr>
        <w:t>(d)    Notwithstanding anything to the contrary herein, the Borrower may elect to deliver the Loan Request for an ABR Loan Borrowing together with an Interest Election Request to convert such ABR Loan Borrowing into a Term Benchmark Loan Borrowing on the date falling three (3) Business Days thereafter, and, in such case, interest accrued and unpaid as of such date of conversion shall not be payable on such date, but shall instead be payable on the Interest Payment Date corresponding to such Term Benchmark Borrowing.</w:t>
      </w:r>
    </w:p>
    <w:p>
      <w:pPr>
        <w:pStyle w:val="TextBody"/>
        <w:bidi w:val="0"/>
        <w:spacing w:lineRule="auto" w:line="288" w:before="240" w:after="283"/>
        <w:ind w:left="0" w:right="0" w:firstLine="720"/>
        <w:jc w:val="left"/>
        <w:rPr/>
      </w:pPr>
      <w:bookmarkStart w:id="57" w:name="i4ababe02ff7742029186cad3a328bf5d"/>
      <w:bookmarkEnd w:id="57"/>
      <w:r>
        <w:rPr>
          <w:rFonts w:ascii="Times New Roman;serif" w:hAnsi="Times New Roman;serif"/>
          <w:b w:val="false"/>
          <w:color w:val="000000"/>
          <w:sz w:val="24"/>
        </w:rPr>
        <w:t>Section 2.08.    </w:t>
      </w:r>
      <w:r>
        <w:rPr>
          <w:rFonts w:ascii="Times New Roman;serif" w:hAnsi="Times New Roman;serif"/>
          <w:b w:val="false"/>
          <w:color w:val="000000"/>
          <w:sz w:val="24"/>
          <w:u w:val="single"/>
        </w:rPr>
        <w:t>Default Interest</w:t>
      </w:r>
      <w:r>
        <w:rPr>
          <w:rFonts w:ascii="Times New Roman;serif" w:hAnsi="Times New Roman;serif"/>
          <w:b w:val="false"/>
          <w:color w:val="000000"/>
          <w:sz w:val="24"/>
        </w:rPr>
        <w:t xml:space="preserve">. If the Borrower or any Guarantor, as the case may be, shall default in the payment of the principal of or interest on any Loan or in the payment of any other amount becoming due hereunder (including, without limitation, the reimbursement pursuant to </w:t>
      </w:r>
      <w:r>
        <w:rPr>
          <w:rFonts w:ascii="Times New Roman;serif" w:hAnsi="Times New Roman;serif"/>
          <w:b w:val="false"/>
          <w:color w:val="000000"/>
          <w:sz w:val="24"/>
          <w:u w:val="single"/>
        </w:rPr>
        <w:t>Section 2.02(e)</w:t>
      </w:r>
      <w:r>
        <w:rPr>
          <w:color w:val="000000"/>
        </w:rPr>
        <w:t xml:space="preserve"> </w:t>
      </w:r>
      <w:r>
        <w:rPr>
          <w:rFonts w:ascii="Times New Roman;serif" w:hAnsi="Times New Roman;serif"/>
          <w:b w:val="false"/>
          <w:color w:val="000000"/>
          <w:sz w:val="24"/>
        </w:rPr>
        <w:t>of any LC Disbursements), whether at stated maturity, by acceleration or otherwise, the Borrower or such Guarantor, as the case may be, shall on written demand of the Administrative Agent (acting at the direction of the Required Lenders) from time to time pay interest, to the extent permitted by law, on all overdue amounts up to (but not including) the date of actual payment (after as well as before judgment) at a rate per annum (computed on the basis of the actual number of days elapsed over a year of 360 days or, when the Alternate Base Rate is applicable, a year of 365 days or 366 days in a leap year) equal to (a) with respect to the principal amount of any Loan, the rate then applicable for such Borrowings plus 2.0%, and (b) in the case of all other amounts, the rate applicable for ABR Loans plus 2.0%.</w:t>
      </w:r>
    </w:p>
    <w:p>
      <w:pPr>
        <w:pStyle w:val="TextBody"/>
        <w:bidi w:val="0"/>
        <w:spacing w:lineRule="auto" w:line="288" w:before="240" w:after="283"/>
        <w:ind w:left="0" w:right="0" w:firstLine="720"/>
        <w:jc w:val="left"/>
        <w:rPr/>
      </w:pPr>
      <w:bookmarkStart w:id="58" w:name="i143f213e323c40e9b3eb65c5a2bf46b8"/>
      <w:bookmarkEnd w:id="58"/>
      <w:r>
        <w:rPr>
          <w:rFonts w:ascii="Times New Roman;serif" w:hAnsi="Times New Roman;serif"/>
          <w:b w:val="false"/>
          <w:color w:val="000000"/>
          <w:sz w:val="24"/>
        </w:rPr>
        <w:t>Section 2.09.    </w:t>
      </w:r>
      <w:r>
        <w:rPr>
          <w:rFonts w:ascii="Times New Roman;serif" w:hAnsi="Times New Roman;serif"/>
          <w:b w:val="false"/>
          <w:color w:val="000000"/>
          <w:sz w:val="24"/>
          <w:u w:val="single"/>
        </w:rPr>
        <w:t>Alternate Rate of Interest</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2.29</w:t>
      </w:r>
      <w:r>
        <w:rPr>
          <w:rFonts w:ascii="Times New Roman;serif" w:hAnsi="Times New Roman;serif"/>
          <w:b w:val="false"/>
          <w:color w:val="000000"/>
          <w:sz w:val="24"/>
        </w:rPr>
        <w:t xml:space="preserve">, in the event, and on each occasion, that on the date that is two (2) Business Days prior to the commencement of any Interest Period for a Term Benchmark Loan, the Administrative Agent shall have reasonably determined (which determination shall be conclusive and binding upon the Borrower absent manifest error) that reasonable means do not exist for ascertaining the applicable Term SOFR Rate, the Administrative Agent shall, as soon as practicable thereafter, give written notice of </w:t>
      </w:r>
    </w:p>
    <w:p>
      <w:pPr>
        <w:pStyle w:val="TextBody"/>
        <w:bidi w:val="0"/>
        <w:spacing w:before="0" w:after="0"/>
        <w:jc w:val="center"/>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25145"/>
                <wp:effectExtent l="0" t="0" r="0" b="0"/>
                <wp:wrapNone/>
                <wp:docPr id="100" name="Frame9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such determination to the Borrower and the Lenders and, until the circumstances giving rise to such notice no longer exist, any request by the Borrower for a Borrowing of Term Benchmark Loans hereunder (including pursuant to a refinancing with Term Benchmark Loans and including any request to continue, or to convert to, Term Benchmark Loans) shall be deemed a request for a Borrowing of ABR Loans. </w:t>
      </w:r>
    </w:p>
    <w:p>
      <w:pPr>
        <w:pStyle w:val="TextBody"/>
        <w:bidi w:val="0"/>
        <w:spacing w:lineRule="auto" w:line="288" w:before="240" w:after="283"/>
        <w:ind w:left="0" w:right="0" w:firstLine="720"/>
        <w:jc w:val="left"/>
        <w:rPr/>
      </w:pPr>
      <w:bookmarkStart w:id="59" w:name="i5d674361c5194d6bbf191f610c5f1d1f"/>
      <w:bookmarkEnd w:id="59"/>
      <w:r>
        <w:rPr>
          <w:rFonts w:ascii="Times New Roman;serif" w:hAnsi="Times New Roman;serif"/>
          <w:b w:val="false"/>
          <w:color w:val="000000"/>
          <w:sz w:val="24"/>
        </w:rPr>
        <w:t>Section 2.10.    </w:t>
      </w:r>
      <w:r>
        <w:rPr>
          <w:rFonts w:ascii="Times New Roman;serif" w:hAnsi="Times New Roman;serif"/>
          <w:b w:val="false"/>
          <w:color w:val="000000"/>
          <w:sz w:val="24"/>
          <w:u w:val="single"/>
        </w:rPr>
        <w:t>Repayment of Loans; Evidence of Debt</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60" w:name="i5b3173a4b62a4eeeb07e9a8884a8833d"/>
      <w:bookmarkEnd w:id="60"/>
      <w:r>
        <w:rPr>
          <w:rFonts w:ascii="Times New Roman;serif" w:hAnsi="Times New Roman;serif"/>
          <w:b w:val="false"/>
          <w:color w:val="000000"/>
          <w:sz w:val="24"/>
        </w:rPr>
        <w:t>(a)    The Borrower unconditionally promises to pay the then unpaid principal amount of each Revolving Loan then outstanding on the Revolving Facility Termination Date applicable to such Revolving Loan to the Administrative Agent for the ratable account of each Revolving Lender to which such Revolving Facility Termination Date is applicable.</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61" w:name="i3cdb49d5459a4a8c9b8c3d07a20e3e39"/>
      <w:bookmarkEnd w:id="61"/>
      <w:r>
        <w:rPr>
          <w:rFonts w:ascii="Times New Roman;serif" w:hAnsi="Times New Roman;serif"/>
          <w:b w:val="false"/>
          <w:color w:val="000000"/>
          <w:sz w:val="24"/>
        </w:rPr>
        <w:t>(b)    [Intentionally Omitted.]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62" w:name="ib0b7b566f83742ecbeeef97cad33b71d"/>
      <w:bookmarkEnd w:id="62"/>
      <w:r>
        <w:rPr>
          <w:rFonts w:ascii="Times New Roman;serif" w:hAnsi="Times New Roman;serif"/>
          <w:b w:val="false"/>
          <w:color w:val="000000"/>
          <w:sz w:val="24"/>
        </w:rPr>
        <w:t>(c)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63" w:name="i8ac376e93988483eb7c270a930ec795a"/>
      <w:bookmarkEnd w:id="63"/>
      <w:r>
        <w:rPr>
          <w:rFonts w:ascii="Times New Roman;serif" w:hAnsi="Times New Roman;serif"/>
          <w:b w:val="false"/>
          <w:color w:val="000000"/>
          <w:sz w:val="24"/>
        </w:rPr>
        <w:t>(d)    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 The Borrower shall have the right, upon reasonable notice, to request information regarding the accounts referred to in the preceding sentence.</w:t>
      </w:r>
    </w:p>
    <w:p>
      <w:pPr>
        <w:pStyle w:val="TextBody"/>
        <w:bidi w:val="0"/>
        <w:spacing w:lineRule="auto" w:line="288" w:before="240" w:after="283"/>
        <w:ind w:left="0" w:right="0" w:firstLine="720"/>
        <w:jc w:val="left"/>
        <w:rPr/>
      </w:pPr>
      <w:bookmarkStart w:id="64" w:name="i947cc4ce8dfa4395b4ff4861a93e6f4f"/>
      <w:bookmarkEnd w:id="64"/>
      <w:r>
        <w:rPr>
          <w:rFonts w:ascii="Times New Roman;serif" w:hAnsi="Times New Roman;serif"/>
          <w:b w:val="false"/>
          <w:color w:val="000000"/>
          <w:sz w:val="24"/>
        </w:rPr>
        <w:t xml:space="preserve">(e)    The entries made in the accounts maintained pursuant to </w:t>
      </w:r>
      <w:r>
        <w:rPr>
          <w:rFonts w:ascii="Times New Roman;serif" w:hAnsi="Times New Roman;serif"/>
          <w:b w:val="false"/>
          <w:color w:val="000000"/>
          <w:sz w:val="24"/>
          <w:u w:val="single"/>
        </w:rPr>
        <w:t>paragraph (c)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 xml:space="preserve">shall be prima facie evidence of the existence and amounts of the obligations recorded therein;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failure of any Lender or the Administrative Agent to maintain such accounts or any error therein shall not in any manner affect the obligation of the Borrower to repay the Loans in accordance with the terms of this Agreement.</w:t>
      </w:r>
    </w:p>
    <w:p>
      <w:pPr>
        <w:pStyle w:val="TextBody"/>
        <w:bidi w:val="0"/>
        <w:spacing w:lineRule="auto" w:line="288" w:before="240" w:after="283"/>
        <w:ind w:left="0" w:right="0" w:firstLine="720"/>
        <w:jc w:val="left"/>
        <w:rPr/>
      </w:pPr>
      <w:bookmarkStart w:id="65" w:name="ie81a1a1abc11462a80fb353c7da9d8ba"/>
      <w:bookmarkEnd w:id="65"/>
      <w:r>
        <w:rPr>
          <w:rFonts w:ascii="Times New Roman;serif" w:hAnsi="Times New Roman;serif"/>
          <w:b w:val="false"/>
          <w:color w:val="000000"/>
          <w:sz w:val="24"/>
        </w:rPr>
        <w:t xml:space="preserve">(f)    Any Lender may request that Loans made by it be evidenced by a promissory note. In such event, the Borrower shall promptly execute and deliver to such Lender a promissory note payable to such Lender and its registered assigns in a form furnished by the Administrative Agent and reasonably acceptable to the Borrower. Thereafter, the Loans evidenced by such promissory note and interest thereon shall at all times (including after assignment pursuant to </w:t>
      </w:r>
      <w:r>
        <w:rPr>
          <w:rFonts w:ascii="Times New Roman;serif" w:hAnsi="Times New Roman;serif"/>
          <w:b w:val="false"/>
          <w:color w:val="000000"/>
          <w:sz w:val="24"/>
          <w:u w:val="single"/>
        </w:rPr>
        <w:t>Section 10.02</w:t>
      </w:r>
      <w:r>
        <w:rPr>
          <w:rFonts w:ascii="Times New Roman;serif" w:hAnsi="Times New Roman;serif"/>
          <w:b w:val="false"/>
          <w:color w:val="000000"/>
          <w:sz w:val="24"/>
        </w:rPr>
        <w:t>) be represented by one or more promissory notes in such form payable to such payee and its registered assigns.</w:t>
      </w:r>
    </w:p>
    <w:p>
      <w:pPr>
        <w:pStyle w:val="TextBody"/>
        <w:bidi w:val="0"/>
        <w:spacing w:lineRule="auto" w:line="288" w:before="240" w:after="283"/>
        <w:ind w:left="0" w:right="0" w:firstLine="720"/>
        <w:jc w:val="left"/>
        <w:rPr/>
      </w:pPr>
      <w:bookmarkStart w:id="66" w:name="i1f3e79e619ab43af84388f9d056872df"/>
      <w:bookmarkEnd w:id="66"/>
      <w:r>
        <w:rPr>
          <w:rFonts w:ascii="Times New Roman;serif" w:hAnsi="Times New Roman;serif"/>
          <w:b w:val="false"/>
          <w:color w:val="000000"/>
          <w:sz w:val="24"/>
        </w:rPr>
        <w:t>Section 2.11.    </w:t>
      </w:r>
      <w:r>
        <w:rPr>
          <w:rFonts w:ascii="Times New Roman;serif" w:hAnsi="Times New Roman;serif"/>
          <w:b w:val="false"/>
          <w:color w:val="000000"/>
          <w:sz w:val="24"/>
          <w:u w:val="single"/>
        </w:rPr>
        <w:t>Optional Termination or Reduction of Revolving Commitments</w:t>
      </w:r>
      <w:r>
        <w:rPr>
          <w:rFonts w:ascii="Times New Roman;serif" w:hAnsi="Times New Roman;serif"/>
          <w:b w:val="false"/>
          <w:color w:val="000000"/>
          <w:sz w:val="24"/>
        </w:rPr>
        <w:t xml:space="preserve">. Upon at least two (2) Business Days prior written notice to the Administrative Agent, the Borrower may at any time in whole permanently terminate a Total Revolving Commitment (subject to compliance with </w:t>
      </w:r>
      <w:r>
        <w:rPr>
          <w:rFonts w:ascii="Times New Roman;serif" w:hAnsi="Times New Roman;serif"/>
          <w:b w:val="false"/>
          <w:color w:val="000000"/>
          <w:sz w:val="24"/>
          <w:u w:val="single"/>
        </w:rPr>
        <w:t>Section 2.12(e)</w:t>
      </w:r>
      <w:r>
        <w:rPr>
          <w:rFonts w:ascii="Times New Roman;serif" w:hAnsi="Times New Roman;serif"/>
          <w:b w:val="false"/>
          <w:color w:val="000000"/>
          <w:sz w:val="24"/>
        </w:rPr>
        <w:t xml:space="preserve">), or from time to time in part permanently reduce the Unused </w:t>
      </w:r>
    </w:p>
    <w:p>
      <w:pPr>
        <w:pStyle w:val="TextBody"/>
        <w:bidi w:val="0"/>
        <w:spacing w:before="0" w:after="0"/>
        <w:jc w:val="center"/>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25145"/>
                <wp:effectExtent l="0" t="0" r="0" b="0"/>
                <wp:wrapNone/>
                <wp:docPr id="101" name="Frame10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Total Revolving Commitment;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each such notice shall be revocable at any time prior to such reduction or termination, as the case may be, or to the extent such termination or reduction would have resulted from a refinancing of the Obligations, which refinancing shall not be consummated or shall otherwise be delayed. Each such reduction of the Unused Total Revolving Commitment shall be in the principal amount not less than $1,000,000 and in an integral multiple of $1,000,000. Simultaneously with each reduction or termination of the Revolving Commitment, the Borrower shall pay to the Administrative Agent for the account of each Revolving Lender the Commitment Fee accrued and unpaid on the amount of the Revolving Commitment of such Revolving Lender so terminated or reduced through the date thereof. Any reduction of the Unused Total Revolving Commitment pursuant to this </w:t>
      </w:r>
      <w:r>
        <w:rPr>
          <w:rFonts w:ascii="Times New Roman;serif" w:hAnsi="Times New Roman;serif"/>
          <w:b w:val="false"/>
          <w:color w:val="000000"/>
          <w:sz w:val="24"/>
          <w:u w:val="single"/>
        </w:rPr>
        <w:t>Section 2.11</w:t>
      </w:r>
      <w:r>
        <w:rPr>
          <w:color w:val="000000"/>
        </w:rPr>
        <w:t xml:space="preserve"> </w:t>
      </w:r>
      <w:r>
        <w:rPr>
          <w:rFonts w:ascii="Times New Roman;serif" w:hAnsi="Times New Roman;serif"/>
          <w:b w:val="false"/>
          <w:color w:val="000000"/>
          <w:sz w:val="24"/>
        </w:rPr>
        <w:t xml:space="preserve">shall be applied to reduce the Revolving Commitment of each Revolving Lender on a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 xml:space="preserve">basis. </w:t>
      </w:r>
    </w:p>
    <w:p>
      <w:pPr>
        <w:pStyle w:val="TextBody"/>
        <w:bidi w:val="0"/>
        <w:spacing w:lineRule="auto" w:line="288" w:before="240" w:after="283"/>
        <w:ind w:left="0" w:right="0" w:firstLine="720"/>
        <w:jc w:val="left"/>
        <w:rPr/>
      </w:pPr>
      <w:bookmarkStart w:id="67" w:name="i0cc75c9b57414fa0af61cfcc7edb6a13"/>
      <w:bookmarkEnd w:id="67"/>
      <w:r>
        <w:rPr>
          <w:rFonts w:ascii="Times New Roman;serif" w:hAnsi="Times New Roman;serif"/>
          <w:b w:val="false"/>
          <w:color w:val="000000"/>
          <w:sz w:val="24"/>
        </w:rPr>
        <w:t>Section 2.12.    </w:t>
      </w:r>
      <w:r>
        <w:rPr>
          <w:rFonts w:ascii="Times New Roman;serif" w:hAnsi="Times New Roman;serif"/>
          <w:b w:val="false"/>
          <w:color w:val="000000"/>
          <w:sz w:val="24"/>
          <w:u w:val="single"/>
        </w:rPr>
        <w:t>Mandatory Prepayment of Loans; Commitment Termination</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68" w:name="i78b08a6acafc4ef89457d6872157bec4"/>
      <w:bookmarkEnd w:id="68"/>
      <w:r>
        <w:rPr>
          <w:rFonts w:ascii="Times New Roman;serif" w:hAnsi="Times New Roman;serif"/>
          <w:b w:val="false"/>
          <w:color w:val="000000"/>
          <w:sz w:val="24"/>
        </w:rPr>
        <w:t xml:space="preserve">(a)    Within 365 days after the receipt of any Net Proceeds from a Disposition of Collateral pursuant to </w:t>
      </w:r>
      <w:r>
        <w:rPr>
          <w:rFonts w:ascii="Times New Roman;serif" w:hAnsi="Times New Roman;serif"/>
          <w:b w:val="false"/>
          <w:color w:val="000000"/>
          <w:sz w:val="24"/>
          <w:u w:val="single"/>
        </w:rPr>
        <w:t>Section 6.04(ii)</w:t>
      </w:r>
      <w:r>
        <w:rPr>
          <w:color w:val="000000"/>
        </w:rPr>
        <w:t xml:space="preserve"> </w:t>
      </w:r>
      <w:r>
        <w:rPr>
          <w:rFonts w:ascii="Times New Roman;serif" w:hAnsi="Times New Roman;serif"/>
          <w:b w:val="false"/>
          <w:color w:val="000000"/>
          <w:sz w:val="24"/>
        </w:rPr>
        <w:t>or from a Recovery Event, the Borrower may apply such Net Proceeds:</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69" w:name="ieecd3c626ce649c78fdc7e45ecd5e938"/>
      <w:bookmarkEnd w:id="69"/>
      <w:r>
        <w:rPr>
          <w:rFonts w:ascii="Times New Roman;serif" w:hAnsi="Times New Roman;serif"/>
          <w:b w:val="false"/>
          <w:color w:val="000000"/>
          <w:sz w:val="24"/>
        </w:rPr>
        <w:t>(i)    to purchase other Eligible Collateral constituting Qualified Replacement Assets;</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70" w:name="id6f19ab062e94f649ba54977f0e61ad0"/>
      <w:bookmarkEnd w:id="70"/>
      <w:r>
        <w:rPr>
          <w:rFonts w:ascii="Times New Roman;serif" w:hAnsi="Times New Roman;serif"/>
          <w:b w:val="false"/>
          <w:color w:val="000000"/>
          <w:sz w:val="24"/>
        </w:rPr>
        <w:t xml:space="preserve">(ii)    to repay Priority Lien Debt;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71" w:name="i2ed547c4231040ddb19d47c8acd494d9"/>
      <w:bookmarkEnd w:id="71"/>
      <w:r>
        <w:rPr>
          <w:rFonts w:ascii="Times New Roman;serif" w:hAnsi="Times New Roman;serif"/>
          <w:b w:val="false"/>
          <w:color w:val="000000"/>
          <w:sz w:val="24"/>
        </w:rPr>
        <w:t xml:space="preserve">(iii)    to make a capital expenditure with respect to assets that constitute Collateral; or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72" w:name="ib7f9a320a389419990b1654f197f09c7"/>
      <w:bookmarkEnd w:id="72"/>
      <w:r>
        <w:rPr>
          <w:rFonts w:ascii="Times New Roman;serif" w:hAnsi="Times New Roman;serif"/>
          <w:b w:val="false"/>
          <w:color w:val="000000"/>
          <w:sz w:val="24"/>
        </w:rPr>
        <w:t>(iv)    solely in the case of a Recovery Event, repair or replace the assets which are the subject of such Recovery Event;</w:t>
      </w:r>
    </w:p>
    <w:p>
      <w:pPr>
        <w:pStyle w:val="TextBody"/>
        <w:bidi w:val="0"/>
        <w:spacing w:lineRule="auto" w:line="288" w:before="240" w:after="283"/>
        <w:ind w:left="0" w:right="0" w:firstLine="720"/>
        <w:jc w:val="left"/>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Borrower will be deemed to have complied with the provision described in </w:t>
      </w:r>
      <w:r>
        <w:rPr>
          <w:rFonts w:ascii="Times New Roman;serif" w:hAnsi="Times New Roman;serif"/>
          <w:b w:val="false"/>
          <w:color w:val="000000"/>
          <w:sz w:val="24"/>
          <w:u w:val="single"/>
        </w:rPr>
        <w:t>clauses (i)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(iv)</w:t>
      </w:r>
      <w:r>
        <w:rPr>
          <w:color w:val="000000"/>
        </w:rPr>
        <w:t xml:space="preserve"> </w:t>
      </w:r>
      <w:r>
        <w:rPr>
          <w:rFonts w:ascii="Times New Roman;serif" w:hAnsi="Times New Roman;serif"/>
          <w:b w:val="false"/>
          <w:color w:val="000000"/>
          <w:sz w:val="24"/>
        </w:rPr>
        <w:t xml:space="preserve">of this paragraph if and to the extent that, within 365 days after the sale or other Disposition, or Recovery Event, that generated the Net Proceeds, the Borrower has entered into and not abandoned or rejected a binding agreement to acquire the assets that would constitute Collateral, make a capital expenditure or repair the assets which are the subject of such Recovery Event, in each case, in compliance with the provision described in </w:t>
      </w:r>
      <w:r>
        <w:rPr>
          <w:rFonts w:ascii="Times New Roman;serif" w:hAnsi="Times New Roman;serif"/>
          <w:b w:val="false"/>
          <w:color w:val="000000"/>
          <w:sz w:val="24"/>
          <w:u w:val="single"/>
        </w:rPr>
        <w:t>clause (i)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(iv)</w:t>
      </w:r>
      <w:r>
        <w:rPr>
          <w:color w:val="000000"/>
        </w:rPr>
        <w:t xml:space="preserve"> </w:t>
      </w:r>
      <w:r>
        <w:rPr>
          <w:rFonts w:ascii="Times New Roman;serif" w:hAnsi="Times New Roman;serif"/>
          <w:b w:val="false"/>
          <w:color w:val="000000"/>
          <w:sz w:val="24"/>
        </w:rPr>
        <w:t>of this paragraph, as applicable, and that acquisition, purchase, capital expenditure or repair is thereafter completed within 90 days after the end of such 365-day period.</w:t>
      </w:r>
    </w:p>
    <w:p>
      <w:pPr>
        <w:pStyle w:val="TextBody"/>
        <w:bidi w:val="0"/>
        <w:spacing w:lineRule="auto" w:line="288" w:before="240" w:after="283"/>
        <w:ind w:left="0" w:right="0" w:firstLine="720"/>
        <w:jc w:val="left"/>
        <w:rPr/>
      </w:pPr>
      <w:bookmarkStart w:id="73" w:name="i5c4655db6f824036b9cd90e49a3a6bec"/>
      <w:bookmarkEnd w:id="73"/>
      <w:r>
        <w:rPr>
          <w:rFonts w:ascii="Times New Roman;serif" w:hAnsi="Times New Roman;serif"/>
          <w:b w:val="false"/>
          <w:color w:val="000000"/>
          <w:sz w:val="24"/>
        </w:rPr>
        <w:t xml:space="preserve">(b)    Any Net Proceeds from such a Disposition or Recovery Event that are not applied or invested as provided in </w:t>
      </w:r>
      <w:r>
        <w:rPr>
          <w:rFonts w:ascii="Times New Roman;serif" w:hAnsi="Times New Roman;serif"/>
          <w:b w:val="false"/>
          <w:color w:val="000000"/>
          <w:sz w:val="24"/>
          <w:u w:val="single"/>
        </w:rPr>
        <w:t>Section 2.12(a)</w:t>
      </w:r>
      <w:r>
        <w:rPr>
          <w:rFonts w:ascii="Times New Roman;serif" w:hAnsi="Times New Roman;serif"/>
          <w:b w:val="false"/>
          <w:color w:val="000000"/>
          <w:sz w:val="24"/>
        </w:rPr>
        <w:t>, together with any Net Proceeds that are earlier designated as “Excess Proceeds” by the Borrower, will constitute “</w:t>
      </w:r>
      <w:r>
        <w:rPr>
          <w:rFonts w:ascii="Times New Roman;serif" w:hAnsi="Times New Roman;serif"/>
          <w:b w:val="false"/>
          <w:color w:val="000000"/>
          <w:sz w:val="24"/>
          <w:u w:val="single"/>
        </w:rPr>
        <w:t>Excess Proceeds</w:t>
      </w:r>
      <w:r>
        <w:rPr>
          <w:rFonts w:ascii="Times New Roman;serif" w:hAnsi="Times New Roman;serif"/>
          <w:b w:val="false"/>
          <w:color w:val="000000"/>
          <w:sz w:val="24"/>
        </w:rPr>
        <w:t xml:space="preserve">.” Within five (5) Business Days of the date on which the aggregate amount of Excess Proceeds exceeds $150,000,000 (or earlier if the Borrower so elects), the Borrower shall prepay the Loans and will make an offer to purchase and/or repay, prepay or redeem, as applicable, to holders of notes and all holders of other Priority Lien Debt containing provisions similar to those set forth in this Agreement with respect to offers to purchase or prepay any other Priority Lien Debt requiring </w:t>
      </w:r>
    </w:p>
    <w:p>
      <w:pPr>
        <w:pStyle w:val="TextBody"/>
        <w:bidi w:val="0"/>
        <w:spacing w:before="0" w:after="0"/>
        <w:jc w:val="center"/>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25145"/>
                <wp:effectExtent l="0" t="0" r="0" b="0"/>
                <wp:wrapNone/>
                <wp:docPr id="102" name="Frame10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repayment or prepayment (collectively, whether through an offer or a required prepayment, an “</w:t>
      </w:r>
      <w:r>
        <w:rPr>
          <w:rFonts w:ascii="Times New Roman;serif" w:hAnsi="Times New Roman;serif"/>
          <w:b w:val="false"/>
          <w:color w:val="000000"/>
          <w:sz w:val="24"/>
          <w:u w:val="single"/>
        </w:rPr>
        <w:t>Excess Proceeds Offer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percentage of such Excess Proceeds applied to prepay the Lenders in such Excess Proceeds Offer shall equal the percentage of the aggregate principal amount of all Priority Lien Debt represented at such time by the Loans. The prepayment amount in such Excess Proceeds Offer will be equal to 100% of the principal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accrued and unpaid interest to the date of purchase, prepayment or redemption, subject to the rights of holders of notes on the relevant record date to receive interest due on the relevant interest payment date, and will be payable in cash. If any Excess Proceeds remain after consummation of an Excess Proceeds Offer, the Borrower may use such Excess Proceeds for any purpose not otherwise prohibited by this Agreement. Upon completion of each Excess Proceeds Offer, the amount of Excess Proceeds will be reset at zero.</w:t>
      </w:r>
    </w:p>
    <w:p>
      <w:pPr>
        <w:pStyle w:val="TextBody"/>
        <w:bidi w:val="0"/>
        <w:spacing w:lineRule="auto" w:line="288" w:before="240" w:after="283"/>
        <w:ind w:left="0" w:right="0" w:firstLine="720"/>
        <w:jc w:val="left"/>
        <w:rPr/>
      </w:pPr>
      <w:bookmarkStart w:id="74" w:name="i2e37a202ebe94a72b37336f5132f8e0d"/>
      <w:bookmarkEnd w:id="74"/>
      <w:r>
        <w:rPr>
          <w:rFonts w:ascii="Times New Roman;serif" w:hAnsi="Times New Roman;serif"/>
          <w:b w:val="false"/>
          <w:color w:val="000000"/>
          <w:sz w:val="24"/>
        </w:rPr>
        <w:t xml:space="preserve">(c)    Amounts required to be applied to the prepayment of Loans pursuant to </w:t>
      </w:r>
      <w:r>
        <w:rPr>
          <w:rFonts w:ascii="Times New Roman;serif" w:hAnsi="Times New Roman;serif"/>
          <w:b w:val="false"/>
          <w:color w:val="000000"/>
          <w:sz w:val="24"/>
          <w:u w:val="single"/>
        </w:rPr>
        <w:t>Section 2.12(a)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shall be applied in accordance with </w:t>
      </w:r>
      <w:r>
        <w:rPr>
          <w:rFonts w:ascii="Times New Roman;serif" w:hAnsi="Times New Roman;serif"/>
          <w:b w:val="false"/>
          <w:color w:val="000000"/>
          <w:sz w:val="24"/>
          <w:u w:val="single"/>
        </w:rPr>
        <w:t>Section 2.17(e)(iii)</w:t>
      </w:r>
      <w:r>
        <w:rPr>
          <w:rFonts w:ascii="Times New Roman;serif" w:hAnsi="Times New Roman;serif"/>
          <w:b w:val="false"/>
          <w:color w:val="000000"/>
          <w:sz w:val="24"/>
        </w:rPr>
        <w:t xml:space="preserve">. Any such prepayments of Revolving Loans shall not result in a corresponding permanent reduction in the Revolving Commitments. The application of any prepayment pursuant to this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shall be made, </w:t>
      </w:r>
      <w:r>
        <w:rPr>
          <w:rFonts w:ascii="Times New Roman;serif" w:hAnsi="Times New Roman;serif"/>
          <w:b w:val="false"/>
          <w:color w:val="000000"/>
          <w:sz w:val="24"/>
          <w:u w:val="single"/>
        </w:rPr>
        <w:t>first</w:t>
      </w:r>
      <w:r>
        <w:rPr>
          <w:rFonts w:ascii="Times New Roman;serif" w:hAnsi="Times New Roman;serif"/>
          <w:b w:val="false"/>
          <w:color w:val="000000"/>
          <w:sz w:val="24"/>
        </w:rPr>
        <w:t xml:space="preserve">, to ABR Loans and, </w:t>
      </w:r>
      <w:r>
        <w:rPr>
          <w:rFonts w:ascii="Times New Roman;serif" w:hAnsi="Times New Roman;serif"/>
          <w:b w:val="false"/>
          <w:color w:val="000000"/>
          <w:sz w:val="24"/>
          <w:u w:val="single"/>
        </w:rPr>
        <w:t>second</w:t>
      </w:r>
      <w:r>
        <w:rPr>
          <w:rFonts w:ascii="Times New Roman;serif" w:hAnsi="Times New Roman;serif"/>
          <w:b w:val="false"/>
          <w:color w:val="000000"/>
          <w:sz w:val="24"/>
        </w:rPr>
        <w:t>, to Term Benchmark Loans.</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75" w:name="ic42d48f233bc4e54a9a0349282c142a4"/>
      <w:bookmarkEnd w:id="75"/>
      <w:r>
        <w:rPr>
          <w:rFonts w:ascii="Times New Roman;serif" w:hAnsi="Times New Roman;serif"/>
          <w:b w:val="false"/>
          <w:color w:val="000000"/>
          <w:sz w:val="24"/>
        </w:rPr>
        <w:t>(d)    If at any time the Total Revolving Extensions of Credit for any reason exceed the Total Revolving Commitment at such time, the Borrower shall prepay Revolving Loans on a pro rata basis in an amount sufficient to eliminate such excess. If, after giving effect to the prepayment of all outstanding Revolving Loans, the Total Revolving Extensions of Credit exceed the Total Revolving Commitment then in effect, the Borrower shall Cash Collateralize outstanding Letters of Credit to the extent of such excess.</w:t>
      </w:r>
    </w:p>
    <w:p>
      <w:pPr>
        <w:pStyle w:val="TextBody"/>
        <w:bidi w:val="0"/>
        <w:spacing w:lineRule="auto" w:line="288" w:before="240" w:after="283"/>
        <w:ind w:left="0" w:right="0" w:firstLine="720"/>
        <w:jc w:val="left"/>
        <w:rPr/>
      </w:pPr>
      <w:bookmarkStart w:id="76" w:name="id61bef8b749e421c8cfa03ba22786409"/>
      <w:bookmarkEnd w:id="76"/>
      <w:r>
        <w:rPr>
          <w:rFonts w:ascii="Times New Roman;serif" w:hAnsi="Times New Roman;serif"/>
          <w:b w:val="false"/>
          <w:color w:val="000000"/>
          <w:sz w:val="24"/>
        </w:rPr>
        <w:t xml:space="preserve">(e)    Upon the Revolving Facility Termination Date applicable to any Revolving Commitment, such Revolving Commitment shall be terminated in full and the Borrower shall repay the applicable Revolving Loans then outstanding under such Revolving Commitment in full and, except as the Administrative Agent may otherwise agree in writing, if any Letter of Credit remains outstanding, comply with </w:t>
      </w:r>
      <w:r>
        <w:rPr>
          <w:rFonts w:ascii="Times New Roman;serif" w:hAnsi="Times New Roman;serif"/>
          <w:b w:val="false"/>
          <w:color w:val="000000"/>
          <w:sz w:val="24"/>
          <w:u w:val="single"/>
        </w:rPr>
        <w:t>Section 2.02(j)</w:t>
      </w:r>
      <w:r>
        <w:rPr>
          <w:color w:val="000000"/>
        </w:rPr>
        <w:t xml:space="preserve"> </w:t>
      </w:r>
      <w:r>
        <w:rPr>
          <w:rFonts w:ascii="Times New Roman;serif" w:hAnsi="Times New Roman;serif"/>
          <w:b w:val="false"/>
          <w:color w:val="000000"/>
          <w:sz w:val="24"/>
        </w:rPr>
        <w:t>in accordance therewith.</w:t>
      </w:r>
    </w:p>
    <w:p>
      <w:pPr>
        <w:pStyle w:val="TextBody"/>
        <w:bidi w:val="0"/>
        <w:spacing w:lineRule="auto" w:line="288" w:before="240" w:after="283"/>
        <w:ind w:left="0" w:right="0" w:firstLine="720"/>
        <w:jc w:val="left"/>
        <w:rPr/>
      </w:pPr>
      <w:bookmarkStart w:id="77" w:name="i7500b52d4b594265a40ba421717e4745"/>
      <w:bookmarkEnd w:id="77"/>
      <w:r>
        <w:rPr>
          <w:rFonts w:ascii="Times New Roman;serif" w:hAnsi="Times New Roman;serif"/>
          <w:b w:val="false"/>
          <w:color w:val="000000"/>
          <w:sz w:val="24"/>
        </w:rPr>
        <w:t xml:space="preserve">(f)    All prepayments under this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shall be accompanied by accrued but unpaid interest on the principal amount being prepaid to (but not including) the date of prepayment, plus any accrued and unpaid Fees and any losses, costs and expenses, as more fully described in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hereof.</w:t>
      </w:r>
    </w:p>
    <w:p>
      <w:pPr>
        <w:pStyle w:val="TextBody"/>
        <w:bidi w:val="0"/>
        <w:spacing w:lineRule="auto" w:line="288" w:before="240" w:after="283"/>
        <w:ind w:left="0" w:right="0" w:firstLine="720"/>
        <w:jc w:val="left"/>
        <w:rPr/>
      </w:pPr>
      <w:bookmarkStart w:id="78" w:name="i45e04b5c400948238877a12c04929e07"/>
      <w:bookmarkEnd w:id="78"/>
      <w:r>
        <w:rPr>
          <w:rFonts w:ascii="Times New Roman;serif" w:hAnsi="Times New Roman;serif"/>
          <w:b w:val="false"/>
          <w:color w:val="000000"/>
          <w:sz w:val="24"/>
        </w:rPr>
        <w:t xml:space="preserve">(g)    Unless otherwise prepaid in accordance with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2.13</w:t>
      </w:r>
      <w:r>
        <w:rPr>
          <w:color w:val="000000"/>
        </w:rPr>
        <w:t xml:space="preserve"> </w:t>
      </w:r>
      <w:r>
        <w:rPr>
          <w:rFonts w:ascii="Times New Roman;serif" w:hAnsi="Times New Roman;serif"/>
          <w:b w:val="false"/>
          <w:color w:val="000000"/>
          <w:sz w:val="24"/>
        </w:rPr>
        <w:t xml:space="preserve">hereof, and subject to the next sentence, upon the occurrence of a Change of Control, each Lender shall have the right to require the Borrower to prepay all or part of such Lender’s Loans at a prepayment price equal to 100% of the principal amount thereof, plus accrued and unpaid interest, if any, to the date of prepayment, to discharge all or part of such Lender’s LC Exposure (if any) by Cash Collateralizing such LC Exposure, and to terminate all or part of such Lender’s unused Revolving Commitment in accordance with this </w:t>
      </w:r>
      <w:r>
        <w:rPr>
          <w:rFonts w:ascii="Times New Roman;serif" w:hAnsi="Times New Roman;serif"/>
          <w:b w:val="false"/>
          <w:color w:val="000000"/>
          <w:sz w:val="24"/>
          <w:u w:val="single"/>
        </w:rPr>
        <w:t>Section 2.12</w:t>
      </w:r>
      <w:r>
        <w:rPr>
          <w:rFonts w:ascii="Times New Roman;serif" w:hAnsi="Times New Roman;serif"/>
          <w:b w:val="false"/>
          <w:color w:val="000000"/>
          <w:sz w:val="24"/>
        </w:rPr>
        <w:t xml:space="preserve">. Notwithstanding the foregoing, the Borrower shall not be required to make a Change of Control Offer upon the occurrence of a Change of Control if, upon direction of the Borrower, a third party makes the Change of Control Offer in the manner, at the times and otherwise in compliance with the requirements set forth in </w:t>
      </w:r>
    </w:p>
    <w:p>
      <w:pPr>
        <w:pStyle w:val="TextBody"/>
        <w:bidi w:val="0"/>
        <w:spacing w:before="0" w:after="0"/>
        <w:jc w:val="center"/>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25145"/>
                <wp:effectExtent l="0" t="0" r="0" b="0"/>
                <wp:wrapNone/>
                <wp:docPr id="103" name="Frame10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Section 2.12(g)</w:t>
      </w:r>
      <w:r>
        <w:rPr>
          <w:color w:val="000000"/>
        </w:rPr>
        <w:t xml:space="preserve"> </w:t>
      </w:r>
      <w:r>
        <w:rPr>
          <w:rFonts w:ascii="Times New Roman;serif" w:hAnsi="Times New Roman;serif"/>
          <w:b w:val="false"/>
          <w:color w:val="000000"/>
          <w:sz w:val="24"/>
        </w:rPr>
        <w:t xml:space="preserve">applicable to a Change of Control Offer made by the Borrower and purchases all Loans validly surrendered and not withdrawn under such Change of Control Offer and the Borrower otherwise complies with this </w:t>
      </w:r>
      <w:r>
        <w:rPr>
          <w:rFonts w:ascii="Times New Roman;serif" w:hAnsi="Times New Roman;serif"/>
          <w:b w:val="false"/>
          <w:color w:val="000000"/>
          <w:sz w:val="24"/>
          <w:u w:val="single"/>
        </w:rPr>
        <w:t>Section 2.12(g)</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79" w:name="ic78c3f0699004cb984d7d918d44e3c39"/>
      <w:bookmarkEnd w:id="79"/>
      <w:r>
        <w:rPr>
          <w:rFonts w:ascii="Times New Roman;serif" w:hAnsi="Times New Roman;serif"/>
          <w:b w:val="false"/>
          <w:color w:val="000000"/>
          <w:sz w:val="24"/>
        </w:rPr>
        <w:t>(i)    Within thirty (30) days following the occurrence of a Change of Control, the Borrower shall provide a written notice to the Administrative Agent and each Lender containing the following information (such notice, a “</w:t>
      </w:r>
      <w:r>
        <w:rPr>
          <w:rFonts w:ascii="Times New Roman;serif" w:hAnsi="Times New Roman;serif"/>
          <w:b w:val="false"/>
          <w:color w:val="000000"/>
          <w:sz w:val="24"/>
          <w:u w:val="single"/>
        </w:rPr>
        <w:t>Change of Control Offer</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80" w:name="idbcc7595b6f349d599382c7f819dffd9"/>
      <w:bookmarkEnd w:id="80"/>
      <w:r>
        <w:rPr>
          <w:rFonts w:ascii="Times New Roman;serif" w:hAnsi="Times New Roman;serif"/>
          <w:b w:val="false"/>
          <w:color w:val="000000"/>
          <w:sz w:val="24"/>
        </w:rPr>
        <w:t>(A)    that a Change of Control has occurred and that such Lender has the right to require the Borrower to repay such Lender’s Loans at a prepayment price in cash equal to 100% of the principal amount thereof, plus accrued and unpaid interest, if any, to the date of prepayment, to discharge its LC Exposure (if any) by Cash Collateralizing such LC Exposure and to terminate such Lender’s unused Revolving Commitment;</w:t>
      </w:r>
    </w:p>
    <w:p>
      <w:pPr>
        <w:pStyle w:val="TextBody"/>
        <w:bidi w:val="0"/>
        <w:spacing w:lineRule="auto" w:line="288" w:before="240" w:after="283"/>
        <w:ind w:left="0" w:right="0" w:firstLine="720"/>
        <w:jc w:val="left"/>
        <w:rPr/>
      </w:pPr>
      <w:bookmarkStart w:id="81" w:name="i8fb5cc418e9b49bdb3496b8169e9b483"/>
      <w:bookmarkEnd w:id="81"/>
      <w:r>
        <w:rPr>
          <w:rFonts w:ascii="Times New Roman;serif" w:hAnsi="Times New Roman;serif"/>
          <w:b w:val="false"/>
          <w:color w:val="000000"/>
          <w:sz w:val="24"/>
        </w:rPr>
        <w:t>(B)    the date of prepayment, LC Exposure discharge and unused Revolving Commitment termination, which shall be no earlier than 30 days nor later than 60 days from the date such notice is sent (the “</w:t>
      </w:r>
      <w:r>
        <w:rPr>
          <w:rFonts w:ascii="Times New Roman;serif" w:hAnsi="Times New Roman;serif"/>
          <w:b w:val="false"/>
          <w:color w:val="000000"/>
          <w:sz w:val="24"/>
          <w:u w:val="single"/>
        </w:rPr>
        <w:t>Change of Control Prepayment Date</w:t>
      </w:r>
      <w:r>
        <w:rPr>
          <w:color w:val="000000"/>
        </w:rPr>
        <w:t>”</w:t>
      </w:r>
      <w:r>
        <w:rPr>
          <w:rFonts w:ascii="Times New Roman;serif" w:hAnsi="Times New Roman;serif"/>
          <w:b w:val="false"/>
          <w:color w:val="000000"/>
          <w:sz w:val="24"/>
        </w:rPr>
        <w:t>); and</w:t>
      </w:r>
    </w:p>
    <w:p>
      <w:pPr>
        <w:pStyle w:val="TextBody"/>
        <w:bidi w:val="0"/>
        <w:spacing w:lineRule="auto" w:line="288" w:before="240" w:after="283"/>
        <w:ind w:left="0" w:right="0" w:firstLine="720"/>
        <w:jc w:val="left"/>
        <w:rPr/>
      </w:pPr>
      <w:bookmarkStart w:id="82" w:name="i50b31c0be50343fda1f65ca3048908bd"/>
      <w:bookmarkEnd w:id="82"/>
      <w:r>
        <w:rPr>
          <w:rFonts w:ascii="Times New Roman;serif" w:hAnsi="Times New Roman;serif"/>
          <w:b w:val="false"/>
          <w:color w:val="000000"/>
          <w:sz w:val="24"/>
        </w:rPr>
        <w:t xml:space="preserve">(C)    a statement that any Lender wishing to have its Loans repaid, LC Exposure discharged and unused Revolving Commitment terminated pursuant to such Change of Control Offer must comply with </w:t>
      </w:r>
      <w:r>
        <w:rPr>
          <w:rFonts w:ascii="Times New Roman;serif" w:hAnsi="Times New Roman;serif"/>
          <w:b w:val="false"/>
          <w:color w:val="000000"/>
          <w:sz w:val="24"/>
          <w:u w:val="single"/>
        </w:rPr>
        <w:t>Section 2.12(g)(ii)</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 Change of Control Offer may be made in advance of a Change of Control, and conditioned upon such Change of Control occurring, if a definitive agreement is in place for the Change of Control at the time of making the Change of Control Offer.</w:t>
      </w:r>
    </w:p>
    <w:p>
      <w:pPr>
        <w:pStyle w:val="TextBody"/>
        <w:bidi w:val="0"/>
        <w:spacing w:lineRule="auto" w:line="288" w:before="240" w:after="283"/>
        <w:ind w:left="0" w:right="0" w:firstLine="720"/>
        <w:jc w:val="left"/>
        <w:rPr/>
      </w:pPr>
      <w:bookmarkStart w:id="83" w:name="i80455a260893497eb81373026bb66c7d"/>
      <w:bookmarkEnd w:id="83"/>
      <w:r>
        <w:rPr>
          <w:rFonts w:ascii="Times New Roman;serif" w:hAnsi="Times New Roman;serif"/>
          <w:b w:val="false"/>
          <w:color w:val="000000"/>
          <w:sz w:val="24"/>
        </w:rPr>
        <w:t>(ii)    In order to accept any Change of Control Offer, a Lender shall notify the Administrative Agent in writing at its address for notices contained in this Agreement prior to 12:00 noon, New York time, at least three (3) Business Days prior to the Change of Control Prepayment Date with respect to such Change of Control Offer (the “</w:t>
      </w:r>
      <w:r>
        <w:rPr>
          <w:rFonts w:ascii="Times New Roman;serif" w:hAnsi="Times New Roman;serif"/>
          <w:b w:val="false"/>
          <w:color w:val="000000"/>
          <w:sz w:val="24"/>
          <w:u w:val="single"/>
        </w:rPr>
        <w:t>Election Time</w:t>
      </w:r>
      <w:r>
        <w:rPr>
          <w:color w:val="000000"/>
        </w:rPr>
        <w:t>”</w:t>
      </w:r>
      <w:r>
        <w:rPr>
          <w:rFonts w:ascii="Times New Roman;serif" w:hAnsi="Times New Roman;serif"/>
          <w:b w:val="false"/>
          <w:color w:val="000000"/>
          <w:sz w:val="24"/>
        </w:rPr>
        <w:t xml:space="preserve">) of such Lender’s election to require the Borrower to prepay all or a specified portion of such Lender’s Loans, to discharge all or a specified portion of such Lender’s LC Exposure by Cash Collateralizing such LC Exposure and to terminate all or a specified portion of such Lender’s unused Revolving Commitment pursuant to such Change of Control Offer (which, in the case of any election to require less than all of such Lender’s Loans to be prepaid, less than all of such Lender’s LC Exposure to be discharged and less than all such Lender’s unused Revolving Commitment to be terminated in such Change of Control Offer, shall be, taken together, in a minimum principal amount of $5,000,000 or an integral multiple of $1,000,000 in excess thereof) and the principal amount of such Lender’s Loans to be prepaid, the amount of such Lender’s LC Exposure to be discharged (if any) and the amount of such Lender’s unused Revolving Commitment to be terminated each shall be in the same proportion of such Lender’s total Loans, total LC Exposure and total unused Revolving Commitment, respectively), and shall specify the amount of such Lender’s Loans which such Lender </w:t>
      </w:r>
    </w:p>
    <w:p>
      <w:pPr>
        <w:pStyle w:val="TextBody"/>
        <w:bidi w:val="0"/>
        <w:spacing w:before="0" w:after="0"/>
        <w:jc w:val="center"/>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25145"/>
                <wp:effectExtent l="0" t="0" r="0" b="0"/>
                <wp:wrapNone/>
                <wp:docPr id="104" name="Frame10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requests be prepaid, amount of such Lender’s LC Exposure (if any) which such Lender requests be discharged and amount of unused Revolving Commitment to be terminated in such Change of Control Offer. In order to validly withdraw any election with respect to any Put Exposure in any Change of Control Offer, the Lender holding such Put Exposure shall notify the Administrative Agent in writing at its address for notices contained in this Agreement prior to the Election Time of such Lender’s election to withdraw such Put Exposure from such Change of Control Offer, which notification shall include a copy of such Lender’s previous notification electing to have its Put Exposure prepaid, discharged or terminated in such Change of Control Offer and shall state that such election is withdrawn. All such prepayments of such Lender’s Loans and discharge of such Lender’s LC Exposure (if any) shall automatically result in a corresponding permanent reduction in such Lender’s Revolving Commitments. The Administrative Agent shall from time to time, upon request by the Borrower, advise the Borrower of the amount of Put Exposure with respect to any Change of Control Offer.</w:t>
      </w:r>
    </w:p>
    <w:p>
      <w:pPr>
        <w:pStyle w:val="TextBody"/>
        <w:bidi w:val="0"/>
        <w:spacing w:lineRule="auto" w:line="288" w:before="240" w:after="283"/>
        <w:ind w:left="0" w:right="0" w:firstLine="720"/>
        <w:jc w:val="left"/>
        <w:rPr/>
      </w:pPr>
      <w:bookmarkStart w:id="84" w:name="i21c39f789bd540be9a17ec6469a08a23"/>
      <w:bookmarkEnd w:id="84"/>
      <w:r>
        <w:rPr>
          <w:rFonts w:ascii="Times New Roman;serif" w:hAnsi="Times New Roman;serif"/>
          <w:b w:val="false"/>
          <w:color w:val="000000"/>
          <w:sz w:val="24"/>
        </w:rPr>
        <w:t>(iii)    If as of the Election Time there is any Put Exposure as to which the election to accept the Change of Control Offer has not been withdrawn pursuant to</w:t>
      </w:r>
      <w:r>
        <w:rPr>
          <w:color w:val="000000"/>
          <w:u w:val="single"/>
        </w:rPr>
        <w:t xml:space="preserve"> </w:t>
      </w:r>
      <w:r>
        <w:rPr>
          <w:rFonts w:ascii="Times New Roman;serif" w:hAnsi="Times New Roman;serif"/>
          <w:b w:val="false"/>
          <w:color w:val="000000"/>
          <w:sz w:val="24"/>
          <w:u w:val="single"/>
        </w:rPr>
        <w:t>Section 2.12(g)(ii)</w:t>
      </w:r>
      <w:r>
        <w:rPr>
          <w:rFonts w:ascii="Times New Roman;serif" w:hAnsi="Times New Roman;serif"/>
          <w:b w:val="false"/>
          <w:color w:val="000000"/>
          <w:sz w:val="24"/>
        </w:rPr>
        <w:t xml:space="preserve">, prior to 1:00 p.m., New York City time, on the Change of Control Prepayment Date the Borrower shall pay to the Administrative Agent the aggregate amount payable with respect to such Put Exposure pursuant to </w:t>
      </w:r>
      <w:r>
        <w:rPr>
          <w:rFonts w:ascii="Times New Roman;serif" w:hAnsi="Times New Roman;serif"/>
          <w:b w:val="false"/>
          <w:color w:val="000000"/>
          <w:sz w:val="24"/>
          <w:u w:val="single"/>
        </w:rPr>
        <w:t>Section 2.12(g)(i)(A)</w:t>
      </w:r>
      <w:r>
        <w:rPr>
          <w:rFonts w:ascii="Times New Roman;serif" w:hAnsi="Times New Roman;serif"/>
          <w:b w:val="false"/>
          <w:color w:val="000000"/>
          <w:sz w:val="24"/>
        </w:rPr>
        <w:t>. The Administrative Agent shall apply such funds to repay the Loans and to Cash Collateralize the LC Exposure included in such Put Exposure. In addition, the Administrative Agent shall recalculate the Revolving Commitment Percentage of each Lender after giving effect to such Change of Control Offer and give written notice thereof to the Borrower and each Lender.</w:t>
      </w:r>
    </w:p>
    <w:p>
      <w:pPr>
        <w:pStyle w:val="TextBody"/>
        <w:bidi w:val="0"/>
        <w:spacing w:lineRule="auto" w:line="288" w:before="240" w:after="283"/>
        <w:ind w:left="0" w:right="0" w:firstLine="720"/>
        <w:jc w:val="left"/>
        <w:rPr/>
      </w:pPr>
      <w:bookmarkStart w:id="85" w:name="i2f91ff6757334ef19468b070cfe6111a"/>
      <w:bookmarkEnd w:id="85"/>
      <w:r>
        <w:rPr>
          <w:rFonts w:ascii="Times New Roman;serif" w:hAnsi="Times New Roman;serif"/>
          <w:b w:val="false"/>
          <w:color w:val="000000"/>
          <w:sz w:val="24"/>
        </w:rPr>
        <w:t>Section 2.13.    </w:t>
      </w:r>
      <w:r>
        <w:rPr>
          <w:rFonts w:ascii="Times New Roman;serif" w:hAnsi="Times New Roman;serif"/>
          <w:b w:val="false"/>
          <w:color w:val="000000"/>
          <w:sz w:val="24"/>
          <w:u w:val="single"/>
        </w:rPr>
        <w:t>Optional Prepayment of Loans</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86" w:name="ie0d6781d8d06447bbcd1ce43fe133657"/>
      <w:bookmarkEnd w:id="86"/>
      <w:r>
        <w:rPr>
          <w:rFonts w:ascii="Times New Roman;serif" w:hAnsi="Times New Roman;serif"/>
          <w:b w:val="false"/>
          <w:color w:val="000000"/>
          <w:sz w:val="24"/>
        </w:rPr>
        <w:t xml:space="preserve">(a)    The Borrower shall have the right, at any time and from time to time, to prepay any Loans, in whole or in part, (i) with respect to Term Benchmark Loans, upon (A) telephonic notice (followed promptly by written notice or notice by electronic mail) to the Administrative Agent or (B) written notice (or notice by electronic mail) to the Administrative Agent, in any case received by 1:00 p.m., New York City time, three (3) Business Days prior to the proposed date of prepayment and (ii) with respect to ABR Loans, upon written notice (or notice by electronic mail) to the Administrative Agent received by 1:00 p.m., New York City time, one Business Day prior to the proposed date of prepayment;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ABR Loans may be prepaid on the same day notice is given if such notice is received by the Administrative Agent by 12:00 noon, New York City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however, that (A) each such partial prepayment shall be in an amount not less than $1,000,000 and in integral multiples of $1,000,000 in the case of Term Benchmark Loans and integral multiples of $100,000 in the case of ABR Loans, (B) no prepayment of Term Benchmark Loans shall be permitted pursuant to this </w:t>
      </w:r>
      <w:r>
        <w:rPr>
          <w:rFonts w:ascii="Times New Roman;serif" w:hAnsi="Times New Roman;serif"/>
          <w:b w:val="false"/>
          <w:color w:val="000000"/>
          <w:sz w:val="24"/>
          <w:u w:val="single"/>
        </w:rPr>
        <w:t>Section 2.13(a)</w:t>
      </w:r>
      <w:r>
        <w:rPr>
          <w:color w:val="000000"/>
        </w:rPr>
        <w:t xml:space="preserve"> </w:t>
      </w:r>
      <w:r>
        <w:rPr>
          <w:rFonts w:ascii="Times New Roman;serif" w:hAnsi="Times New Roman;serif"/>
          <w:b w:val="false"/>
          <w:color w:val="000000"/>
          <w:sz w:val="24"/>
        </w:rPr>
        <w:t xml:space="preserve">other than on the last day of an Interest Period applicable thereto unless such prepayment is accompanied by the payment of the amounts described in </w:t>
      </w:r>
      <w:r>
        <w:rPr>
          <w:rFonts w:ascii="Times New Roman;serif" w:hAnsi="Times New Roman;serif"/>
          <w:b w:val="false"/>
          <w:color w:val="000000"/>
          <w:sz w:val="24"/>
          <w:u w:val="single"/>
        </w:rPr>
        <w:t>Section 2.15</w:t>
      </w:r>
      <w:r>
        <w:rPr>
          <w:rFonts w:ascii="Times New Roman;serif" w:hAnsi="Times New Roman;serif"/>
          <w:b w:val="false"/>
          <w:color w:val="000000"/>
          <w:sz w:val="24"/>
        </w:rPr>
        <w:t xml:space="preserve">, and (C) no partial prepayment of a Term Benchmark Tranche shall result in the aggregate principal amount </w:t>
      </w:r>
    </w:p>
    <w:p>
      <w:pPr>
        <w:pStyle w:val="TextBody"/>
        <w:bidi w:val="0"/>
        <w:spacing w:before="0" w:after="0"/>
        <w:jc w:val="center"/>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25145"/>
                <wp:effectExtent l="0" t="0" r="0" b="0"/>
                <wp:wrapNone/>
                <wp:docPr id="105" name="Frame10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of the Term Benchmark Loans remaining outstanding pursuant to such Term Benchmark Tranche being less than $1,000,000.</w:t>
      </w:r>
    </w:p>
    <w:p>
      <w:pPr>
        <w:pStyle w:val="TextBody"/>
        <w:bidi w:val="0"/>
        <w:spacing w:lineRule="auto" w:line="288" w:before="240" w:after="283"/>
        <w:ind w:left="0" w:right="0" w:firstLine="720"/>
        <w:jc w:val="left"/>
        <w:rPr/>
      </w:pPr>
      <w:bookmarkStart w:id="87" w:name="i0f8e6e0c31904f1bbb252ba057241e8f"/>
      <w:bookmarkEnd w:id="87"/>
      <w:r>
        <w:rPr>
          <w:rFonts w:ascii="Times New Roman;serif" w:hAnsi="Times New Roman;serif"/>
          <w:b w:val="false"/>
          <w:color w:val="000000"/>
          <w:sz w:val="24"/>
        </w:rPr>
        <w:t xml:space="preserve">(b)    Any prepayments under </w:t>
      </w:r>
      <w:r>
        <w:rPr>
          <w:rFonts w:ascii="Times New Roman;serif" w:hAnsi="Times New Roman;serif"/>
          <w:b w:val="false"/>
          <w:color w:val="000000"/>
          <w:sz w:val="24"/>
          <w:u w:val="single"/>
        </w:rPr>
        <w:t>Section 2.13(a)</w:t>
      </w:r>
      <w:r>
        <w:rPr>
          <w:color w:val="000000"/>
        </w:rPr>
        <w:t xml:space="preserve"> </w:t>
      </w:r>
      <w:r>
        <w:rPr>
          <w:rFonts w:ascii="Times New Roman;serif" w:hAnsi="Times New Roman;serif"/>
          <w:b w:val="false"/>
          <w:color w:val="000000"/>
          <w:sz w:val="24"/>
        </w:rPr>
        <w:t xml:space="preserve">shall be applied, at the option of the Borrower, to repay the outstanding Revolving Loans of the Revolving Lenders (without any reduction in the Total Revolving Commitment) until all Revolving Loans shall have been paid in full (plus any accrued but unpaid interest and fees thereon). All prepayments under </w:t>
      </w:r>
      <w:r>
        <w:rPr>
          <w:rFonts w:ascii="Times New Roman;serif" w:hAnsi="Times New Roman;serif"/>
          <w:b w:val="false"/>
          <w:color w:val="000000"/>
          <w:sz w:val="24"/>
          <w:u w:val="single"/>
        </w:rPr>
        <w:t>Section 2.13(a)</w:t>
      </w:r>
      <w:r>
        <w:rPr>
          <w:color w:val="000000"/>
        </w:rPr>
        <w:t xml:space="preserve"> </w:t>
      </w:r>
      <w:r>
        <w:rPr>
          <w:rFonts w:ascii="Times New Roman;serif" w:hAnsi="Times New Roman;serif"/>
          <w:b w:val="false"/>
          <w:color w:val="000000"/>
          <w:sz w:val="24"/>
        </w:rPr>
        <w:t xml:space="preserve">shall be accompanied by accrued but unpaid interest on the principal amount being prepaid to (but not including) the date of prepayment, plus any Fees and any losses, costs and expenses, as more fully described in </w:t>
      </w:r>
      <w:r>
        <w:rPr>
          <w:rFonts w:ascii="Times New Roman;serif" w:hAnsi="Times New Roman;serif"/>
          <w:b w:val="false"/>
          <w:color w:val="000000"/>
          <w:sz w:val="24"/>
          <w:u w:val="single"/>
        </w:rPr>
        <w:t>Sections 2.15</w:t>
      </w:r>
      <w:r>
        <w:rPr>
          <w:color w:val="000000"/>
        </w:rPr>
        <w:t xml:space="preserve"> </w:t>
      </w:r>
      <w:r>
        <w:rPr>
          <w:rFonts w:ascii="Times New Roman;serif" w:hAnsi="Times New Roman;serif"/>
          <w:b w:val="false"/>
          <w:color w:val="000000"/>
          <w:sz w:val="24"/>
        </w:rPr>
        <w:t>hereof.</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88" w:name="ia6ac05eb6a6e427aa58fe038da5c3a3f"/>
      <w:bookmarkEnd w:id="88"/>
      <w:r>
        <w:rPr>
          <w:rFonts w:ascii="Times New Roman;serif" w:hAnsi="Times New Roman;serif"/>
          <w:b w:val="false"/>
          <w:color w:val="000000"/>
          <w:sz w:val="24"/>
        </w:rPr>
        <w:t xml:space="preserve">(c)    [Intentionally Omitted.] </w:t>
      </w:r>
    </w:p>
    <w:p>
      <w:pPr>
        <w:pStyle w:val="TextBody"/>
        <w:bidi w:val="0"/>
        <w:spacing w:lineRule="auto" w:line="288" w:before="240" w:after="283"/>
        <w:ind w:left="0" w:right="0" w:firstLine="720"/>
        <w:jc w:val="left"/>
        <w:rPr/>
      </w:pPr>
      <w:bookmarkStart w:id="89" w:name="i3e4527e9725b464985b12b2b34ed244c"/>
      <w:bookmarkEnd w:id="89"/>
      <w:r>
        <w:rPr>
          <w:rFonts w:ascii="Times New Roman;serif" w:hAnsi="Times New Roman;serif"/>
          <w:b w:val="false"/>
          <w:color w:val="000000"/>
          <w:sz w:val="24"/>
        </w:rPr>
        <w:t xml:space="preserve">(d)    Each notice of prepayment shall specify the prepayment date, the principal amount of the Loans to be prepaid and, in the case of Term Benchmark Loans, the Borrowing or Borrowings pursuant to which made, shall be irrevocable and shall commit the Borrower to prepay such Loan by the amount and on the date stated therein;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Borrower may revoke any notice of prepayment under this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if such prepayment would have resulted from a refinancing of any or all of the Obligations hereunder, which refinancing shall not be consummated or shall otherwise be delayed. The Administrative Agent shall, promptly after receiving notice from the Borrower hereunder, notify each Lender of the principal amount of the Loans held by such Lender which are to be prepaid, the prepayment date and the manner of application of the prepayment.</w:t>
      </w:r>
    </w:p>
    <w:p>
      <w:pPr>
        <w:pStyle w:val="TextBody"/>
        <w:bidi w:val="0"/>
        <w:spacing w:lineRule="auto" w:line="288" w:before="240" w:after="283"/>
        <w:ind w:left="0" w:right="0" w:firstLine="720"/>
        <w:jc w:val="left"/>
        <w:rPr/>
      </w:pPr>
      <w:bookmarkStart w:id="90" w:name="i4c4a426771b44ab2879e486e6dacd4a1"/>
      <w:bookmarkEnd w:id="90"/>
      <w:r>
        <w:rPr>
          <w:rFonts w:ascii="Times New Roman;serif" w:hAnsi="Times New Roman;serif"/>
          <w:b w:val="false"/>
          <w:color w:val="000000"/>
          <w:sz w:val="24"/>
        </w:rPr>
        <w:t>Section 2.14.    </w:t>
      </w:r>
      <w:r>
        <w:rPr>
          <w:rFonts w:ascii="Times New Roman;serif" w:hAnsi="Times New Roman;serif"/>
          <w:b w:val="false"/>
          <w:color w:val="000000"/>
          <w:sz w:val="24"/>
          <w:u w:val="single"/>
        </w:rPr>
        <w:t>Increased Costs</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91" w:name="iac148945dc5044169e8f159fef1c458b"/>
      <w:bookmarkEnd w:id="91"/>
      <w:r>
        <w:rPr>
          <w:rFonts w:ascii="Times New Roman;serif" w:hAnsi="Times New Roman;serif"/>
          <w:b w:val="false"/>
          <w:color w:val="000000"/>
          <w:sz w:val="24"/>
        </w:rPr>
        <w:t>(a)    If any Change in Law shall:</w:t>
      </w:r>
    </w:p>
    <w:p>
      <w:pPr>
        <w:pStyle w:val="TextBody"/>
        <w:bidi w:val="0"/>
        <w:spacing w:lineRule="auto" w:line="288" w:before="240" w:after="283"/>
        <w:ind w:left="0" w:right="0" w:firstLine="720"/>
        <w:jc w:val="left"/>
        <w:rPr/>
      </w:pPr>
      <w:bookmarkStart w:id="92" w:name="i544484952d714cc282c57ddbada1eb8d"/>
      <w:bookmarkEnd w:id="92"/>
      <w:r>
        <w:rPr>
          <w:rFonts w:ascii="Times New Roman;serif" w:hAnsi="Times New Roman;serif"/>
          <w:b w:val="false"/>
          <w:color w:val="000000"/>
          <w:sz w:val="24"/>
        </w:rPr>
        <w:t xml:space="preserve">(i)    impose, modify or deem applicable any reserve, special deposit, compulsory loan, insurance charge or similar requirement against assets of, deposits with or for the account of, or credit extended by, any Lender or Issuing Lender (except any such reserve requirement subject to </w:t>
      </w:r>
      <w:r>
        <w:rPr>
          <w:rFonts w:ascii="Times New Roman;serif" w:hAnsi="Times New Roman;serif"/>
          <w:b w:val="false"/>
          <w:color w:val="000000"/>
          <w:sz w:val="24"/>
          <w:u w:val="single"/>
        </w:rPr>
        <w:t>Section 2.14(c)</w:t>
      </w:r>
      <w:r>
        <w:rPr>
          <w:rFonts w:ascii="Times New Roman;serif" w:hAnsi="Times New Roman;serif"/>
          <w:b w:val="false"/>
          <w:color w:val="000000"/>
          <w:sz w:val="24"/>
        </w:rPr>
        <w:t>); or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93" w:name="i60d064077fa94d54a896ef507f9a2189"/>
      <w:bookmarkEnd w:id="93"/>
      <w:r>
        <w:rPr>
          <w:rFonts w:ascii="Times New Roman;serif" w:hAnsi="Times New Roman;serif"/>
          <w:b w:val="false"/>
          <w:color w:val="000000"/>
          <w:sz w:val="24"/>
        </w:rPr>
        <w:t>(ii)    impose on any Lender or Issuing Lender or the London interbank market any other condition, cost or expense (other than Taxes) affecting this Agreement or Term Benchmark Loans made by such Lender or any Letter of Credit or participation therein;</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and the result of any of the foregoing shall be to increase the cost to such Lender of making, converting into, continuing or maintaining any Term Benchmark Loan (or of maintaining its obligation to make any such Loan) or to increase the cost to such Lender or Issuing Lender of participating in, issuing or maintaining any Letter of Credit or to reduce the amount of any sum received or receivable by such Lender or Issuing Lender hereunder with respect to any Term Benchmark Loan or Letter of Credit (whether of principal, interest or otherwise), then, upon the request of such Lender or Issuing Lender, the Borrower will pay to such Lender or Issuing Lender, as the case may be, such additional amount or amounts as will compensate such Lender or Issuing Lender, as the case may be, for such additional costs incurred or reduction suffered.</w:t>
      </w:r>
    </w:p>
    <w:p>
      <w:pPr>
        <w:pStyle w:val="TextBody"/>
        <w:bidi w:val="0"/>
        <w:spacing w:before="0" w:after="0"/>
        <w:jc w:val="center"/>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25145"/>
                <wp:effectExtent l="0" t="0" r="0" b="0"/>
                <wp:wrapNone/>
                <wp:docPr id="106" name="Frame10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94" w:name="i46225cce17b94badb8bd05cb1b45115f"/>
      <w:bookmarkEnd w:id="94"/>
      <w:r>
        <w:rPr>
          <w:rFonts w:ascii="Times New Roman;serif" w:hAnsi="Times New Roman;serif"/>
          <w:b w:val="false"/>
          <w:color w:val="000000"/>
          <w:sz w:val="24"/>
        </w:rPr>
        <w:t xml:space="preserve">(b)    If any Lender or Issuing Lender reasonably determines in good faith that any Change in Law affecting such Lender or Issuing Lender or such Lender’s or Issuing Lender’s holding company regarding capital or liquidity requirements has or would have the effect of reducing the rate of return on such Lender’s or Issuing Lender’s capital or on the capital of such Lender’s or Issuing Lender’s holding company, if any, as a consequence of this Agreement or the Term Benchmark Loans made by, or participations in Letters of Credit held by, such Lender, or the Letters of Credit issued by such Issuing Lender, to a level below that which such Lender or Issuing Lender or such Lender’s or Issuing Lender’s holding company could have achieved but for such Change in Law (taking into consideration such Lender’s or Issuing Lender’s policies and the policies of such Lender’s or Issuing Lender’s holding company with respect to capital adequacy), then from time to time the Borrower will pay to such Lender or Issuing Lender, as the case may be, such additional amount or amounts, in each case as documented by such Lender or Issuing Lender to the Borrower as will compensate such Lender or Issuing Lender or such Lender’s or Issuing Lender’s holding company for any such reduction suffered; it being understood that to the extent duplicative of the provisions in </w:t>
      </w:r>
      <w:r>
        <w:rPr>
          <w:rFonts w:ascii="Times New Roman;serif" w:hAnsi="Times New Roman;serif"/>
          <w:b w:val="false"/>
          <w:color w:val="000000"/>
          <w:sz w:val="24"/>
          <w:u w:val="single"/>
        </w:rPr>
        <w:t>Section 2.16</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2.14(b)</w:t>
      </w:r>
      <w:r>
        <w:rPr>
          <w:color w:val="000000"/>
        </w:rPr>
        <w:t xml:space="preserve"> </w:t>
      </w:r>
      <w:r>
        <w:rPr>
          <w:rFonts w:ascii="Times New Roman;serif" w:hAnsi="Times New Roman;serif"/>
          <w:b w:val="false"/>
          <w:color w:val="000000"/>
          <w:sz w:val="24"/>
        </w:rPr>
        <w:t xml:space="preserve">shall not apply to Taxes.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95" w:name="ic08bf5d1f6c34c458b2282ede2e736f3"/>
      <w:bookmarkEnd w:id="95"/>
      <w:r>
        <w:rPr>
          <w:rFonts w:ascii="Times New Roman;serif" w:hAnsi="Times New Roman;serif"/>
          <w:b w:val="false"/>
          <w:color w:val="000000"/>
          <w:sz w:val="24"/>
        </w:rPr>
        <w:t>(c)    Solely to the extent arising from a Change in Law, the Borrower shall pay to each Lender (i) as long as such Lender shall be required to maintain reserves with respect to liabilities or assets consisting of or including Term Benchmark funds or deposits, additional interest on the unpaid principal amount of each Term Benchmark Loan equal to the actual costs of such reserves allocated to such Loan by such Lender (as determined by such Lender in good faith, which determination shall be conclusive in the absence of manifest error) and (ii) as long as such Lender shall be required to comply with any reserve ratio requirement or analogous requirement of any other central banking or financial regulatory authority imposed in respect of the maintenance of the Commitments or the funding of the Term Benchmark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provided the Borrower shall have received at least fifteen (15) days’ prior written notice (with a copy to the Administrative Agent, and which notice shall specify the Statutory Reserve Rate, if any, applicable to such Lender) of such additional interest or cost from such Lender. If a Lender fails to give written notice fifteen (15) days prior to the relevant Interest Payment Date, such additional interest or cost shall be due and payable fifteen (15) days from receipt of such notice.</w:t>
      </w:r>
    </w:p>
    <w:p>
      <w:pPr>
        <w:pStyle w:val="TextBody"/>
        <w:bidi w:val="0"/>
        <w:spacing w:lineRule="auto" w:line="288" w:before="240" w:after="283"/>
        <w:ind w:left="0" w:right="0" w:firstLine="720"/>
        <w:jc w:val="left"/>
        <w:rPr/>
      </w:pPr>
      <w:bookmarkStart w:id="96" w:name="iab67f6cfa3a543fd85c308aa6879103b"/>
      <w:bookmarkEnd w:id="96"/>
      <w:r>
        <w:rPr>
          <w:rFonts w:ascii="Times New Roman;serif" w:hAnsi="Times New Roman;serif"/>
          <w:b w:val="false"/>
          <w:color w:val="000000"/>
          <w:sz w:val="24"/>
        </w:rPr>
        <w:t xml:space="preserve">(d)    A certificate of a Lender or Issuing Lender setting forth the amount or amounts necessary to compensate such Lender or Issuing Lender or its holding company, as the case may be, as specified in </w:t>
      </w:r>
      <w:r>
        <w:rPr>
          <w:rFonts w:ascii="Times New Roman;serif" w:hAnsi="Times New Roman;serif"/>
          <w:b w:val="false"/>
          <w:color w:val="000000"/>
          <w:sz w:val="24"/>
          <w:u w:val="single"/>
        </w:rPr>
        <w:t>paragraph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and the basis for calculating such amount or amounts shall be delivered to the Borrower and shall be </w:t>
      </w:r>
      <w:r>
        <w:rPr>
          <w:rFonts w:ascii="Times New Roman;serif" w:hAnsi="Times New Roman;serif"/>
          <w:b w:val="false"/>
          <w:i/>
          <w:color w:val="000000"/>
          <w:sz w:val="24"/>
        </w:rPr>
        <w:t>prima facie</w:t>
      </w:r>
      <w:r>
        <w:rPr>
          <w:color w:val="000000"/>
        </w:rPr>
        <w:t xml:space="preserve"> </w:t>
      </w:r>
      <w:r>
        <w:rPr>
          <w:rFonts w:ascii="Times New Roman;serif" w:hAnsi="Times New Roman;serif"/>
          <w:b w:val="false"/>
          <w:color w:val="000000"/>
          <w:sz w:val="24"/>
        </w:rPr>
        <w:t>evidence of the amount due. The Borrower shall pay such Lender or Issuing Lender, as the case may be, the amount due within fifteen (15) days after receipt of such certificate.</w:t>
      </w:r>
    </w:p>
    <w:p>
      <w:pPr>
        <w:pStyle w:val="TextBody"/>
        <w:bidi w:val="0"/>
        <w:spacing w:before="0" w:after="0"/>
        <w:jc w:val="center"/>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25145"/>
                <wp:effectExtent l="0" t="0" r="0" b="0"/>
                <wp:wrapNone/>
                <wp:docPr id="107" name="Frame10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97" w:name="i0544abb3b07f426ca6ecbc8f780525c2"/>
      <w:bookmarkEnd w:id="97"/>
      <w:r>
        <w:rPr>
          <w:rFonts w:ascii="Times New Roman;serif" w:hAnsi="Times New Roman;serif"/>
          <w:b w:val="false"/>
          <w:color w:val="000000"/>
          <w:sz w:val="24"/>
        </w:rPr>
        <w:t xml:space="preserve">(e)    Failure or delay on the part of any Lender or Issuing Lender to demand compensation pursuant to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shall not constitute a waiver of such Lender’s or Issuing Lender’s right to demand such compensation;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Borrower shall not be required to compensate a Lender or Issuing Lender pursuant to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for any increased costs or reductions incurred more than 180 days prior to the date that such Lender or Issuing Lender, as the case may be, notifies the Borrower of the Change in Law giving rise to such increased costs or reductions and of such Lender’s or Issuing Lender’s intention to claim compensation therefor;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if the Change in Law giving rise to such increased costs or reductions is retroactive, then the 180-day period referred to above shall be extended to include the period of retroactive effect thereof. The protection of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shall be available to each Lender regardless of any possible contention as to the invalidity or inapplicability of the law, rule, regulation, guideline or other change or condition which shall have occurred or been imposed.</w:t>
      </w:r>
    </w:p>
    <w:p>
      <w:pPr>
        <w:pStyle w:val="TextBody"/>
        <w:bidi w:val="0"/>
        <w:spacing w:lineRule="auto" w:line="288" w:before="240" w:after="283"/>
        <w:ind w:left="0" w:right="0" w:firstLine="720"/>
        <w:jc w:val="left"/>
        <w:rPr/>
      </w:pPr>
      <w:bookmarkStart w:id="98" w:name="i1b1de8a2da314e46adcafaa695235b6e"/>
      <w:bookmarkEnd w:id="98"/>
      <w:r>
        <w:rPr>
          <w:rFonts w:ascii="Times New Roman;serif" w:hAnsi="Times New Roman;serif"/>
          <w:b w:val="false"/>
          <w:color w:val="000000"/>
          <w:sz w:val="24"/>
        </w:rPr>
        <w:t xml:space="preserve">(f)    The Borrower shall not be required to make payments under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to any Lender or Issuing Lender if (A) a claim hereunder arises solely through circumstances peculiar to such Lender or Issuing Lender and which do not affect commercial banks in the jurisdiction of organization of such Lender or Issuing Lender generally, (B) the claim arises out of a voluntary relocation by such Lender or Issuing Lender of its applicable Lending Office (it being understood that any such relocation effected pursuant to </w:t>
      </w:r>
      <w:r>
        <w:rPr>
          <w:rFonts w:ascii="Times New Roman;serif" w:hAnsi="Times New Roman;serif"/>
          <w:b w:val="false"/>
          <w:color w:val="000000"/>
          <w:sz w:val="24"/>
          <w:u w:val="single"/>
        </w:rPr>
        <w:t>Section 2.18</w:t>
      </w:r>
      <w:r>
        <w:rPr>
          <w:color w:val="000000"/>
        </w:rPr>
        <w:t xml:space="preserve"> </w:t>
      </w:r>
      <w:r>
        <w:rPr>
          <w:rFonts w:ascii="Times New Roman;serif" w:hAnsi="Times New Roman;serif"/>
          <w:b w:val="false"/>
          <w:color w:val="000000"/>
          <w:sz w:val="24"/>
        </w:rPr>
        <w:t>is not “voluntary”), or (C) such Lender or Issuing Lender is not seeking similar compensation for such costs to which it is entitled from its borrowers generally in commercial loans of a similar size.</w:t>
      </w:r>
    </w:p>
    <w:p>
      <w:pPr>
        <w:pStyle w:val="TextBody"/>
        <w:bidi w:val="0"/>
        <w:spacing w:lineRule="auto" w:line="288" w:before="240" w:after="283"/>
        <w:ind w:left="0" w:right="0" w:firstLine="720"/>
        <w:jc w:val="left"/>
        <w:rPr/>
      </w:pPr>
      <w:bookmarkStart w:id="99" w:name="ic441aaa84e4e483ebd42c0ff5f9fcb9f"/>
      <w:bookmarkEnd w:id="99"/>
      <w:r>
        <w:rPr>
          <w:rFonts w:ascii="Times New Roman;serif" w:hAnsi="Times New Roman;serif"/>
          <w:b w:val="false"/>
          <w:color w:val="000000"/>
          <w:sz w:val="24"/>
        </w:rPr>
        <w:t xml:space="preserve">(g)    Notwithstanding anything herein to the contrary, regulations, requests, rules, guidelines or directives implemented after the Closing Date pursuant to the Dodd-Frank Wall Street Reform and Consumer Protection Act shall be deemed to be a Change in Law;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determination by a Lender or Issuing Lender of amounts owed pursuant to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to such Lender or Issuing Lender due to any such Change in Law shall be made in good faith in a manner generally consistent with such Lender’s or Issuing Lender’s standard practice.</w:t>
      </w:r>
    </w:p>
    <w:p>
      <w:pPr>
        <w:pStyle w:val="TextBody"/>
        <w:bidi w:val="0"/>
        <w:spacing w:lineRule="auto" w:line="288" w:before="240" w:after="283"/>
        <w:ind w:left="0" w:right="0" w:firstLine="720"/>
        <w:jc w:val="left"/>
        <w:rPr/>
      </w:pPr>
      <w:bookmarkStart w:id="100" w:name="iaf8ceb197d7146f795506c78557d327a"/>
      <w:bookmarkEnd w:id="100"/>
      <w:r>
        <w:rPr>
          <w:rFonts w:ascii="Times New Roman;serif" w:hAnsi="Times New Roman;serif"/>
          <w:b w:val="false"/>
          <w:color w:val="000000"/>
          <w:sz w:val="24"/>
        </w:rPr>
        <w:t>Section 2.15.    </w:t>
      </w:r>
      <w:r>
        <w:rPr>
          <w:rFonts w:ascii="Times New Roman;serif" w:hAnsi="Times New Roman;serif"/>
          <w:b w:val="false"/>
          <w:color w:val="000000"/>
          <w:sz w:val="24"/>
          <w:u w:val="single"/>
        </w:rPr>
        <w:t>Break Funding Payments</w:t>
      </w:r>
      <w:r>
        <w:rPr>
          <w:rFonts w:ascii="Times New Roman;serif" w:hAnsi="Times New Roman;serif"/>
          <w:b w:val="false"/>
          <w:color w:val="000000"/>
          <w:sz w:val="24"/>
        </w:rPr>
        <w:t xml:space="preserve">. In the event of (a) the payment of any principal of any Term Benchmark Loan other than on the last day of an Interest Period applicable thereto (including as a result of the occurrence and continuance of an Event of Default), (b) the failure to borrow, convert, continue or prepay any Term Benchmark Loan on the date specified in any notice delivered pursuant hereto, or (c) the assignment of any Term Benchmark Loan other than on the last day of the Interest Period applicable thereto as a result of a request by the Borrower pursuant to </w:t>
      </w:r>
      <w:r>
        <w:rPr>
          <w:rFonts w:ascii="Times New Roman;serif" w:hAnsi="Times New Roman;serif"/>
          <w:b w:val="false"/>
          <w:color w:val="000000"/>
          <w:sz w:val="24"/>
          <w:u w:val="single"/>
        </w:rPr>
        <w:t>Section 2.18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2.27(d)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10.08(d)</w:t>
      </w:r>
      <w:r>
        <w:rPr>
          <w:rFonts w:ascii="Times New Roman;serif" w:hAnsi="Times New Roman;serif"/>
          <w:b w:val="false"/>
          <w:color w:val="000000"/>
          <w:sz w:val="24"/>
        </w:rPr>
        <w:t xml:space="preserve">, then, in any such event, at the request of such Lender, the Borrower shall compensate such Lender for the loss, cost and expense sustained by such Lender attributable to such event;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no case shall this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 xml:space="preserve">apply to any payment pursuant to </w:t>
      </w:r>
      <w:r>
        <w:rPr>
          <w:rFonts w:ascii="Times New Roman;serif" w:hAnsi="Times New Roman;serif"/>
          <w:b w:val="false"/>
          <w:color w:val="000000"/>
          <w:sz w:val="24"/>
          <w:u w:val="single"/>
        </w:rPr>
        <w:t>Section 2.10(a)</w:t>
      </w:r>
      <w:r>
        <w:rPr>
          <w:rFonts w:ascii="Times New Roman;serif" w:hAnsi="Times New Roman;serif"/>
          <w:b w:val="false"/>
          <w:color w:val="000000"/>
          <w:sz w:val="24"/>
        </w:rPr>
        <w:t xml:space="preserve">. Such loss, cost or expense to any Lender shall be deemed to include an amount reasonably determined in good faith by such Lender to be the excess, if any, of (i) the amount of interest which would have accrued on the principal amount of such Loan had such event not occurred, at the applicable rate of interest for such Loan (excluding, however the Applicable Margin included therein, if any), for the period </w:t>
      </w:r>
    </w:p>
    <w:p>
      <w:pPr>
        <w:pStyle w:val="TextBody"/>
        <w:bidi w:val="0"/>
        <w:spacing w:before="0" w:after="0"/>
        <w:jc w:val="center"/>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25145"/>
                <wp:effectExtent l="0" t="0" r="0" b="0"/>
                <wp:wrapNone/>
                <wp:docPr id="108" name="Frame10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from the date of such event to the last day of the then current Interest Period therefor (or, in the case of a failure to borrow, convert or continue, for the period that would have been the Interest Period for such Loan), over (ii) the amount of interest (as reasonably determined by such Lender) which would accrue on such principal amount for such period at the interest rate which such Lender would be received at the Term SOFR Rate for the rest of the period. A certificate of any Lender setting forth any amount or amounts (and the basis for requesting such amount or amounts) that such Lender is entitled to receive pursuant to this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 xml:space="preserve">shall be delivered to the Borrower and shall be </w:t>
      </w:r>
      <w:r>
        <w:rPr>
          <w:rFonts w:ascii="Times New Roman;serif" w:hAnsi="Times New Roman;serif"/>
          <w:b w:val="false"/>
          <w:i/>
          <w:color w:val="000000"/>
          <w:sz w:val="24"/>
        </w:rPr>
        <w:t>prima facie</w:t>
      </w:r>
      <w:r>
        <w:rPr>
          <w:color w:val="000000"/>
        </w:rPr>
        <w:t xml:space="preserve"> </w:t>
      </w:r>
      <w:r>
        <w:rPr>
          <w:rFonts w:ascii="Times New Roman;serif" w:hAnsi="Times New Roman;serif"/>
          <w:b w:val="false"/>
          <w:color w:val="000000"/>
          <w:sz w:val="24"/>
        </w:rPr>
        <w:t>evidence of the amount due. The Borrower shall pay such Lender the amount due within fifteen (15) days after receipt of such certificate.</w:t>
      </w:r>
    </w:p>
    <w:p>
      <w:pPr>
        <w:pStyle w:val="TextBody"/>
        <w:bidi w:val="0"/>
        <w:spacing w:lineRule="auto" w:line="288" w:before="240" w:after="283"/>
        <w:ind w:left="0" w:right="0" w:firstLine="720"/>
        <w:jc w:val="left"/>
        <w:rPr/>
      </w:pPr>
      <w:bookmarkStart w:id="101" w:name="i4886ee7f06c34ca6ab7025cf9a852d46"/>
      <w:bookmarkEnd w:id="101"/>
      <w:r>
        <w:rPr>
          <w:rFonts w:ascii="Times New Roman;serif" w:hAnsi="Times New Roman;serif"/>
          <w:b w:val="false"/>
          <w:color w:val="000000"/>
          <w:sz w:val="24"/>
        </w:rPr>
        <w:t>Section 2.16.    </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left"/>
        <w:rPr/>
      </w:pPr>
      <w:bookmarkStart w:id="102" w:name="iad611830662242f68f5a1a47fdbbac82"/>
      <w:bookmarkEnd w:id="102"/>
      <w:r>
        <w:rPr>
          <w:rFonts w:ascii="Times New Roman;serif" w:hAnsi="Times New Roman;serif"/>
          <w:b w:val="false"/>
          <w:color w:val="000000"/>
          <w:sz w:val="24"/>
        </w:rPr>
        <w:t xml:space="preserve">(a)    Any and all payments by or on account of any Obligation of the Borrower or any Guarantor hereunder or under any other Loan Document shall be made free and clear of and without deduction for any Indemnified Taxes or Other Taxes;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any Indemnified Taxes or Other Taxes are required to be withheld from any amounts payable to the Administrative Agent, any Lender or any Issuing Lender, as determined in good faith by the applicable Withholding Agent, then (i) the sum payable by the Borrower or applicable Guarantor shall be increased as necessary so that after making all required deductions for any Indemnified Taxes or Other Taxes (including deductions for any Indemnified Taxes or Other Taxes applicable to additional sums payable under this </w:t>
      </w:r>
      <w:r>
        <w:rPr>
          <w:rFonts w:ascii="Times New Roman;serif" w:hAnsi="Times New Roman;serif"/>
          <w:b w:val="false"/>
          <w:color w:val="000000"/>
          <w:sz w:val="24"/>
          <w:u w:val="single"/>
        </w:rPr>
        <w:t>Section 2.16</w:t>
      </w:r>
      <w:r>
        <w:rPr>
          <w:rFonts w:ascii="Times New Roman;serif" w:hAnsi="Times New Roman;serif"/>
          <w:b w:val="false"/>
          <w:color w:val="000000"/>
          <w:sz w:val="24"/>
        </w:rPr>
        <w:t>), the Administrative Agent, Lender, Issuing Lender or any other recipient of such payments (as the case may be) receives an amount equal to the sum it would have received had no such deductions been made, (ii) the applicable Withholding Agent shall make such deductions and (iii) the applicable Withholding Agent shall timely pay the full amount deducted to the relevant Governmental Authority in accordance with applicable law.</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03" w:name="id6c0a62342904bb09a0ee055e1bb3eaf"/>
      <w:bookmarkEnd w:id="103"/>
      <w:r>
        <w:rPr>
          <w:rFonts w:ascii="Times New Roman;serif" w:hAnsi="Times New Roman;serif"/>
          <w:b w:val="false"/>
          <w:color w:val="000000"/>
          <w:sz w:val="24"/>
        </w:rPr>
        <w:t>(b)    In addition, the Borrower or any Guarantor, as applicable, shall pay any Other Taxes to the relevant Governmental Authority in accordance with applicable law.</w:t>
      </w:r>
    </w:p>
    <w:p>
      <w:pPr>
        <w:pStyle w:val="TextBody"/>
        <w:bidi w:val="0"/>
        <w:spacing w:lineRule="auto" w:line="288" w:before="240" w:after="283"/>
        <w:ind w:left="0" w:right="0" w:firstLine="720"/>
        <w:jc w:val="left"/>
        <w:rPr/>
      </w:pPr>
      <w:bookmarkStart w:id="104" w:name="i7b6f7bb8a9684c8e9fe9df4a183d6c6e"/>
      <w:bookmarkEnd w:id="104"/>
      <w:r>
        <w:rPr>
          <w:rFonts w:ascii="Times New Roman;serif" w:hAnsi="Times New Roman;serif"/>
          <w:b w:val="false"/>
          <w:color w:val="000000"/>
          <w:sz w:val="24"/>
        </w:rPr>
        <w:t xml:space="preserve">(c)    The Borrower shall indemnify the Administrative Agent, each Lender and each Issuing Lender, within ten (10) days after written demand therefor, for the full amount of any Indemnified Taxes or Other Taxes paid by or on behalf of or withheld or deducted from payments owing to the Administrative Agent, such Lender or such Issuing Lender, as the case may be, on or with respect to any payment by or on account of any obligation of the Borrower or any Guarantor hereunder or under any other Loan Document (including Indemnified Taxes or Other Taxes imposed or asserted on or attributable to amounts payable under this </w:t>
      </w:r>
      <w:r>
        <w:rPr>
          <w:rFonts w:ascii="Times New Roman;serif" w:hAnsi="Times New Roman;serif"/>
          <w:b w:val="false"/>
          <w:color w:val="000000"/>
          <w:sz w:val="24"/>
          <w:u w:val="single"/>
        </w:rPr>
        <w:t>Section 2.16</w:t>
      </w:r>
      <w:r>
        <w:rPr>
          <w:rFonts w:ascii="Times New Roman;serif" w:hAnsi="Times New Roman;serif"/>
          <w:b w:val="false"/>
          <w:color w:val="000000"/>
          <w:sz w:val="24"/>
        </w:rPr>
        <w:t>)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Issuing Lender, or by the Administrative Agent on its own behalf or on behalf of a Lender or Issuing Lender, shall be conclusive absent manifest error.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05" w:name="i7fe025802adf42a3a9162402dc17a5d6"/>
      <w:bookmarkEnd w:id="105"/>
      <w:r>
        <w:rPr>
          <w:rFonts w:ascii="Times New Roman;serif" w:hAnsi="Times New Roman;serif"/>
          <w:b w:val="false"/>
          <w:color w:val="000000"/>
          <w:sz w:val="24"/>
        </w:rPr>
        <w:t xml:space="preserve">(d)    As soon as practicable after any payment of Indemnified Taxes or Other Taxes by the Borrower to a Governmental Authority, the Borrower shall deliver to the Administrative </w:t>
      </w:r>
    </w:p>
    <w:p>
      <w:pPr>
        <w:pStyle w:val="TextBody"/>
        <w:bidi w:val="0"/>
        <w:spacing w:before="0" w:after="0"/>
        <w:jc w:val="center"/>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25145"/>
                <wp:effectExtent l="0" t="0" r="0" b="0"/>
                <wp:wrapNone/>
                <wp:docPr id="109" name="Frame10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Agent the original or a certified copy of a receipt issued by such Governmental Authority evidencing such payment to the extent available, a copy of the return reporting such payment or other evidence of such payment reasonably satisfactory to the Administrative Agent.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06" w:name="i954c1d7cb9384b949a8c10bd343cd57a"/>
      <w:bookmarkEnd w:id="106"/>
      <w:r>
        <w:rPr>
          <w:rFonts w:ascii="Times New Roman;serif" w:hAnsi="Times New Roman;serif"/>
          <w:b w:val="false"/>
          <w:color w:val="000000"/>
          <w:sz w:val="24"/>
        </w:rPr>
        <w:t>(e)    Each Lender shall, within ten (10) days after written demand therefor, indemnify the Administrative Agent (to the extent the Administrative Agent has not been reimbursed by the Borrower) for the full amount of any Taxes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pStyle w:val="TextBody"/>
        <w:bidi w:val="0"/>
        <w:spacing w:lineRule="auto" w:line="288" w:before="240" w:after="283"/>
        <w:ind w:left="0" w:right="0" w:firstLine="720"/>
        <w:jc w:val="left"/>
        <w:rPr/>
      </w:pPr>
      <w:bookmarkStart w:id="107" w:name="ie0522241c05e41348c6d4594a92d8a2e"/>
      <w:bookmarkEnd w:id="107"/>
      <w:r>
        <w:rPr>
          <w:rFonts w:ascii="Times New Roman;serif" w:hAnsi="Times New Roman;serif"/>
          <w:b w:val="false"/>
          <w:color w:val="000000"/>
          <w:sz w:val="24"/>
        </w:rPr>
        <w:t xml:space="preserve">(f)    Any Lender that is not a “United States person” (as such term is defined in Section 7701(a)(30) of the Code)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and as reasonably requested by the Borrower, such properly completed and executed documentation prescribed by applicable law or requested by the Borrower as will permit such payments to be made without withholding or at a reduced rate;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Lender shall not be required to deliver any documentation pursuant to this </w:t>
      </w:r>
      <w:r>
        <w:rPr>
          <w:rFonts w:ascii="Times New Roman;serif" w:hAnsi="Times New Roman;serif"/>
          <w:b w:val="false"/>
          <w:color w:val="000000"/>
          <w:sz w:val="24"/>
          <w:u w:val="single"/>
        </w:rPr>
        <w:t>Section 2.16(f)</w:t>
      </w:r>
      <w:r>
        <w:rPr>
          <w:color w:val="000000"/>
        </w:rPr>
        <w:t xml:space="preserve"> </w:t>
      </w:r>
      <w:r>
        <w:rPr>
          <w:rFonts w:ascii="Times New Roman;serif" w:hAnsi="Times New Roman;serif"/>
          <w:b w:val="false"/>
          <w:color w:val="000000"/>
          <w:sz w:val="24"/>
        </w:rPr>
        <w:t>that such Lender is not legally able to deliver.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08" w:name="ic070b88e401f4071bbf5bb73375a1cf2"/>
      <w:bookmarkEnd w:id="108"/>
      <w:r>
        <w:rPr>
          <w:rFonts w:ascii="Times New Roman;serif" w:hAnsi="Times New Roman;serif"/>
          <w:b w:val="false"/>
          <w:color w:val="000000"/>
          <w:sz w:val="24"/>
        </w:rPr>
        <w:t xml:space="preserve">(g)    (1)    Without limiting the generality of the foregoing, each Lender that is not a “United States person” (as such term is defined in Section 7701(a)(30) of the Code) shall deliver to the Borrower and the Administrative Agent on or prior to the date on which such Lender becomes a Lender under this Agreement (and from time to time thereafter when the previously delivered certificates and/or forms expire, or upon request of the Borrower or the Administrative Agent) whichever of the following is applicable: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09" w:name="i13619cecc8af4004841f3db97351c0ce"/>
      <w:bookmarkEnd w:id="109"/>
      <w:r>
        <w:rPr>
          <w:rFonts w:ascii="Times New Roman;serif" w:hAnsi="Times New Roman;serif"/>
          <w:b w:val="false"/>
          <w:color w:val="000000"/>
          <w:sz w:val="24"/>
        </w:rPr>
        <w:t xml:space="preserve">(i)    two (2) duly executed copies of the applicable Internal Revenue Service Form W-8BEN or W-8BEN-E (or any successor form), claiming eligibility for benefits of an income tax treaty to which the United States of America is a party,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10" w:name="iaefaad790d4d42dab76ced550b6819d5"/>
      <w:bookmarkEnd w:id="110"/>
      <w:r>
        <w:rPr>
          <w:rFonts w:ascii="Times New Roman;serif" w:hAnsi="Times New Roman;serif"/>
          <w:b w:val="false"/>
          <w:color w:val="000000"/>
          <w:sz w:val="24"/>
        </w:rPr>
        <w:t xml:space="preserve">(ii)    two (2) duly executed copies of Internal Revenue Service Form W-8ECI (or any successor form),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11" w:name="i87615f85efcb499b8def75af3b3065d1"/>
      <w:bookmarkEnd w:id="111"/>
      <w:r>
        <w:rPr>
          <w:rFonts w:ascii="Times New Roman;serif" w:hAnsi="Times New Roman;serif"/>
          <w:b w:val="false"/>
          <w:color w:val="000000"/>
          <w:sz w:val="24"/>
        </w:rPr>
        <w:t xml:space="preserve">(iii)    two (2) duly executed copies of Internal Revenue Service Form W-8IMY (or any successor form), accompanied by Internal Revenue Service Form W-8ECI (or any successor form), the applicable Internal Revenue Service Form W-8BEN or W-8BEN-E (or any successor form), Internal Revenue Service Form W-9 (or any successor form), and/or other certification documents from each beneficial owner, as applicable, </w:t>
      </w:r>
    </w:p>
    <w:p>
      <w:pPr>
        <w:pStyle w:val="TextBody"/>
        <w:bidi w:val="0"/>
        <w:spacing w:lineRule="auto" w:line="288" w:before="240" w:after="283"/>
        <w:ind w:left="0" w:right="0" w:firstLine="720"/>
        <w:jc w:val="left"/>
        <w:rPr/>
      </w:pPr>
      <w:bookmarkStart w:id="112" w:name="i4e99fae0e1cd4c219546de6d5359cd04"/>
      <w:bookmarkEnd w:id="112"/>
      <w:r>
        <w:rPr>
          <w:rFonts w:ascii="Times New Roman;serif" w:hAnsi="Times New Roman;serif"/>
          <w:b w:val="false"/>
          <w:color w:val="000000"/>
          <w:sz w:val="24"/>
        </w:rPr>
        <w:t>(iv)    in the case of such Lender claiming the benefits of exemption for portfolio interest under Section 881(c) of the Code (the “</w:t>
      </w:r>
      <w:r>
        <w:rPr>
          <w:rFonts w:ascii="Times New Roman;serif" w:hAnsi="Times New Roman;serif"/>
          <w:b w:val="false"/>
          <w:color w:val="000000"/>
          <w:sz w:val="24"/>
          <w:u w:val="single"/>
        </w:rPr>
        <w:t>Portfolio Interest Exemption</w:t>
      </w:r>
      <w:r>
        <w:rPr>
          <w:color w:val="000000"/>
        </w:rPr>
        <w:t>”</w:t>
      </w:r>
      <w:r>
        <w:rPr>
          <w:rFonts w:ascii="Times New Roman;serif" w:hAnsi="Times New Roman;serif"/>
          <w:b w:val="false"/>
          <w:color w:val="000000"/>
          <w:sz w:val="24"/>
        </w:rPr>
        <w:t xml:space="preserve">), (x) a </w:t>
      </w:r>
    </w:p>
    <w:p>
      <w:pPr>
        <w:pStyle w:val="TextBody"/>
        <w:bidi w:val="0"/>
        <w:spacing w:before="0" w:after="0"/>
        <w:jc w:val="center"/>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25145"/>
                <wp:effectExtent l="0" t="0" r="0" b="0"/>
                <wp:wrapNone/>
                <wp:docPr id="110" name="Frame10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certificate to the effect that such Foreign Lender is not (A) a “bank” within the meaning of Section 881(c)(3)(A) of the Code, (B) a “10 percent shareholder” of the Borrower within the meaning of Section 881(c)(3)(B) of the Code, (C) a “controlled foreign corporation” described in Section 881(c)(3)(C) of the Code or (D) conducting a trade or business in the United States with which the relevant interest payments are effectively connected (such certificate, a “</w:t>
      </w:r>
      <w:r>
        <w:rPr>
          <w:rFonts w:ascii="Times New Roman;serif" w:hAnsi="Times New Roman;serif"/>
          <w:b w:val="false"/>
          <w:color w:val="000000"/>
          <w:sz w:val="24"/>
          <w:u w:val="single"/>
        </w:rPr>
        <w:t>Certificate Re: Non-Bank Status</w:t>
      </w:r>
      <w:r>
        <w:rPr>
          <w:color w:val="000000"/>
        </w:rPr>
        <w:t>”</w:t>
      </w:r>
      <w:r>
        <w:rPr>
          <w:rFonts w:ascii="Times New Roman;serif" w:hAnsi="Times New Roman;serif"/>
          <w:b w:val="false"/>
          <w:color w:val="000000"/>
          <w:sz w:val="24"/>
        </w:rPr>
        <w:t xml:space="preserve">), or if such Foreign Lender is an entity treated as a partnership, an Internal Revenue Service Form W-8IMY (or any successor form), together with a Certificate Re: Non-Bank Status on behalf of any beneficial owners claiming the Portfolio Interest Exemption, and (y) two (2) duly executed copies of the applicable Internal Revenue Service Form W-8BEN or Internal Revenue Service Form W-8BEN-E (or any successor form), or in the case of a Foreign Lender that is treated as a partnership, two (2) duly executed copies of Internal Revenue Service Form W-8IMY (or any successor form), together with the appropriate Internal Revenue Service Form W-8BEN or Internal Revenue Service Form W-8BEN-E (or any successor form) on behalf of each beneficial owner claiming the Portfolio Interest Exemption, or </w:t>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4"/>
        </w:rPr>
        <w:t xml:space="preserve">(v)     any other form prescribed by applicable law as a basis for claiming exemption from or a reduction in United States federal withholding tax and reasonably requested by the Borrower or the Administrative Agent to permit the Borrower to determine the withholding or required deduction to be made. </w:t>
      </w:r>
    </w:p>
    <w:p>
      <w:pPr>
        <w:pStyle w:val="TextBody"/>
        <w:bidi w:val="0"/>
        <w:spacing w:lineRule="auto" w:line="288" w:before="240" w:after="283"/>
        <w:jc w:val="left"/>
        <w:rPr/>
      </w:pPr>
      <w:r>
        <w:rPr>
          <w:rFonts w:ascii="Times New Roman;serif" w:hAnsi="Times New Roman;serif"/>
          <w:b w:val="false"/>
          <w:color w:val="000000"/>
          <w:sz w:val="24"/>
        </w:rPr>
        <w:t xml:space="preserve">A Lender shall not be required to deliver any form or statement pursuant to this </w:t>
      </w:r>
      <w:r>
        <w:rPr>
          <w:rFonts w:ascii="Times New Roman;serif" w:hAnsi="Times New Roman;serif"/>
          <w:b w:val="false"/>
          <w:color w:val="000000"/>
          <w:sz w:val="24"/>
          <w:u w:val="single"/>
        </w:rPr>
        <w:t>Section 2.16(g)</w:t>
      </w:r>
      <w:r>
        <w:rPr>
          <w:color w:val="000000"/>
        </w:rPr>
        <w:t xml:space="preserve"> </w:t>
      </w:r>
      <w:r>
        <w:rPr>
          <w:rFonts w:ascii="Times New Roman;serif" w:hAnsi="Times New Roman;serif"/>
          <w:b w:val="false"/>
          <w:color w:val="000000"/>
          <w:sz w:val="24"/>
        </w:rPr>
        <w:t>that such Lender is not legally able to deliver.</w:t>
      </w:r>
    </w:p>
    <w:p>
      <w:pPr>
        <w:pStyle w:val="TextBody"/>
        <w:bidi w:val="0"/>
        <w:spacing w:lineRule="auto" w:line="288" w:before="240" w:after="283"/>
        <w:ind w:left="0" w:right="0" w:firstLine="1440"/>
        <w:jc w:val="left"/>
        <w:rPr>
          <w:rFonts w:ascii="Times New Roman;serif" w:hAnsi="Times New Roman;serif"/>
          <w:b w:val="false"/>
          <w:color w:val="000000"/>
          <w:sz w:val="24"/>
        </w:rPr>
      </w:pPr>
      <w:bookmarkStart w:id="113" w:name="i39624ec7b296442aa5c00056135e5b97"/>
      <w:bookmarkEnd w:id="113"/>
      <w:r>
        <w:rPr>
          <w:rFonts w:ascii="Times New Roman;serif" w:hAnsi="Times New Roman;serif"/>
          <w:b w:val="false"/>
          <w:color w:val="000000"/>
          <w:sz w:val="24"/>
        </w:rPr>
        <w:t xml:space="preserve">(2)    Any Lender that is a “United States Person” (as such term is defined in Section 7701(a)(30) of the Code) shall deliver to the Administrative Agent and the Borrower, on or prior to the date on which such Lender becomes a party to this Agreement (and from time to time thereafter when the previously delivered certificates and/or forms expire, or upon request of the Borrower or the Administrative Agent), two (2) copies of Internal Revenue Service Form W-9 (or any successor form), properly completed and duly executed by such Lender, certifying that such Lender is entitled to an exemption from United States backup withholding tax. </w:t>
      </w:r>
    </w:p>
    <w:p>
      <w:pPr>
        <w:pStyle w:val="TextBody"/>
        <w:bidi w:val="0"/>
        <w:spacing w:lineRule="auto" w:line="288" w:before="240" w:after="283"/>
        <w:ind w:left="0" w:right="0" w:firstLine="1440"/>
        <w:jc w:val="left"/>
        <w:rPr>
          <w:rFonts w:ascii="Times New Roman;serif" w:hAnsi="Times New Roman;serif"/>
          <w:b w:val="false"/>
          <w:color w:val="000000"/>
          <w:sz w:val="24"/>
        </w:rPr>
      </w:pPr>
      <w:bookmarkStart w:id="114" w:name="ib950e23a0cfe42938d1ee31eb2bbb9c8"/>
      <w:bookmarkEnd w:id="114"/>
      <w:r>
        <w:rPr>
          <w:rFonts w:ascii="Times New Roman;serif" w:hAnsi="Times New Roman;serif"/>
          <w:b w:val="false"/>
          <w:color w:val="000000"/>
          <w:sz w:val="24"/>
        </w:rPr>
        <w:t>(3)    If a payment made to a Lender under this Agreement or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Lender has or has not complied with such Lender’s obligations under FATCA or to determine the amount to deduct and withhold from such payment.</w:t>
      </w:r>
    </w:p>
    <w:p>
      <w:pPr>
        <w:pStyle w:val="TextBody"/>
        <w:bidi w:val="0"/>
        <w:spacing w:before="0" w:after="0"/>
        <w:jc w:val="center"/>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25145"/>
                <wp:effectExtent l="0" t="0" r="0" b="0"/>
                <wp:wrapNone/>
                <wp:docPr id="111" name="Frame11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115" w:name="ieba3176f5c544a7eaed67bc60a25d05e"/>
      <w:bookmarkEnd w:id="115"/>
      <w:r>
        <w:rPr>
          <w:rFonts w:ascii="Times New Roman;serif" w:hAnsi="Times New Roman;serif"/>
          <w:b w:val="false"/>
          <w:color w:val="000000"/>
          <w:sz w:val="24"/>
        </w:rPr>
        <w:t xml:space="preserve">(h)    If the Administrative Agent or a Lender determines, in its sole discretion, reasonably exercised, that it has received a refund of any Taxes or Other Taxes from the Governmental Authority to which such Taxes or Other Taxes were paid and as to which it has been indemnified by the Borrower or a Guarantor or with respect to which the Borrower or a Guarantor has paid additional amounts pursuant to this </w:t>
      </w:r>
      <w:r>
        <w:rPr>
          <w:rFonts w:ascii="Times New Roman;serif" w:hAnsi="Times New Roman;serif"/>
          <w:b w:val="false"/>
          <w:color w:val="000000"/>
          <w:sz w:val="24"/>
          <w:u w:val="single"/>
        </w:rPr>
        <w:t>Section 2.16</w:t>
      </w:r>
      <w:r>
        <w:rPr>
          <w:rFonts w:ascii="Times New Roman;serif" w:hAnsi="Times New Roman;serif"/>
          <w:b w:val="false"/>
          <w:color w:val="000000"/>
          <w:sz w:val="24"/>
        </w:rPr>
        <w:t xml:space="preserve">, it shall pay over such refund to the Borrower or such Guarantor (but only to the extent of indemnity payments made, or additional amounts paid, by the Borrower or such Guarantor under this </w:t>
      </w:r>
      <w:r>
        <w:rPr>
          <w:rFonts w:ascii="Times New Roman;serif" w:hAnsi="Times New Roman;serif"/>
          <w:b w:val="false"/>
          <w:color w:val="000000"/>
          <w:sz w:val="24"/>
          <w:u w:val="single"/>
        </w:rPr>
        <w:t>Section 2.16</w:t>
      </w:r>
      <w:r>
        <w:rPr>
          <w:color w:val="000000"/>
        </w:rPr>
        <w:t xml:space="preserve"> </w:t>
      </w:r>
      <w:r>
        <w:rPr>
          <w:rFonts w:ascii="Times New Roman;serif" w:hAnsi="Times New Roman;serif"/>
          <w:b w:val="false"/>
          <w:color w:val="000000"/>
          <w:sz w:val="24"/>
        </w:rPr>
        <w:t xml:space="preserve">with respect to the Taxes or Other Taxes giving rise to such refund), net of all out-of-pocket expenses of the Administrative Agent or such Lender incurred in obtaining such refund (including Taxes imposed with respect to such refund) and without interest (other than any interest paid by the relevant Governmental Authority with respect to such refund);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Borrower or such Guarantor, upon the request of the Administrative Agent or such Lender, agrees to repay the amount paid over to the Borrower or such Guarantor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(h), in no event will the Administrative Agent or any Lender be required to pay any amount to the Borrower pursuant to this paragraph (h) if, and then only to the extent, the payment of such amount would place the Administrative Agent or such Lender in a less favorable net after-Tax position than the Administrative Agent or such Lender would have been in if the indemnification payments or additional amounts giving rise to such refund had never been paid. This Section shall not be construed to require the Administrative Agent or any Lender to make available its tax returns (or any other information relating to its taxes which it deems confidential) to the Borrower or any other Person.</w:t>
      </w:r>
    </w:p>
    <w:p>
      <w:pPr>
        <w:pStyle w:val="TextBody"/>
        <w:bidi w:val="0"/>
        <w:spacing w:lineRule="auto" w:line="288" w:before="240" w:after="283"/>
        <w:ind w:left="0" w:right="0" w:firstLine="720"/>
        <w:jc w:val="left"/>
        <w:rPr/>
      </w:pPr>
      <w:bookmarkStart w:id="116" w:name="i4cd632c734d046b3b486ff5094e99293"/>
      <w:bookmarkEnd w:id="116"/>
      <w:r>
        <w:rPr>
          <w:rFonts w:ascii="Times New Roman;serif" w:hAnsi="Times New Roman;serif"/>
          <w:b w:val="false"/>
          <w:color w:val="000000"/>
          <w:sz w:val="24"/>
        </w:rPr>
        <w:t>Section 2.17.    </w:t>
      </w:r>
      <w:r>
        <w:rPr>
          <w:rFonts w:ascii="Times New Roman;serif" w:hAnsi="Times New Roman;serif"/>
          <w:b w:val="false"/>
          <w:color w:val="000000"/>
          <w:sz w:val="24"/>
          <w:u w:val="single"/>
        </w:rPr>
        <w:t>Payments Generally; Pro Rata Treatment</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117" w:name="i52eeb85656db42f89f4f9f1976efc7e8"/>
      <w:bookmarkEnd w:id="117"/>
      <w:r>
        <w:rPr>
          <w:rFonts w:ascii="Times New Roman;serif" w:hAnsi="Times New Roman;serif"/>
          <w:b w:val="false"/>
          <w:color w:val="000000"/>
          <w:sz w:val="24"/>
        </w:rPr>
        <w:t xml:space="preserve">(a)    The Borrower shall make each payment or prepayment required to be made by it hereunder (whether of principal, interest, fees or reimbursement of LC Disbursements, or of amounts payable under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2.15</w:t>
      </w:r>
      <w:r>
        <w:rPr>
          <w:rFonts w:ascii="Times New Roman;serif" w:hAnsi="Times New Roman;serif"/>
          <w:b w:val="false"/>
          <w:color w:val="000000"/>
          <w:sz w:val="24"/>
        </w:rPr>
        <w:t xml:space="preserve">, or otherwise) prior to 1:00 p.m., New York City time, on the date when due, in immediately available funds, without set-off or counterclaim. Any amounts received after such time on any date may, in the reasonable discretion of the Administrative Agent, be deemed to have been received on the next succeeding Business Day for purposes of calculating interest thereon. All such payments shall be made to the Administrative Agent at its offices at 500 Stanton Christiana Road, Floor 1, Newark, DE 19713-2105, pursuant to wire instructions to be provided by the Administrative Agent, except payments to be made directly to an Issuing Lender as expressly provided herein and except that payments pursuant to </w:t>
      </w:r>
      <w:r>
        <w:rPr>
          <w:rFonts w:ascii="Times New Roman;serif" w:hAnsi="Times New Roman;serif"/>
          <w:b w:val="false"/>
          <w:color w:val="000000"/>
          <w:sz w:val="24"/>
          <w:u w:val="single"/>
        </w:rPr>
        <w:t>Sections 2.14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10.04</w:t>
      </w:r>
      <w:r>
        <w:rPr>
          <w:color w:val="000000"/>
        </w:rPr>
        <w:t xml:space="preserve"> </w:t>
      </w:r>
      <w:r>
        <w:rPr>
          <w:rFonts w:ascii="Times New Roman;serif" w:hAnsi="Times New Roman;serif"/>
          <w:b w:val="false"/>
          <w:color w:val="000000"/>
          <w:sz w:val="24"/>
        </w:rPr>
        <w:t>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unless such next succeeding Business Day would fall in the next calendar month, in which case the date for payment shall be the next preceding Business Day. All payments hereunder shall be made in U.S. Dollars.</w:t>
      </w:r>
    </w:p>
    <w:p>
      <w:pPr>
        <w:pStyle w:val="TextBody"/>
        <w:bidi w:val="0"/>
        <w:spacing w:before="0" w:after="0"/>
        <w:jc w:val="center"/>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25145"/>
                <wp:effectExtent l="0" t="0" r="0" b="0"/>
                <wp:wrapNone/>
                <wp:docPr id="112" name="Frame11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118" w:name="i1d7fe6cb7cfd4c04ac277d621233ce51"/>
      <w:bookmarkEnd w:id="118"/>
      <w:r>
        <w:rPr>
          <w:rFonts w:ascii="Times New Roman;serif" w:hAnsi="Times New Roman;serif"/>
          <w:b w:val="false"/>
          <w:color w:val="000000"/>
          <w:sz w:val="24"/>
        </w:rPr>
        <w:t xml:space="preserve">(b)    If at any time insufficient funds are received by and available to the Administrative Agent to pay fully all Obligations then due hereunder, such funds shall be applied (i) </w:t>
      </w:r>
      <w:r>
        <w:rPr>
          <w:rFonts w:ascii="Times New Roman;serif" w:hAnsi="Times New Roman;serif"/>
          <w:b w:val="false"/>
          <w:color w:val="000000"/>
          <w:sz w:val="24"/>
          <w:u w:val="single"/>
        </w:rPr>
        <w:t>first</w:t>
      </w:r>
      <w:r>
        <w:rPr>
          <w:rFonts w:ascii="Times New Roman;serif" w:hAnsi="Times New Roman;serif"/>
          <w:b w:val="false"/>
          <w:color w:val="000000"/>
          <w:sz w:val="24"/>
        </w:rPr>
        <w:t xml:space="preserve">, towards payment of Fees and expenses then due under </w:t>
      </w:r>
      <w:r>
        <w:rPr>
          <w:rFonts w:ascii="Times New Roman;serif" w:hAnsi="Times New Roman;serif"/>
          <w:b w:val="false"/>
          <w:color w:val="000000"/>
          <w:sz w:val="24"/>
          <w:u w:val="single"/>
        </w:rPr>
        <w:t>Sections 2.19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10.04</w:t>
      </w:r>
      <w:r>
        <w:rPr>
          <w:color w:val="000000"/>
        </w:rPr>
        <w:t xml:space="preserve"> </w:t>
      </w:r>
      <w:r>
        <w:rPr>
          <w:rFonts w:ascii="Times New Roman;serif" w:hAnsi="Times New Roman;serif"/>
          <w:b w:val="false"/>
          <w:color w:val="000000"/>
          <w:sz w:val="24"/>
        </w:rPr>
        <w:t xml:space="preserve">payable to the Administrative Agent and the Collateral Trustee, in their respective capacities as such, (ii) </w:t>
      </w:r>
      <w:r>
        <w:rPr>
          <w:rFonts w:ascii="Times New Roman;serif" w:hAnsi="Times New Roman;serif"/>
          <w:b w:val="false"/>
          <w:color w:val="000000"/>
          <w:sz w:val="24"/>
          <w:u w:val="single"/>
        </w:rPr>
        <w:t>second</w:t>
      </w:r>
      <w:r>
        <w:rPr>
          <w:rFonts w:ascii="Times New Roman;serif" w:hAnsi="Times New Roman;serif"/>
          <w:b w:val="false"/>
          <w:color w:val="000000"/>
          <w:sz w:val="24"/>
        </w:rPr>
        <w:t xml:space="preserve">, towards payment of Fees and expenses then due under </w:t>
      </w:r>
      <w:r>
        <w:rPr>
          <w:rFonts w:ascii="Times New Roman;serif" w:hAnsi="Times New Roman;serif"/>
          <w:b w:val="false"/>
          <w:color w:val="000000"/>
          <w:sz w:val="24"/>
          <w:u w:val="single"/>
        </w:rPr>
        <w:t>Sections 2.20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2.21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10.04</w:t>
      </w:r>
      <w:r>
        <w:rPr>
          <w:color w:val="000000"/>
        </w:rPr>
        <w:t xml:space="preserve"> </w:t>
      </w:r>
      <w:r>
        <w:rPr>
          <w:rFonts w:ascii="Times New Roman;serif" w:hAnsi="Times New Roman;serif"/>
          <w:b w:val="false"/>
          <w:color w:val="000000"/>
          <w:sz w:val="24"/>
        </w:rPr>
        <w:t xml:space="preserve">payable to the Lenders and the Issuing Lenders and towards payment of interest then due on account of the Revolving Loans and Letters of Credit, ratably among the parties entitled thereto in accordance with the amounts of such Fees and expenses and interest then due to such parties and (iii) </w:t>
      </w:r>
      <w:r>
        <w:rPr>
          <w:rFonts w:ascii="Times New Roman;serif" w:hAnsi="Times New Roman;serif"/>
          <w:b w:val="false"/>
          <w:color w:val="000000"/>
          <w:sz w:val="24"/>
          <w:u w:val="single"/>
        </w:rPr>
        <w:t>third</w:t>
      </w:r>
      <w:r>
        <w:rPr>
          <w:rFonts w:ascii="Times New Roman;serif" w:hAnsi="Times New Roman;serif"/>
          <w:b w:val="false"/>
          <w:color w:val="000000"/>
          <w:sz w:val="24"/>
        </w:rPr>
        <w:t xml:space="preserve">, towards payment of (A) principal of the Revolving Loans and unreimbursed LC Disbursements then due hereunder, (B) any Designated Banking Product Obligations then due, to the extent such Designated Banking Product Obligations constitute “Obligations” hereunder, and (C) any Designated Hedging Obligations then due, to the extent such Designated Hedging Obligations constitute “Obligations” hereunder, ratably among the parties entitled thereto in accordance with the amounts of principal, unreimbursed LC Disbursements, Designated Banking Product Obligations constituting Obligations and Designated Hedging Obligations constituting Obligations then due to such parties. Excluded Swap Obligations with respect to any Guarantor shall not be paid with amounts received from such Guarantor or its assets, but appropriate adjustment shall be made with respect to payments from the Borrower or other Guarantors to preserve the allocations to Obligations otherwise set forth above in this </w:t>
      </w:r>
      <w:r>
        <w:rPr>
          <w:rFonts w:ascii="Times New Roman;serif" w:hAnsi="Times New Roman;serif"/>
          <w:b w:val="false"/>
          <w:color w:val="000000"/>
          <w:sz w:val="24"/>
          <w:u w:val="single"/>
        </w:rPr>
        <w:t>Section 2.17(b)</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19" w:name="i4eebde98fe744847afd955395f8f2b5c"/>
      <w:bookmarkEnd w:id="119"/>
      <w:r>
        <w:rPr>
          <w:rFonts w:ascii="Times New Roman;serif" w:hAnsi="Times New Roman;serif"/>
          <w:b w:val="false"/>
          <w:color w:val="000000"/>
          <w:sz w:val="24"/>
        </w:rPr>
        <w:t>(c)    Unless the Administrative Agent shall have received notice from the Borrower prior to the date on which any payment is due to the Administrative Agent for the account of the Lenders or the Issuing Lenders hereunder that the Borrower will not make such payment, the Administrative Agent may assume that the Borrower has made such payment on such date in accordance herewith and may, in reliance upon such assumption, distribute to the Lenders or the applicable Issuing Lender, as the case may be, the amount due. In such event, if the Borrower has not in fact made such payment, then each of the Lenders or the applicable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lineRule="auto" w:line="288" w:before="240" w:after="283"/>
        <w:ind w:left="0" w:right="0" w:firstLine="720"/>
        <w:jc w:val="left"/>
        <w:rPr/>
      </w:pPr>
      <w:bookmarkStart w:id="120" w:name="icb3eba2a142e45648f76f2e31da80d4b"/>
      <w:bookmarkEnd w:id="120"/>
      <w:r>
        <w:rPr>
          <w:rFonts w:ascii="Times New Roman;serif" w:hAnsi="Times New Roman;serif"/>
          <w:b w:val="false"/>
          <w:color w:val="000000"/>
          <w:sz w:val="24"/>
        </w:rPr>
        <w:t xml:space="preserve">(d)    If any Lender shall fail to make any payment required to be made by it pursuant to </w:t>
      </w:r>
      <w:r>
        <w:rPr>
          <w:rFonts w:ascii="Times New Roman;serif" w:hAnsi="Times New Roman;serif"/>
          <w:b w:val="false"/>
          <w:color w:val="000000"/>
          <w:sz w:val="24"/>
          <w:u w:val="single"/>
        </w:rPr>
        <w:t>Section 2.02(d)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2.02(e)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2.04(a)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2.04(c)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10.04(d)</w:t>
      </w:r>
      <w:r>
        <w:rPr>
          <w:rFonts w:ascii="Times New Roman;serif" w:hAnsi="Times New Roman;serif"/>
          <w:b w:val="false"/>
          <w:color w:val="000000"/>
          <w:sz w:val="24"/>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pStyle w:val="TextBody"/>
        <w:bidi w:val="0"/>
        <w:spacing w:lineRule="auto" w:line="288" w:before="240" w:after="283"/>
        <w:ind w:left="0" w:right="0" w:firstLine="720"/>
        <w:jc w:val="left"/>
        <w:rPr/>
      </w:pPr>
      <w:bookmarkStart w:id="121" w:name="i37c704270e3a44b2961b57fdb033bd11"/>
      <w:bookmarkEnd w:id="121"/>
      <w:r>
        <w:rPr>
          <w:rFonts w:ascii="Times New Roman;serif" w:hAnsi="Times New Roman;serif"/>
          <w:b w:val="false"/>
          <w:color w:val="000000"/>
          <w:sz w:val="24"/>
        </w:rPr>
        <w:t>(e)    </w:t>
      </w:r>
      <w:r>
        <w:rPr>
          <w:rFonts w:ascii="Times New Roman;serif" w:hAnsi="Times New Roman;serif"/>
          <w:b w:val="false"/>
          <w:color w:val="000000"/>
          <w:sz w:val="24"/>
          <w:u w:val="single"/>
        </w:rPr>
        <w:t>Pro Rata Treatment</w:t>
      </w:r>
      <w:r>
        <w:rPr>
          <w:rFonts w:ascii="Times New Roman;serif" w:hAnsi="Times New Roman;serif"/>
          <w:b w:val="false"/>
          <w:color w:val="000000"/>
          <w:sz w:val="24"/>
        </w:rPr>
        <w:t>. (i) Each payment by the Borrower in respect of the Loans shall be applied to the amounts of such obligations owing to the Lenders pro rata according to the respective amounts then due and owing to the Lenders.</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22" w:name="i517ce01897ac428f8bddc8d3363717f8"/>
      <w:bookmarkEnd w:id="122"/>
      <w:r>
        <w:rPr>
          <w:rFonts w:ascii="Times New Roman;serif" w:hAnsi="Times New Roman;serif"/>
          <w:b w:val="false"/>
          <w:color w:val="000000"/>
          <w:sz w:val="24"/>
        </w:rPr>
        <w:t xml:space="preserve">(ii)    [Intentionally Omitted.] </w:t>
      </w:r>
    </w:p>
    <w:p>
      <w:pPr>
        <w:pStyle w:val="TextBody"/>
        <w:bidi w:val="0"/>
        <w:spacing w:before="0" w:after="0"/>
        <w:jc w:val="center"/>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25145"/>
                <wp:effectExtent l="0" t="0" r="0" b="0"/>
                <wp:wrapNone/>
                <wp:docPr id="113" name="Frame11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23" w:name="ie781b03d5056462b8a9f0234226b6afb"/>
      <w:bookmarkEnd w:id="123"/>
      <w:r>
        <w:rPr>
          <w:rFonts w:ascii="Times New Roman;serif" w:hAnsi="Times New Roman;serif"/>
          <w:b w:val="false"/>
          <w:color w:val="000000"/>
          <w:sz w:val="24"/>
        </w:rPr>
        <w:t>(iii)    Each payment (including each prepayment) by the Borrower on account of principal of and interest on the Revolving Loans shall be made pro rata according to the respective outstanding principal amounts of the Revolving Loans then held by the Revolving Lenders.</w:t>
      </w:r>
    </w:p>
    <w:p>
      <w:pPr>
        <w:pStyle w:val="TextBody"/>
        <w:bidi w:val="0"/>
        <w:spacing w:lineRule="auto" w:line="288" w:before="240" w:after="283"/>
        <w:ind w:left="0" w:right="0" w:firstLine="720"/>
        <w:jc w:val="left"/>
        <w:rPr/>
      </w:pPr>
      <w:bookmarkStart w:id="124" w:name="ic41466fc758745039ab905928fb6fbfa"/>
      <w:bookmarkEnd w:id="124"/>
      <w:r>
        <w:rPr>
          <w:rFonts w:ascii="Times New Roman;serif" w:hAnsi="Times New Roman;serif"/>
          <w:b w:val="false"/>
          <w:color w:val="000000"/>
          <w:sz w:val="24"/>
        </w:rPr>
        <w:t>Section 2.18.    </w:t>
      </w:r>
      <w:r>
        <w:rPr>
          <w:rFonts w:ascii="Times New Roman;serif" w:hAnsi="Times New Roman;serif"/>
          <w:b w:val="false"/>
          <w:color w:val="000000"/>
          <w:sz w:val="24"/>
          <w:u w:val="single"/>
        </w:rPr>
        <w:t>Mitigation Obligations; Replacement of Lenders</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left"/>
        <w:rPr/>
      </w:pPr>
      <w:bookmarkStart w:id="125" w:name="i46ddb12aa82746f48d9e31a54a5b601d"/>
      <w:bookmarkEnd w:id="125"/>
      <w:r>
        <w:rPr>
          <w:rFonts w:ascii="Times New Roman;serif" w:hAnsi="Times New Roman;serif"/>
          <w:b w:val="false"/>
          <w:color w:val="000000"/>
          <w:sz w:val="24"/>
        </w:rPr>
        <w:t xml:space="preserve">(a)    If the Borrower is required to pay any additional amount to any Lender under </w:t>
      </w:r>
      <w:r>
        <w:rPr>
          <w:rFonts w:ascii="Times New Roman;serif" w:hAnsi="Times New Roman;serif"/>
          <w:b w:val="false"/>
          <w:color w:val="000000"/>
          <w:sz w:val="24"/>
          <w:u w:val="single"/>
        </w:rPr>
        <w:t xml:space="preserve">Section 2.14 </w:t>
      </w:r>
      <w:r>
        <w:rPr>
          <w:rFonts w:ascii="Times New Roman;serif" w:hAnsi="Times New Roman;serif"/>
          <w:b w:val="false"/>
          <w:color w:val="000000"/>
          <w:sz w:val="24"/>
        </w:rPr>
        <w:t xml:space="preserve">or to any Lender or any Governmental Authority for the account of any Lender pursuant to </w:t>
      </w:r>
      <w:r>
        <w:rPr>
          <w:rFonts w:ascii="Times New Roman;serif" w:hAnsi="Times New Roman;serif"/>
          <w:b w:val="false"/>
          <w:color w:val="000000"/>
          <w:sz w:val="24"/>
          <w:u w:val="single"/>
        </w:rPr>
        <w:t>Section 2.16</w:t>
      </w:r>
      <w:r>
        <w:rPr>
          <w:rFonts w:ascii="Times New Roman;serif" w:hAnsi="Times New Roman;serif"/>
          <w:b w:val="false"/>
          <w:color w:val="000000"/>
          <w:sz w:val="24"/>
        </w:rPr>
        <w:t xml:space="preserve">, then such Lender shall use reasonable efforts to designate a different lending office for funding or booking its Loans hereunder, to assign its rights and obligations hereunder to another of its offices, branches or affiliates, to file any certificate or document reasonably requested by the Borrower or to take other reasonable measures, if, in the judgment of such Lender, such designation, assignment, filing or other measures (i) would eliminate or reduce amounts payable pursuant to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2.16</w:t>
      </w:r>
      <w:r>
        <w:rPr>
          <w:rFonts w:ascii="Times New Roman;serif" w:hAnsi="Times New Roman;serif"/>
          <w:b w:val="false"/>
          <w:color w:val="000000"/>
          <w:sz w:val="24"/>
        </w:rPr>
        <w:t xml:space="preserve">, as the case may be, and (ii) would not subject such Lender to any unreimbursed cost or expense and would not otherwise be disadvantageous to such Lender. The Borrower hereby agrees to pay all reasonable costs and expenses incurred by any Lender in connection with any such designation or assignment. Nothing in this </w:t>
      </w:r>
      <w:r>
        <w:rPr>
          <w:rFonts w:ascii="Times New Roman;serif" w:hAnsi="Times New Roman;serif"/>
          <w:b w:val="false"/>
          <w:color w:val="000000"/>
          <w:sz w:val="24"/>
          <w:u w:val="single"/>
        </w:rPr>
        <w:t>Section 2.18</w:t>
      </w:r>
      <w:r>
        <w:rPr>
          <w:color w:val="000000"/>
        </w:rPr>
        <w:t xml:space="preserve"> </w:t>
      </w:r>
      <w:r>
        <w:rPr>
          <w:rFonts w:ascii="Times New Roman;serif" w:hAnsi="Times New Roman;serif"/>
          <w:b w:val="false"/>
          <w:color w:val="000000"/>
          <w:sz w:val="24"/>
        </w:rPr>
        <w:t xml:space="preserve">shall affect or postpone any of the obligations of the Borrower or the rights of any Lender pursuant to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2.16</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126" w:name="icfebe14eb38a41ccac666b3dfde34b23"/>
      <w:bookmarkEnd w:id="126"/>
      <w:r>
        <w:rPr>
          <w:rFonts w:ascii="Times New Roman;serif" w:hAnsi="Times New Roman;serif"/>
          <w:b w:val="false"/>
          <w:color w:val="000000"/>
          <w:sz w:val="24"/>
        </w:rPr>
        <w:t xml:space="preserve">(b)    If, after the date hereof, any Lender requests compensation under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or if the Borrower is required to pay any additional amount to any Lender or any Governmental Authority for the account of any Lender pursuant to </w:t>
      </w:r>
      <w:r>
        <w:rPr>
          <w:rFonts w:ascii="Times New Roman;serif" w:hAnsi="Times New Roman;serif"/>
          <w:b w:val="false"/>
          <w:color w:val="000000"/>
          <w:sz w:val="24"/>
          <w:u w:val="single"/>
        </w:rPr>
        <w:t>Section 2.16</w:t>
      </w:r>
      <w:r>
        <w:rPr>
          <w:rFonts w:ascii="Times New Roman;serif" w:hAnsi="Times New Roman;serif"/>
          <w:b w:val="false"/>
          <w:color w:val="000000"/>
          <w:sz w:val="24"/>
        </w:rPr>
        <w:t xml:space="preserve">, or if any Lender becomes a Defaulting Lender, then the Borrower may, at its sole expense and effort, upon notice to such Lender and the Administrative Agent, (i) terminate such Lender’s Revolving Commitment, prepay such Lender’s outstanding Loans and provide Cash Collateralization for such Lender’s LC Exposure, as applicable, or (ii) require such Lender to assign, without recourse (in accordance with and subject to the restrictions contained in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all its interests, rights and obligations under this Agreement to an assignee that shall assume such obligations (which assignee may be another Lender, if a Lender accepts such assignment), in any case as of a Business Day specified in such notice from the Borrower;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such terminated or assigning Lender shall have received payment of an amount equal to the outstanding principal of its Loans and unreimbursed payments attributable to its participations in LC Disbursements, as applicable, accrued interest thereon, accrued fees and all other amounts due, owing and payable to it hereunder at the time of such termination or assignment, from the assignee (to the extent of such outstanding principal and accrued interest and fees in the case of an assignment) or the Borrower (in the case of all other amounts) and (ii) in the case of an assignment due to payments required to be made pursuant to </w:t>
      </w:r>
      <w:r>
        <w:rPr>
          <w:rFonts w:ascii="Times New Roman;serif" w:hAnsi="Times New Roman;serif"/>
          <w:b w:val="false"/>
          <w:color w:val="000000"/>
          <w:sz w:val="24"/>
          <w:u w:val="single"/>
        </w:rPr>
        <w:t>Section 2.16</w:t>
      </w:r>
      <w:r>
        <w:rPr>
          <w:rFonts w:ascii="Times New Roman;serif" w:hAnsi="Times New Roman;serif"/>
          <w:b w:val="false"/>
          <w:color w:val="000000"/>
          <w:sz w:val="24"/>
        </w:rPr>
        <w:t xml:space="preserve">, such assignment will result in a reduction in such compensation or payments. </w:t>
      </w:r>
    </w:p>
    <w:p>
      <w:pPr>
        <w:pStyle w:val="TextBody"/>
        <w:bidi w:val="0"/>
        <w:spacing w:lineRule="auto" w:line="288" w:before="240" w:after="283"/>
        <w:ind w:left="0" w:right="0" w:firstLine="720"/>
        <w:jc w:val="left"/>
        <w:rPr/>
      </w:pPr>
      <w:bookmarkStart w:id="127" w:name="ife8da7e3a5404ec6a62204a18b1f09de"/>
      <w:bookmarkEnd w:id="127"/>
      <w:r>
        <w:rPr>
          <w:rFonts w:ascii="Times New Roman;serif" w:hAnsi="Times New Roman;serif"/>
          <w:b w:val="false"/>
          <w:color w:val="000000"/>
          <w:sz w:val="24"/>
        </w:rPr>
        <w:t>Section 2.19.    </w:t>
      </w:r>
      <w:r>
        <w:rPr>
          <w:rFonts w:ascii="Times New Roman;serif" w:hAnsi="Times New Roman;serif"/>
          <w:b w:val="false"/>
          <w:color w:val="000000"/>
          <w:sz w:val="24"/>
          <w:u w:val="single"/>
        </w:rPr>
        <w:t>Certain Fees</w:t>
      </w:r>
      <w:r>
        <w:rPr>
          <w:rFonts w:ascii="Times New Roman;serif" w:hAnsi="Times New Roman;serif"/>
          <w:b w:val="false"/>
          <w:color w:val="000000"/>
          <w:sz w:val="24"/>
        </w:rPr>
        <w:t xml:space="preserve">. The Borrower shall pay (i) to the Administrative Agent the fees set forth in the Administrative Agent Fee Letter, and (ii) to JPMorgan Chase Bank, N.A. in its capacity as a Joint Lead Arranger, the fees to which it is entitled to as set forth in the Fee Letter (for further payment, as applicable, to the Lenders on the Closing Date), dated as of the </w:t>
      </w:r>
    </w:p>
    <w:p>
      <w:pPr>
        <w:pStyle w:val="TextBody"/>
        <w:bidi w:val="0"/>
        <w:spacing w:before="0" w:after="0"/>
        <w:jc w:val="center"/>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25145"/>
                <wp:effectExtent l="0" t="0" r="0" b="0"/>
                <wp:wrapNone/>
                <wp:docPr id="114" name="Frame11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date hereof, to which JPMorgan Chase Bank, N.A. in its capacity as a Joint Lead Arranger is a party (the “</w:t>
      </w:r>
      <w:r>
        <w:rPr>
          <w:rFonts w:ascii="Times New Roman;serif" w:hAnsi="Times New Roman;serif"/>
          <w:b w:val="false"/>
          <w:color w:val="000000"/>
          <w:sz w:val="24"/>
          <w:u w:val="single"/>
        </w:rPr>
        <w:t>Arranger Fee Letter</w:t>
      </w:r>
      <w:r>
        <w:rPr>
          <w:color w:val="000000"/>
        </w:rPr>
        <w:t>”</w:t>
      </w:r>
      <w:r>
        <w:rPr>
          <w:rFonts w:ascii="Times New Roman;serif" w:hAnsi="Times New Roman;serif"/>
          <w:b w:val="false"/>
          <w:color w:val="000000"/>
          <w:sz w:val="24"/>
        </w:rPr>
        <w:t>), in each case at the times set forth therein.</w:t>
      </w:r>
    </w:p>
    <w:p>
      <w:pPr>
        <w:pStyle w:val="TextBody"/>
        <w:bidi w:val="0"/>
        <w:spacing w:lineRule="auto" w:line="288" w:before="240" w:after="283"/>
        <w:ind w:left="0" w:right="0" w:firstLine="720"/>
        <w:jc w:val="left"/>
        <w:rPr/>
      </w:pPr>
      <w:bookmarkStart w:id="128" w:name="ia49b3063ea3d4863a90bf78eed3358d2"/>
      <w:bookmarkEnd w:id="128"/>
      <w:r>
        <w:rPr>
          <w:rFonts w:ascii="Times New Roman;serif" w:hAnsi="Times New Roman;serif"/>
          <w:b w:val="false"/>
          <w:color w:val="000000"/>
          <w:sz w:val="24"/>
        </w:rPr>
        <w:t>Section 2.20.    </w:t>
      </w:r>
      <w:r>
        <w:rPr>
          <w:rFonts w:ascii="Times New Roman;serif" w:hAnsi="Times New Roman;serif"/>
          <w:b w:val="false"/>
          <w:color w:val="000000"/>
          <w:sz w:val="24"/>
          <w:u w:val="single"/>
        </w:rPr>
        <w:t>Commitment Fee</w:t>
      </w:r>
      <w:r>
        <w:rPr>
          <w:rFonts w:ascii="Times New Roman;serif" w:hAnsi="Times New Roman;serif"/>
          <w:b w:val="false"/>
          <w:color w:val="000000"/>
          <w:sz w:val="24"/>
        </w:rPr>
        <w:t>. The Borrower shall pay to the Administrative Agent for the accounts of the Revolving Lenders a commitment fee (the “</w:t>
      </w:r>
      <w:r>
        <w:rPr>
          <w:rFonts w:ascii="Times New Roman;serif" w:hAnsi="Times New Roman;serif"/>
          <w:b w:val="false"/>
          <w:color w:val="000000"/>
          <w:sz w:val="24"/>
          <w:u w:val="single"/>
        </w:rPr>
        <w:t>Commitment Fee</w:t>
      </w:r>
      <w:r>
        <w:rPr>
          <w:color w:val="000000"/>
        </w:rPr>
        <w:t>”</w:t>
      </w:r>
      <w:r>
        <w:rPr>
          <w:rFonts w:ascii="Times New Roman;serif" w:hAnsi="Times New Roman;serif"/>
          <w:b w:val="false"/>
          <w:color w:val="000000"/>
          <w:sz w:val="24"/>
        </w:rPr>
        <w:t xml:space="preserve">) for the period commencing on the Closing Date to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daily amount of the Unused Total Revolving Commitment. Such Commitment Fee, to the extent then accrued, shall be payable quarterly in arrears (a) with respect to Commitment Fees accrued through the last Business Day of each March, June, September and December, on the fifteenth (15th) calendar day following such Business Day, (b) on the Revolving Facility Termination Date with respect to the applicable Revolving Commitments, and (c) as provided in </w:t>
      </w:r>
      <w:r>
        <w:rPr>
          <w:rFonts w:ascii="Times New Roman;serif" w:hAnsi="Times New Roman;serif"/>
          <w:b w:val="false"/>
          <w:color w:val="000000"/>
          <w:sz w:val="24"/>
          <w:u w:val="single"/>
        </w:rPr>
        <w:t>Section 2.11</w:t>
      </w:r>
      <w:r>
        <w:rPr>
          <w:color w:val="000000"/>
        </w:rPr>
        <w:t xml:space="preserve"> </w:t>
      </w:r>
      <w:r>
        <w:rPr>
          <w:rFonts w:ascii="Times New Roman;serif" w:hAnsi="Times New Roman;serif"/>
          <w:b w:val="false"/>
          <w:color w:val="000000"/>
          <w:sz w:val="24"/>
        </w:rPr>
        <w:t xml:space="preserve">hereof, upon any reduction or termination in whole or in part of the Total Revolving Commitment. </w:t>
      </w:r>
    </w:p>
    <w:p>
      <w:pPr>
        <w:pStyle w:val="TextBody"/>
        <w:bidi w:val="0"/>
        <w:spacing w:lineRule="auto" w:line="288" w:before="240" w:after="283"/>
        <w:ind w:left="0" w:right="0" w:firstLine="720"/>
        <w:jc w:val="left"/>
        <w:rPr/>
      </w:pPr>
      <w:bookmarkStart w:id="129" w:name="i8637b6eafe6a4125b940c1e3eeb9cfba"/>
      <w:bookmarkEnd w:id="129"/>
      <w:r>
        <w:rPr>
          <w:rFonts w:ascii="Times New Roman;serif" w:hAnsi="Times New Roman;serif"/>
          <w:b w:val="false"/>
          <w:color w:val="000000"/>
          <w:sz w:val="24"/>
        </w:rPr>
        <w:t>Section 2.21.    </w:t>
      </w:r>
      <w:r>
        <w:rPr>
          <w:rFonts w:ascii="Times New Roman;serif" w:hAnsi="Times New Roman;serif"/>
          <w:b w:val="false"/>
          <w:color w:val="000000"/>
          <w:sz w:val="24"/>
          <w:u w:val="single"/>
        </w:rPr>
        <w:t>Letter of Credit Fees</w:t>
      </w:r>
      <w:r>
        <w:rPr>
          <w:rFonts w:ascii="Times New Roman;serif" w:hAnsi="Times New Roman;serif"/>
          <w:b w:val="false"/>
          <w:color w:val="000000"/>
          <w:sz w:val="24"/>
        </w:rPr>
        <w:t xml:space="preserve">. The Borrower shall pay with respect to each Letter of Credit (i) to the Administrative Agent for the account of the Revolving Lenders a fee calculated (on the basis of the actual number of days elapsed over a year of 360 days) at the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rate equal to the Applicable Margin then in effect with respect to Term Benchmark Loans under the Revolving Facility on the daily average LC Exposure (excluding any portion thereof attributable to unreimbursed LC Disbursements), to be shared ratably among the Revolving Lenders and (ii) to each Issuing Lender (with respect to each Letter of Credit issued by it), such Issuing Lender’s customary and reasonable fees as may be agreed by the Issuing Lender and the Borrower for issuance, amendments and processing referred to in </w:t>
      </w:r>
      <w:r>
        <w:rPr>
          <w:rFonts w:ascii="Times New Roman;serif" w:hAnsi="Times New Roman;serif"/>
          <w:b w:val="false"/>
          <w:color w:val="000000"/>
          <w:sz w:val="24"/>
          <w:u w:val="single"/>
        </w:rPr>
        <w:t>Section 2.02</w:t>
      </w:r>
      <w:r>
        <w:rPr>
          <w:rFonts w:ascii="Times New Roman;serif" w:hAnsi="Times New Roman;serif"/>
          <w:b w:val="false"/>
          <w:color w:val="000000"/>
          <w:sz w:val="24"/>
        </w:rPr>
        <w:t>. In addition, the Borrower agrees to pay each Issuing Lender for its account a fronting fee of 0.125% per annum in respect of each Letter of Credit issued by such Issuing Lender, for the period from and including the date of issuance of such Letter of Credit to and including the date of termination of such Letter of Credit. Accrued fees described in this paragraph in respect of each Letter of Credit shall be due and payable quarterly in arrears (x) with respect to such fees accrued through the last Business Day of each March, June, September and December, on the fifteenth (15th) calendar day following such Business Day and (y) on the Revolving Facility Termination Date with respect to the applicable Revolving Commitments. So long as no Event of Default has occurred, fees accruing on any Letter of Credit outstanding after the applicable Revolving Facility Termination Date shall be payable quarterly in the manner described in the immediately preceding sentence and on the date of expiration or termination of any such Letter of Credit.</w:t>
      </w:r>
    </w:p>
    <w:p>
      <w:pPr>
        <w:pStyle w:val="TextBody"/>
        <w:bidi w:val="0"/>
        <w:spacing w:lineRule="auto" w:line="288" w:before="240" w:after="283"/>
        <w:ind w:left="0" w:right="0" w:firstLine="720"/>
        <w:jc w:val="left"/>
        <w:rPr/>
      </w:pPr>
      <w:bookmarkStart w:id="130" w:name="i01e077a1b5db470c916143d5a95bcbf1"/>
      <w:bookmarkEnd w:id="130"/>
      <w:r>
        <w:rPr>
          <w:rFonts w:ascii="Times New Roman;serif" w:hAnsi="Times New Roman;serif"/>
          <w:b w:val="false"/>
          <w:color w:val="000000"/>
          <w:sz w:val="24"/>
        </w:rPr>
        <w:t>Section 2.22.    </w:t>
      </w:r>
      <w:r>
        <w:rPr>
          <w:rFonts w:ascii="Times New Roman;serif" w:hAnsi="Times New Roman;serif"/>
          <w:b w:val="false"/>
          <w:color w:val="000000"/>
          <w:sz w:val="24"/>
          <w:u w:val="single"/>
        </w:rPr>
        <w:t>Nature of Fees</w:t>
      </w:r>
      <w:r>
        <w:rPr>
          <w:rFonts w:ascii="Times New Roman;serif" w:hAnsi="Times New Roman;serif"/>
          <w:b w:val="false"/>
          <w:color w:val="000000"/>
          <w:sz w:val="24"/>
        </w:rPr>
        <w:t>. All Fees shall be paid on the dates due, in immediately available funds, to the Administrative Agent, as provided herein and in the Administrative Agent Fee Letter, provided that Fees payable under the Arranger Fee Letter shall be paid as provided therein. Once paid, none of the Fees shall be refundable under any circumstances.</w:t>
      </w:r>
    </w:p>
    <w:p>
      <w:pPr>
        <w:pStyle w:val="TextBody"/>
        <w:bidi w:val="0"/>
        <w:spacing w:lineRule="auto" w:line="288" w:before="240" w:after="283"/>
        <w:ind w:left="0" w:right="0" w:firstLine="720"/>
        <w:jc w:val="left"/>
        <w:rPr/>
      </w:pPr>
      <w:bookmarkStart w:id="131" w:name="if12fd7b728db4d7c919b3b4fd74d379e"/>
      <w:bookmarkEnd w:id="131"/>
      <w:r>
        <w:rPr>
          <w:rFonts w:ascii="Times New Roman;serif" w:hAnsi="Times New Roman;serif"/>
          <w:b w:val="false"/>
          <w:color w:val="000000"/>
          <w:sz w:val="24"/>
        </w:rPr>
        <w:t>Section 2.23.    </w:t>
      </w:r>
      <w:r>
        <w:rPr>
          <w:rFonts w:ascii="Times New Roman;serif" w:hAnsi="Times New Roman;serif"/>
          <w:b w:val="false"/>
          <w:color w:val="000000"/>
          <w:sz w:val="24"/>
          <w:u w:val="single"/>
        </w:rPr>
        <w:t>Right of Set-Off</w:t>
      </w:r>
      <w:r>
        <w:rPr>
          <w:rFonts w:ascii="Times New Roman;serif" w:hAnsi="Times New Roman;serif"/>
          <w:b w:val="false"/>
          <w:color w:val="000000"/>
          <w:sz w:val="24"/>
        </w:rPr>
        <w:t xml:space="preserve">. Upon the occurrence and during the continuance of any Event of Default pursuant to </w:t>
      </w:r>
      <w:r>
        <w:rPr>
          <w:rFonts w:ascii="Times New Roman;serif" w:hAnsi="Times New Roman;serif"/>
          <w:b w:val="false"/>
          <w:color w:val="000000"/>
          <w:sz w:val="24"/>
          <w:u w:val="single"/>
        </w:rPr>
        <w:t>Section 7.01(b)</w:t>
      </w:r>
      <w:r>
        <w:rPr>
          <w:rFonts w:ascii="Times New Roman;serif" w:hAnsi="Times New Roman;serif"/>
          <w:b w:val="false"/>
          <w:color w:val="000000"/>
          <w:sz w:val="24"/>
        </w:rPr>
        <w:t xml:space="preserve">, the Administrative Agent, each Issuing Lender and each Lender (and their respective banking Affiliates) are hereby authorized at any time and from </w:t>
      </w:r>
    </w:p>
    <w:p>
      <w:pPr>
        <w:pStyle w:val="TextBody"/>
        <w:bidi w:val="0"/>
        <w:spacing w:before="0" w:after="0"/>
        <w:jc w:val="center"/>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25145"/>
                <wp:effectExtent l="0" t="0" r="0" b="0"/>
                <wp:wrapNone/>
                <wp:docPr id="115" name="Frame11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time to time, to the fullest extent permitted by law, to set off and apply any and all deposits (general or special, time or demand, provisional or final but excluding deposits in accounts pledged to secure other Indebtedness or the Borrower or any Guarantor, the Escrow Accounts, Payroll Accounts and other accounts, in each case, held in trust for an identified beneficiary) at any time held and other indebtedness at any time owing by the Administrative Agent, each such Issuing Lender and each such Lender (or any of such banking Affiliates) to or for the credit or the account of the Borrower or any Guarantor against any and all of any such overdue amounts owing under the Loan Documents, irrespective of whether or not the Administrative Agent, such Issuing Lender or such Lender shall have made any demand under any Loan Document;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the event that any Defaulting Lender exercises any such right of setoff, (x) all amounts so set off will be paid over immediately to the Administrative Agent for further application in accordance with the provisions of </w:t>
      </w:r>
      <w:r>
        <w:rPr>
          <w:rFonts w:ascii="Times New Roman;serif" w:hAnsi="Times New Roman;serif"/>
          <w:b w:val="false"/>
          <w:color w:val="000000"/>
          <w:sz w:val="24"/>
          <w:u w:val="single"/>
        </w:rPr>
        <w:t>Section 2.26(g)</w:t>
      </w:r>
      <w:r>
        <w:rPr>
          <w:color w:val="000000"/>
        </w:rPr>
        <w:t xml:space="preserve"> </w:t>
      </w:r>
      <w:r>
        <w:rPr>
          <w:rFonts w:ascii="Times New Roman;serif" w:hAnsi="Times New Roman;serif"/>
          <w:b w:val="false"/>
          <w:color w:val="000000"/>
          <w:sz w:val="24"/>
        </w:rPr>
        <w:t xml:space="preserve">and, pending such payment, will be segregated by such Defaulting Lender from its other funds and deemed held in trust for the benefit of the Administrative Agent, the Issuing Lenders and the Lenders and (y) the Defaulting Lender will provide promptly to the Administrative Agent a statement describing in reasonable detail the Obligations owing to such Defaulting Lender as to which it exercised such right of setoff. Each Issuing Lender, each Lender and the Administrative Agent agree promptly to notify the Borrower and Guarantors after any such set-off and application made by such Lender, such Issuing Lender or the Administrative Agent (or any of such banking Affiliates), as the case may be, provided that the failure to give such notice shall not affect the validity of such set-off and application. The rights of each Issuing Lender, Lender and the Administrative Agent under this </w:t>
      </w:r>
      <w:r>
        <w:rPr>
          <w:rFonts w:ascii="Times New Roman;serif" w:hAnsi="Times New Roman;serif"/>
          <w:b w:val="false"/>
          <w:color w:val="000000"/>
          <w:sz w:val="24"/>
          <w:u w:val="single"/>
        </w:rPr>
        <w:t>Section 2.23</w:t>
      </w:r>
      <w:r>
        <w:rPr>
          <w:color w:val="000000"/>
        </w:rPr>
        <w:t xml:space="preserve"> </w:t>
      </w:r>
      <w:r>
        <w:rPr>
          <w:rFonts w:ascii="Times New Roman;serif" w:hAnsi="Times New Roman;serif"/>
          <w:b w:val="false"/>
          <w:color w:val="000000"/>
          <w:sz w:val="24"/>
        </w:rPr>
        <w:t>are in addition to other rights and remedies which such Lender and the Administrative Agent may have upon the occurrence and during the continuance of any Event of Default.</w:t>
      </w:r>
    </w:p>
    <w:p>
      <w:pPr>
        <w:pStyle w:val="TextBody"/>
        <w:bidi w:val="0"/>
        <w:spacing w:lineRule="auto" w:line="288" w:before="240" w:after="283"/>
        <w:ind w:left="0" w:right="0" w:firstLine="720"/>
        <w:jc w:val="left"/>
        <w:rPr/>
      </w:pPr>
      <w:bookmarkStart w:id="132" w:name="i9621402b5a2a4aeca82857a6bd13ff15"/>
      <w:bookmarkEnd w:id="132"/>
      <w:r>
        <w:rPr>
          <w:rFonts w:ascii="Times New Roman;serif" w:hAnsi="Times New Roman;serif"/>
          <w:b w:val="false"/>
          <w:color w:val="000000"/>
          <w:sz w:val="24"/>
        </w:rPr>
        <w:t>Section 2.24.    </w:t>
      </w:r>
      <w:r>
        <w:rPr>
          <w:rFonts w:ascii="Times New Roman;serif" w:hAnsi="Times New Roman;serif"/>
          <w:b w:val="false"/>
          <w:color w:val="000000"/>
          <w:sz w:val="24"/>
          <w:u w:val="single"/>
        </w:rPr>
        <w:t>Security Interest in Letter of Credit Account</w:t>
      </w:r>
      <w:r>
        <w:rPr>
          <w:rFonts w:ascii="Times New Roman;serif" w:hAnsi="Times New Roman;serif"/>
          <w:b w:val="false"/>
          <w:color w:val="000000"/>
          <w:sz w:val="24"/>
        </w:rPr>
        <w:t xml:space="preserve">. The Borrower and the Guarantors hereby pledge to the Administrative Agent, for its benefit and for the benefit of the other Secured Parties, and hereby grant to the Administrative Agent, for its benefit and for the benefit of the other Secured Parties, a first priority security interest, senior to all other Liens, if any, in all of the Borrower’s and the Guarantors’ right, title and interest in and to the Letter of Credit Account, any direct investment of the funds contained therein and any proceeds thereof. Cash held in the Letter of Credit Account shall not be available for use by the Borrower, and shall be released to the Borrower only as described in </w:t>
      </w:r>
      <w:r>
        <w:rPr>
          <w:rFonts w:ascii="Times New Roman;serif" w:hAnsi="Times New Roman;serif"/>
          <w:b w:val="false"/>
          <w:color w:val="000000"/>
          <w:sz w:val="24"/>
          <w:u w:val="single"/>
        </w:rPr>
        <w:t>Section 2.02(j)</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133" w:name="ice080351b1274c269bdb9b467c516511"/>
      <w:bookmarkEnd w:id="133"/>
      <w:r>
        <w:rPr>
          <w:rFonts w:ascii="Times New Roman;serif" w:hAnsi="Times New Roman;serif"/>
          <w:b w:val="false"/>
          <w:color w:val="000000"/>
          <w:sz w:val="24"/>
        </w:rPr>
        <w:t>Section 2.25.    </w:t>
      </w:r>
      <w:r>
        <w:rPr>
          <w:rFonts w:ascii="Times New Roman;serif" w:hAnsi="Times New Roman;serif"/>
          <w:b w:val="false"/>
          <w:color w:val="000000"/>
          <w:sz w:val="24"/>
          <w:u w:val="single"/>
        </w:rPr>
        <w:t>Payment of Obligations</w:t>
      </w:r>
      <w:r>
        <w:rPr>
          <w:rFonts w:ascii="Times New Roman;serif" w:hAnsi="Times New Roman;serif"/>
          <w:b w:val="false"/>
          <w:color w:val="000000"/>
          <w:sz w:val="24"/>
        </w:rPr>
        <w:t xml:space="preserve">. Subject to the provisions of </w:t>
      </w:r>
      <w:r>
        <w:rPr>
          <w:rFonts w:ascii="Times New Roman;serif" w:hAnsi="Times New Roman;serif"/>
          <w:b w:val="false"/>
          <w:color w:val="000000"/>
          <w:sz w:val="24"/>
          <w:u w:val="single"/>
        </w:rPr>
        <w:t>Section 7.01</w:t>
      </w:r>
      <w:r>
        <w:rPr>
          <w:rFonts w:ascii="Times New Roman;serif" w:hAnsi="Times New Roman;serif"/>
          <w:b w:val="false"/>
          <w:color w:val="000000"/>
          <w:sz w:val="24"/>
        </w:rPr>
        <w:t>, upon the maturity (whether by acceleration or otherwise) of any of the Obligations under this Agreement or any of the other Loan Documents of the Borrower and the Guarantors, the Lenders shall be entitled to immediate payment of such Obligations.</w:t>
      </w:r>
    </w:p>
    <w:p>
      <w:pPr>
        <w:pStyle w:val="TextBody"/>
        <w:bidi w:val="0"/>
        <w:spacing w:lineRule="auto" w:line="288" w:before="240" w:after="283"/>
        <w:ind w:left="0" w:right="0" w:firstLine="720"/>
        <w:jc w:val="left"/>
        <w:rPr/>
      </w:pPr>
      <w:bookmarkStart w:id="134" w:name="id6ee45ed406c4adea3af487eaaf7a651"/>
      <w:bookmarkEnd w:id="134"/>
      <w:r>
        <w:rPr>
          <w:rFonts w:ascii="Times New Roman;serif" w:hAnsi="Times New Roman;serif"/>
          <w:b w:val="false"/>
          <w:color w:val="000000"/>
          <w:sz w:val="24"/>
        </w:rPr>
        <w:t>Section 2.26.    </w:t>
      </w:r>
      <w:r>
        <w:rPr>
          <w:rFonts w:ascii="Times New Roman;serif" w:hAnsi="Times New Roman;serif"/>
          <w:b w:val="false"/>
          <w:color w:val="000000"/>
          <w:sz w:val="24"/>
          <w:u w:val="single"/>
        </w:rPr>
        <w:t>Defaulting Lenders</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135" w:name="i1e1eb2d1be8b4762bc20843e49065b44"/>
      <w:bookmarkEnd w:id="135"/>
      <w:r>
        <w:rPr>
          <w:rFonts w:ascii="Times New Roman;serif" w:hAnsi="Times New Roman;serif"/>
          <w:b w:val="false"/>
          <w:color w:val="000000"/>
          <w:sz w:val="24"/>
        </w:rPr>
        <w:t xml:space="preserve">(a)    If at any time any Lender becomes a Defaulting Lender, then the Borrower may, on ten (10) Business Days’ prior written notice to the Administrative Agent and such Lender, replace such Lender by causing such Lender to (and such Lender shall be obligated to) assign pursuant to </w:t>
      </w:r>
      <w:r>
        <w:rPr>
          <w:rFonts w:ascii="Times New Roman;serif" w:hAnsi="Times New Roman;serif"/>
          <w:b w:val="false"/>
          <w:color w:val="000000"/>
          <w:sz w:val="24"/>
          <w:u w:val="single"/>
        </w:rPr>
        <w:t>Section 10.02(b)</w:t>
      </w:r>
      <w:r>
        <w:rPr>
          <w:color w:val="000000"/>
        </w:rPr>
        <w:t xml:space="preserve"> </w:t>
      </w:r>
      <w:r>
        <w:rPr>
          <w:rFonts w:ascii="Times New Roman;serif" w:hAnsi="Times New Roman;serif"/>
          <w:b w:val="false"/>
          <w:color w:val="000000"/>
          <w:sz w:val="24"/>
        </w:rPr>
        <w:t xml:space="preserve">(with the assignment fee to be waived in such instance and subject </w:t>
      </w:r>
    </w:p>
    <w:p>
      <w:pPr>
        <w:pStyle w:val="TextBody"/>
        <w:bidi w:val="0"/>
        <w:spacing w:before="0" w:after="0"/>
        <w:jc w:val="center"/>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25145"/>
                <wp:effectExtent l="0" t="0" r="0" b="0"/>
                <wp:wrapNone/>
                <wp:docPr id="116" name="Frame11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to any consents required by such Section) all of its rights and obligations under this Agreement to one or more assignees;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neither the Administrative Agent nor any Lender shall have any obligation to the Borrower to find a replacement Lender or other such Person.</w:t>
      </w:r>
    </w:p>
    <w:p>
      <w:pPr>
        <w:pStyle w:val="TextBody"/>
        <w:bidi w:val="0"/>
        <w:spacing w:lineRule="auto" w:line="288" w:before="240" w:after="283"/>
        <w:ind w:left="0" w:right="0" w:firstLine="720"/>
        <w:jc w:val="left"/>
        <w:rPr/>
      </w:pPr>
      <w:bookmarkStart w:id="136" w:name="i38af8af282f64e568d5a82976b8a1faf"/>
      <w:bookmarkEnd w:id="136"/>
      <w:r>
        <w:rPr>
          <w:rFonts w:ascii="Times New Roman;serif" w:hAnsi="Times New Roman;serif"/>
          <w:b w:val="false"/>
          <w:color w:val="000000"/>
          <w:sz w:val="24"/>
        </w:rPr>
        <w:t xml:space="preserve">(b)    Any Lender being replaced pursuant to </w:t>
      </w:r>
      <w:r>
        <w:rPr>
          <w:rFonts w:ascii="Times New Roman;serif" w:hAnsi="Times New Roman;serif"/>
          <w:b w:val="false"/>
          <w:color w:val="000000"/>
          <w:sz w:val="24"/>
          <w:u w:val="single"/>
        </w:rPr>
        <w:t>Section 2.26(a)</w:t>
      </w:r>
      <w:r>
        <w:rPr>
          <w:color w:val="000000"/>
        </w:rPr>
        <w:t xml:space="preserve"> </w:t>
      </w:r>
      <w:r>
        <w:rPr>
          <w:rFonts w:ascii="Times New Roman;serif" w:hAnsi="Times New Roman;serif"/>
          <w:b w:val="false"/>
          <w:color w:val="000000"/>
          <w:sz w:val="24"/>
        </w:rPr>
        <w:t xml:space="preserve">shall (i) execute and deliver an Assignment and Acceptance with respect to such Lender’s outstanding Commitments, Loans and participations in Letters of Credit, and (ii) deliver any documentation evidencing such Loans to the Borrower or the Administrative Agent. Pursuant to such Assignment and Acceptance, (A) the assignee Lender shall acquire all or a portion, as specified by the Borrower and such assignee, of the assigning Lender’s outstanding Commitments, Loans and participations in Letters of Credit, (B) all obligations of the Borrower owing to the assigning Lender relating to the Commitments, Loans and participations so assigned shall be paid in full by the assignee Lender to such assigning Lender concurrently with such Assignment and Acceptance (including, without limitation, any amounts owed under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 xml:space="preserve">due to such replacement occurring on a day other than the last day of an Interest Period), and (C) upon such payment and, if so requested by the assignee Lender, delivery to the assignee Lender of the appropriate documentation executed by the Borrower in connection with previous Borrowings, the assignee Lender shall become a Lender hereunder and the assigning Lender shall cease to constitute a Lender hereunder with respect to such assigned Commitments, Loans and participations, except with respect to indemnification provisions under this Agreement, which shall survive as to such assigning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 assignment contemplated by this </w:t>
      </w:r>
      <w:r>
        <w:rPr>
          <w:rFonts w:ascii="Times New Roman;serif" w:hAnsi="Times New Roman;serif"/>
          <w:b w:val="false"/>
          <w:color w:val="000000"/>
          <w:sz w:val="24"/>
          <w:u w:val="single"/>
        </w:rPr>
        <w:t>Section 2.26(b)</w:t>
      </w:r>
      <w:r>
        <w:rPr>
          <w:color w:val="000000"/>
        </w:rPr>
        <w:t xml:space="preserve"> </w:t>
      </w:r>
      <w:r>
        <w:rPr>
          <w:rFonts w:ascii="Times New Roman;serif" w:hAnsi="Times New Roman;serif"/>
          <w:b w:val="false"/>
          <w:color w:val="000000"/>
          <w:sz w:val="24"/>
        </w:rPr>
        <w:t xml:space="preserve">shall become effective notwithstanding the failure by the Lender being replaced to deliver the Assignment and Acceptance contemplated by this </w:t>
      </w:r>
      <w:r>
        <w:rPr>
          <w:rFonts w:ascii="Times New Roman;serif" w:hAnsi="Times New Roman;serif"/>
          <w:b w:val="false"/>
          <w:color w:val="000000"/>
          <w:sz w:val="24"/>
          <w:u w:val="single"/>
        </w:rPr>
        <w:t>Section 2.26(b)</w:t>
      </w:r>
      <w:r>
        <w:rPr>
          <w:rFonts w:ascii="Times New Roman;serif" w:hAnsi="Times New Roman;serif"/>
          <w:b w:val="false"/>
          <w:color w:val="000000"/>
          <w:sz w:val="24"/>
        </w:rPr>
        <w:t xml:space="preserve">, so long as the other actions specified in this </w:t>
      </w:r>
      <w:r>
        <w:rPr>
          <w:rFonts w:ascii="Times New Roman;serif" w:hAnsi="Times New Roman;serif"/>
          <w:b w:val="false"/>
          <w:color w:val="000000"/>
          <w:sz w:val="24"/>
          <w:u w:val="single"/>
        </w:rPr>
        <w:t xml:space="preserve">Section 2.26(b) </w:t>
      </w:r>
      <w:r>
        <w:rPr>
          <w:rFonts w:ascii="Times New Roman;serif" w:hAnsi="Times New Roman;serif"/>
          <w:b w:val="false"/>
          <w:color w:val="000000"/>
          <w:sz w:val="24"/>
        </w:rPr>
        <w:t>shall have been taken.</w:t>
      </w:r>
    </w:p>
    <w:p>
      <w:pPr>
        <w:pStyle w:val="TextBody"/>
        <w:bidi w:val="0"/>
        <w:spacing w:lineRule="auto" w:line="288" w:before="240" w:after="283"/>
        <w:ind w:left="0" w:right="0" w:firstLine="720"/>
        <w:jc w:val="left"/>
        <w:rPr/>
      </w:pPr>
      <w:bookmarkStart w:id="137" w:name="i093341c3916b4a6385fb520d9b96c64a"/>
      <w:bookmarkEnd w:id="137"/>
      <w:r>
        <w:rPr>
          <w:rFonts w:ascii="Times New Roman;serif" w:hAnsi="Times New Roman;serif"/>
          <w:b w:val="false"/>
          <w:color w:val="000000"/>
          <w:sz w:val="24"/>
        </w:rPr>
        <w:t xml:space="preserve">(c)    Anything herein to the contrary notwithstanding, if a Revolving Lender becomes, and during the period it remains, a Defaulting Lender, during such period, such Defaulting Lender shall not be entitled to any fees accruing during such period pursuant to </w:t>
      </w:r>
      <w:r>
        <w:rPr>
          <w:rFonts w:ascii="Times New Roman;serif" w:hAnsi="Times New Roman;serif"/>
          <w:b w:val="false"/>
          <w:color w:val="000000"/>
          <w:sz w:val="24"/>
          <w:u w:val="single"/>
        </w:rPr>
        <w:t>Section 2.20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2.21</w:t>
      </w:r>
      <w:r>
        <w:rPr>
          <w:color w:val="000000"/>
        </w:rPr>
        <w:t xml:space="preserve"> </w:t>
      </w:r>
      <w:r>
        <w:rPr>
          <w:rFonts w:ascii="Times New Roman;serif" w:hAnsi="Times New Roman;serif"/>
          <w:b w:val="false"/>
          <w:color w:val="000000"/>
          <w:sz w:val="24"/>
        </w:rPr>
        <w:t xml:space="preserve">(without prejudice to the rights of the Non-Defaulting Lenders in respect of such fees), provided that (a) to the extent that all or a portion of the LC Exposure of such Defaulting Lender is reallocated to the Non-Defaulting Lenders pursuant to </w:t>
      </w:r>
      <w:r>
        <w:rPr>
          <w:rFonts w:ascii="Times New Roman;serif" w:hAnsi="Times New Roman;serif"/>
          <w:b w:val="false"/>
          <w:color w:val="000000"/>
          <w:sz w:val="24"/>
          <w:u w:val="single"/>
        </w:rPr>
        <w:t>Section 2.26(d)(i)</w:t>
      </w:r>
      <w:r>
        <w:rPr>
          <w:rFonts w:ascii="Times New Roman;serif" w:hAnsi="Times New Roman;serif"/>
          <w:b w:val="false"/>
          <w:color w:val="000000"/>
          <w:sz w:val="24"/>
        </w:rPr>
        <w:t xml:space="preserve">, such fees that would have accrued for the benefit of such Defaulting Lender shall instead accrue for the benefit of and be payable to such Non-Defaulting Lenders and (b) to the extent that all or any portion of such LC Exposure cannot be so reallocated and is not Cash Collateralized in accordance with </w:t>
      </w:r>
      <w:r>
        <w:rPr>
          <w:rFonts w:ascii="Times New Roman;serif" w:hAnsi="Times New Roman;serif"/>
          <w:b w:val="false"/>
          <w:color w:val="000000"/>
          <w:sz w:val="24"/>
          <w:u w:val="single"/>
        </w:rPr>
        <w:t>Section 2.26(d)(ii)</w:t>
      </w:r>
      <w:r>
        <w:rPr>
          <w:rFonts w:ascii="Times New Roman;serif" w:hAnsi="Times New Roman;serif"/>
          <w:b w:val="false"/>
          <w:color w:val="000000"/>
          <w:sz w:val="24"/>
        </w:rPr>
        <w:t>, such fees shall instead accrue for the benefit of and be payable to the Issuing Lenders as their interests appear (and the applicable pro rata payment provisions under this Agreement shall automatically be deemed adjusted to reflect the provisions of this Section).</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38" w:name="idfd6e4ab082d4f4492118845f3f40798"/>
      <w:bookmarkEnd w:id="138"/>
      <w:r>
        <w:rPr>
          <w:rFonts w:ascii="Times New Roman;serif" w:hAnsi="Times New Roman;serif"/>
          <w:b w:val="false"/>
          <w:color w:val="000000"/>
          <w:sz w:val="24"/>
        </w:rPr>
        <w:t xml:space="preserve">(d)    If any LC Exposure exists at the time a Revolving Lender becomes a Defaulting Lender then: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39" w:name="i9915c73cfeb54a8981b6390c9b3144a9"/>
      <w:bookmarkEnd w:id="139"/>
      <w:r>
        <w:rPr>
          <w:rFonts w:ascii="Times New Roman;serif" w:hAnsi="Times New Roman;serif"/>
          <w:b w:val="false"/>
          <w:color w:val="000000"/>
          <w:sz w:val="24"/>
        </w:rPr>
        <w:t xml:space="preserve">(i)    the LC Exposure of such Defaulting Lender will, upon at least two (2) Business Days prior notice to the Borrower and the Non-Defaulting Lenders by the Administrative Agent, and subject in any event to the limitation in the first proviso below, automatically be reallocated (effective on the day specified in such notice) among </w:t>
      </w:r>
    </w:p>
    <w:p>
      <w:pPr>
        <w:pStyle w:val="TextBody"/>
        <w:bidi w:val="0"/>
        <w:spacing w:before="0" w:after="0"/>
        <w:jc w:val="center"/>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25145"/>
                <wp:effectExtent l="0" t="0" r="0" b="0"/>
                <wp:wrapNone/>
                <wp:docPr id="117" name="Frame11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the Non-Defaulting Lenders pro rata in accordance with their respective Revolving Commitments;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the Revolving Extensions of Credit of each such Non-Defaulting Lender may not in any event exceed the Revolving Commitment of such Non-Defaulting Lender as in effect at the time of such reallocation, (B) subject to </w:t>
      </w:r>
      <w:r>
        <w:rPr>
          <w:rFonts w:ascii="Times New Roman;serif" w:hAnsi="Times New Roman;serif"/>
          <w:b w:val="false"/>
          <w:color w:val="000000"/>
          <w:sz w:val="24"/>
          <w:u w:val="single"/>
        </w:rPr>
        <w:t>Section 10.19</w:t>
      </w:r>
      <w:r>
        <w:rPr>
          <w:rFonts w:ascii="Times New Roman;serif" w:hAnsi="Times New Roman;serif"/>
          <w:b w:val="false"/>
          <w:color w:val="000000"/>
          <w:sz w:val="24"/>
        </w:rPr>
        <w:t xml:space="preserve">, such reallocation will not constitute a waiver or release of any claim either the Borrower, the Administrative Agent, the Issuing Lenders or any other Lender may have against such Defaulting Lender, (C) the conditions set forth in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are satisfied at the time of such reallocation (and, unless the Borrower shall have otherwise notified the Administrative Agent prior to such effective date, the Borrower shall be deemed to have represented and warranted that such conditions are satisfied on such effective date) and (D) neither such reallocation nor any payment by a Non-Defaulting Lender as a result thereof will cause such Defaulting Lender to be a Non-Defaulting Lender; and</w:t>
      </w:r>
    </w:p>
    <w:p>
      <w:pPr>
        <w:pStyle w:val="TextBody"/>
        <w:bidi w:val="0"/>
        <w:spacing w:lineRule="auto" w:line="288" w:before="240" w:after="283"/>
        <w:ind w:left="0" w:right="0" w:firstLine="720"/>
        <w:jc w:val="left"/>
        <w:rPr/>
      </w:pPr>
      <w:bookmarkStart w:id="140" w:name="i1073fca0b21c426ab8b7787c545240f9"/>
      <w:bookmarkEnd w:id="140"/>
      <w:r>
        <w:rPr>
          <w:rFonts w:ascii="Times New Roman;serif" w:hAnsi="Times New Roman;serif"/>
          <w:b w:val="false"/>
          <w:color w:val="000000"/>
          <w:sz w:val="24"/>
        </w:rPr>
        <w:t>(ii)    to the extent that any portion (the “</w:t>
      </w:r>
      <w:r>
        <w:rPr>
          <w:rFonts w:ascii="Times New Roman;serif" w:hAnsi="Times New Roman;serif"/>
          <w:b w:val="false"/>
          <w:color w:val="000000"/>
          <w:sz w:val="24"/>
          <w:u w:val="single"/>
        </w:rPr>
        <w:t>unreallocated portion</w:t>
      </w:r>
      <w:r>
        <w:rPr>
          <w:color w:val="000000"/>
        </w:rPr>
        <w:t>”</w:t>
      </w:r>
      <w:r>
        <w:rPr>
          <w:rFonts w:ascii="Times New Roman;serif" w:hAnsi="Times New Roman;serif"/>
          <w:b w:val="false"/>
          <w:color w:val="000000"/>
          <w:sz w:val="24"/>
        </w:rPr>
        <w:t>) of the Defaulting Lender’s LC Exposure cannot be so reallocated, whether by reason of the first proviso in clause (i) above or otherwise, the Borrower will, not later than three (3) Business Days after demand by the Administrative Agent, (A) Cash Collateralize the obligations of the Borrower to the Issuing Lenders in respect of such LC Exposure in an amount at least equal to the aggregate amount of the unreallocated portion of such LC Exposure or (B) make other arrangements satisfactory to the Administrative Agent and the Issuing Lenders in their sole discretion to protect them against the risk of non-payment by such Defaulting Lender.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41" w:name="i244ff140101846689615362097d0c342"/>
      <w:bookmarkEnd w:id="141"/>
      <w:r>
        <w:rPr>
          <w:rFonts w:ascii="Times New Roman;serif" w:hAnsi="Times New Roman;serif"/>
          <w:b w:val="false"/>
          <w:color w:val="000000"/>
          <w:sz w:val="24"/>
        </w:rPr>
        <w:t>(e)    In addition to the other conditions precedent set forth in this Agreement, if any Revolving Lender becomes, and during the period it remains, a Defaulting Lender, no Issuing Lender shall be required to issue any Letter of Credit or to amend any outstanding Letter of Credit, unless:</w:t>
      </w:r>
    </w:p>
    <w:p>
      <w:pPr>
        <w:pStyle w:val="TextBody"/>
        <w:bidi w:val="0"/>
        <w:spacing w:lineRule="auto" w:line="288" w:before="240" w:after="283"/>
        <w:ind w:left="0" w:right="0" w:firstLine="720"/>
        <w:jc w:val="left"/>
        <w:rPr/>
      </w:pPr>
      <w:bookmarkStart w:id="142" w:name="i16bfcf27249840e3bb02febb93f75a30"/>
      <w:bookmarkEnd w:id="142"/>
      <w:r>
        <w:rPr>
          <w:rFonts w:ascii="Times New Roman;serif" w:hAnsi="Times New Roman;serif"/>
          <w:b w:val="false"/>
          <w:color w:val="000000"/>
          <w:sz w:val="24"/>
        </w:rPr>
        <w:t xml:space="preserve">(i)    in the case of a Defaulting Lender, the LC Exposure of such Defaulting Lender is reallocated, as to outstanding and future Letters of Credit, to the Non-Defaulting Lenders as provided in </w:t>
      </w:r>
      <w:r>
        <w:rPr>
          <w:rFonts w:ascii="Times New Roman;serif" w:hAnsi="Times New Roman;serif"/>
          <w:b w:val="false"/>
          <w:color w:val="000000"/>
          <w:sz w:val="24"/>
          <w:u w:val="single"/>
        </w:rPr>
        <w:t>Section 2.26(d)(i)</w:t>
      </w:r>
      <w:r>
        <w:rPr>
          <w:rFonts w:ascii="Times New Roman;serif" w:hAnsi="Times New Roman;serif"/>
          <w:b w:val="false"/>
          <w:color w:val="000000"/>
          <w:sz w:val="24"/>
        </w:rPr>
        <w:t>, and</w:t>
      </w:r>
    </w:p>
    <w:p>
      <w:pPr>
        <w:pStyle w:val="TextBody"/>
        <w:bidi w:val="0"/>
        <w:spacing w:lineRule="auto" w:line="288" w:before="240" w:after="283"/>
        <w:ind w:left="0" w:right="0" w:firstLine="720"/>
        <w:jc w:val="left"/>
        <w:rPr/>
      </w:pPr>
      <w:bookmarkStart w:id="143" w:name="i6f1d5c329495488886a416409172d7ec"/>
      <w:bookmarkEnd w:id="143"/>
      <w:r>
        <w:rPr>
          <w:rFonts w:ascii="Times New Roman;serif" w:hAnsi="Times New Roman;serif"/>
          <w:b w:val="false"/>
          <w:color w:val="000000"/>
          <w:sz w:val="24"/>
        </w:rPr>
        <w:t xml:space="preserve">(ii)    to the extent full reallocation does not occur as provided in clause (i) above, without limiting the provisions of </w:t>
      </w:r>
      <w:r>
        <w:rPr>
          <w:rFonts w:ascii="Times New Roman;serif" w:hAnsi="Times New Roman;serif"/>
          <w:b w:val="false"/>
          <w:color w:val="000000"/>
          <w:sz w:val="24"/>
          <w:u w:val="single"/>
        </w:rPr>
        <w:t>Section 2.26(f)</w:t>
      </w:r>
      <w:r>
        <w:rPr>
          <w:rFonts w:ascii="Times New Roman;serif" w:hAnsi="Times New Roman;serif"/>
          <w:b w:val="false"/>
          <w:color w:val="000000"/>
          <w:sz w:val="24"/>
        </w:rPr>
        <w:t>, the Borrower shall Cash Collateralize the obligations of the Borrower in respect of such Letter of Credit in an amount at least equal to the aggregate amount of the obligations (contingent or otherwise) of such Defaulting Lender in respect of such Letter of Credit, or makes other arrangements satisfactory to the Administrative Agent and such Issuing Lenders in their sole discretion to protect them against the risk of non-payment by such Defaulting Lender, or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44" w:name="ib7cf0972cd554376b8da54b9d2da4342"/>
      <w:bookmarkEnd w:id="144"/>
      <w:r>
        <w:rPr>
          <w:rFonts w:ascii="Times New Roman;serif" w:hAnsi="Times New Roman;serif"/>
          <w:b w:val="false"/>
          <w:color w:val="000000"/>
          <w:sz w:val="24"/>
        </w:rPr>
        <w:t xml:space="preserve">(iii)    to the extent that neither reallocation nor Cash Collateralization occurs pursuant to clauses (i) or (ii), then in the case of a proposed issuance of a Letter of Credit, by an instrument or instruments in form and substance satisfactory to the Administrative Agent, and to such Issuing Lender, as the case may be, (A) the Borrower agrees that the face amount of such requested Letter of Credit will be reduced by an amount equal to the </w:t>
      </w:r>
    </w:p>
    <w:p>
      <w:pPr>
        <w:pStyle w:val="TextBody"/>
        <w:bidi w:val="0"/>
        <w:spacing w:before="0" w:after="0"/>
        <w:jc w:val="center"/>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25145"/>
                <wp:effectExtent l="0" t="0" r="0" b="0"/>
                <wp:wrapNone/>
                <wp:docPr id="118" name="Frame11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portion thereof as to which such Defaulting Lender would otherwise be liable, and (B) the Non-Defaulting Lenders confirm, in their discretion, that their obligations in respect of such Letter of Credit shall be on a pro rata basis in accordance with the Revolving Commitments of the Non-Defaulting Lenders, and that the applicable pro rata payment provisions under this Agreement will be deemed adjusted to reflect this provision (provided that nothing in this clause (iii) will be deemed to increase the Revolving Commitments of any Lender, nor to constitute a waiver or release of any claim the Borrower, the Administrative Agent, any Issuing Lender or any other Lender may have against such Defaulting Lender, nor to cause such Defaulting Lender to be a Non-Defaulting Lender).</w:t>
      </w:r>
    </w:p>
    <w:p>
      <w:pPr>
        <w:pStyle w:val="TextBody"/>
        <w:bidi w:val="0"/>
        <w:spacing w:lineRule="auto" w:line="288" w:before="240" w:after="283"/>
        <w:ind w:left="0" w:right="0" w:firstLine="720"/>
        <w:jc w:val="left"/>
        <w:rPr/>
      </w:pPr>
      <w:bookmarkStart w:id="145" w:name="i78331a5b016741de8adfd74b21d9eec5"/>
      <w:bookmarkEnd w:id="145"/>
      <w:r>
        <w:rPr>
          <w:rFonts w:ascii="Times New Roman;serif" w:hAnsi="Times New Roman;serif"/>
          <w:b w:val="false"/>
          <w:color w:val="000000"/>
          <w:sz w:val="24"/>
        </w:rPr>
        <w:t xml:space="preserve">(f)    If any Revolving Lender becomes, and during the period it remains, a Defaulting Lender and if any Letter of Credit is at the time outstanding, the applicable Issuing Lender may (except to the extent the Revolving Commitments of such Defaulting Lender have been fully reallocated pursuant to </w:t>
      </w:r>
      <w:r>
        <w:rPr>
          <w:rFonts w:ascii="Times New Roman;serif" w:hAnsi="Times New Roman;serif"/>
          <w:b w:val="false"/>
          <w:color w:val="000000"/>
          <w:sz w:val="24"/>
          <w:u w:val="single"/>
        </w:rPr>
        <w:t>Section 2.26(d)(i)</w:t>
      </w:r>
      <w:r>
        <w:rPr>
          <w:rFonts w:ascii="Times New Roman;serif" w:hAnsi="Times New Roman;serif"/>
          <w:b w:val="false"/>
          <w:color w:val="000000"/>
          <w:sz w:val="24"/>
        </w:rPr>
        <w:t>), by notice to the Borrower and such Defaulting Lender through the Administrative Agent, require the Borrower to Cash Collateralize, not later than three (3) Business Days after receipt by the Borrower of such notice, the obligations of the Borrower to such Issuing Lender in respect of such Letter of Credit in an amount at least equal to the aggregate amount of the obligations (contingent or otherwise) of such Defaulting Lender in respect thereof, or to make other arrangements satisfactory to the Administrative Agent and such Issuing Lender in their sole discretion to protect them against the risk of non-payment by such Defaulting Lender.</w:t>
      </w:r>
    </w:p>
    <w:p>
      <w:pPr>
        <w:pStyle w:val="TextBody"/>
        <w:bidi w:val="0"/>
        <w:spacing w:lineRule="auto" w:line="288" w:before="240" w:after="283"/>
        <w:ind w:left="0" w:right="0" w:firstLine="720"/>
        <w:jc w:val="left"/>
        <w:rPr/>
      </w:pPr>
      <w:bookmarkStart w:id="146" w:name="i9a8273ad7cd549dfb9ca5a222b55de15"/>
      <w:bookmarkEnd w:id="146"/>
      <w:r>
        <w:rPr>
          <w:rFonts w:ascii="Times New Roman;serif" w:hAnsi="Times New Roman;serif"/>
          <w:b w:val="false"/>
          <w:color w:val="000000"/>
          <w:sz w:val="24"/>
        </w:rPr>
        <w:t xml:space="preserve">(g)    Any amount paid by the Borrower or otherwise received by the Administrative Agent for the account of a Defaulting Lender under this Agreement (whether on account of principal, interest, fees, indemnity payments or other amounts) will not be paid or distributed to such Defaulting Lender, but shall instead be retained by the Administrative Agent in a segregated account until (subject to </w:t>
      </w:r>
      <w:r>
        <w:rPr>
          <w:rFonts w:ascii="Times New Roman;serif" w:hAnsi="Times New Roman;serif"/>
          <w:b w:val="false"/>
          <w:color w:val="000000"/>
          <w:sz w:val="24"/>
          <w:u w:val="single"/>
        </w:rPr>
        <w:t>Section 2.26(i)</w:t>
      </w:r>
      <w:r>
        <w:rPr>
          <w:rFonts w:ascii="Times New Roman;serif" w:hAnsi="Times New Roman;serif"/>
          <w:b w:val="false"/>
          <w:color w:val="000000"/>
          <w:sz w:val="24"/>
        </w:rPr>
        <w:t xml:space="preserve">) the termination of the Commitments and payment in full of all obligations of the Borrower hereunder and will be applied by the Administrative Agent, to the fullest extent permitted by law, to the making of payments from time to time in the following order of priority: </w:t>
      </w:r>
    </w:p>
    <w:p>
      <w:pPr>
        <w:pStyle w:val="TextBody"/>
        <w:bidi w:val="0"/>
        <w:spacing w:lineRule="auto" w:line="288" w:before="240" w:after="283"/>
        <w:jc w:val="left"/>
        <w:rPr/>
      </w:pPr>
      <w:r>
        <w:rPr>
          <w:color w:val="000000"/>
        </w:rPr>
        <w:t>    </w:t>
      </w:r>
      <w:r>
        <w:rPr>
          <w:rFonts w:ascii="Times New Roman;serif" w:hAnsi="Times New Roman;serif"/>
          <w:b w:val="false"/>
          <w:color w:val="000000"/>
          <w:sz w:val="24"/>
          <w:u w:val="single"/>
        </w:rPr>
        <w:t>first</w:t>
      </w:r>
      <w:r>
        <w:rPr>
          <w:rFonts w:ascii="Times New Roman;serif" w:hAnsi="Times New Roman;serif"/>
          <w:b w:val="false"/>
          <w:color w:val="000000"/>
          <w:sz w:val="24"/>
        </w:rPr>
        <w:t xml:space="preserve">, to the payment of any amounts owing by such Defaulting Lender to the Administrative Agent, </w:t>
      </w:r>
    </w:p>
    <w:p>
      <w:pPr>
        <w:pStyle w:val="TextBody"/>
        <w:bidi w:val="0"/>
        <w:spacing w:lineRule="auto" w:line="288" w:before="240" w:after="283"/>
        <w:jc w:val="left"/>
        <w:rPr/>
      </w:pPr>
      <w:r>
        <w:rPr>
          <w:color w:val="000000"/>
        </w:rPr>
        <w:t>    </w:t>
      </w:r>
      <w:r>
        <w:rPr>
          <w:rFonts w:ascii="Times New Roman;serif" w:hAnsi="Times New Roman;serif"/>
          <w:b w:val="false"/>
          <w:color w:val="000000"/>
          <w:sz w:val="24"/>
          <w:u w:val="single"/>
        </w:rPr>
        <w:t>second</w:t>
      </w:r>
      <w:r>
        <w:rPr>
          <w:rFonts w:ascii="Times New Roman;serif" w:hAnsi="Times New Roman;serif"/>
          <w:b w:val="false"/>
          <w:color w:val="000000"/>
          <w:sz w:val="24"/>
        </w:rPr>
        <w:t xml:space="preserve">, to the payment of any amounts owing by such Defaulting Lender to the Issuing Lenders under this Agreement, </w:t>
      </w:r>
    </w:p>
    <w:p>
      <w:pPr>
        <w:pStyle w:val="TextBody"/>
        <w:bidi w:val="0"/>
        <w:spacing w:lineRule="auto" w:line="288" w:before="240" w:after="283"/>
        <w:jc w:val="left"/>
        <w:rPr/>
      </w:pPr>
      <w:r>
        <w:rPr>
          <w:color w:val="000000"/>
        </w:rPr>
        <w:t>    </w:t>
      </w:r>
      <w:r>
        <w:rPr>
          <w:rFonts w:ascii="Times New Roman;serif" w:hAnsi="Times New Roman;serif"/>
          <w:b w:val="false"/>
          <w:color w:val="000000"/>
          <w:sz w:val="24"/>
          <w:u w:val="single"/>
        </w:rPr>
        <w:t>third</w:t>
      </w:r>
      <w:r>
        <w:rPr>
          <w:rFonts w:ascii="Times New Roman;serif" w:hAnsi="Times New Roman;serif"/>
          <w:b w:val="false"/>
          <w:color w:val="000000"/>
          <w:sz w:val="24"/>
        </w:rPr>
        <w:t xml:space="preserve">, to the payment of the default interest and then current interest due and payable to the Lenders which are Non-Defaulting Lenders hereunder, ratably among them in accordance with the amounts of such interest then due and payable to them, </w:t>
      </w:r>
    </w:p>
    <w:p>
      <w:pPr>
        <w:pStyle w:val="TextBody"/>
        <w:bidi w:val="0"/>
        <w:spacing w:lineRule="auto" w:line="288" w:before="240" w:after="283"/>
        <w:jc w:val="left"/>
        <w:rPr/>
      </w:pPr>
      <w:r>
        <w:rPr>
          <w:color w:val="000000"/>
        </w:rPr>
        <w:t>    </w:t>
      </w:r>
      <w:r>
        <w:rPr>
          <w:rFonts w:ascii="Times New Roman;serif" w:hAnsi="Times New Roman;serif"/>
          <w:b w:val="false"/>
          <w:color w:val="000000"/>
          <w:sz w:val="24"/>
          <w:u w:val="single"/>
        </w:rPr>
        <w:t>fourth</w:t>
      </w:r>
      <w:r>
        <w:rPr>
          <w:rFonts w:ascii="Times New Roman;serif" w:hAnsi="Times New Roman;serif"/>
          <w:b w:val="false"/>
          <w:color w:val="000000"/>
          <w:sz w:val="24"/>
        </w:rPr>
        <w:t xml:space="preserve">, to the payment of fees then due and payable to the Non-Defaulting Lenders hereunder, ratably among them in accordance with the amounts of such fees then due and payable to them, </w:t>
      </w:r>
    </w:p>
    <w:p>
      <w:pPr>
        <w:pStyle w:val="TextBody"/>
        <w:bidi w:val="0"/>
        <w:spacing w:before="0" w:after="0"/>
        <w:jc w:val="center"/>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25145"/>
                <wp:effectExtent l="0" t="0" r="0" b="0"/>
                <wp:wrapNone/>
                <wp:docPr id="119" name="Frame11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color w:val="000000"/>
        </w:rPr>
        <w:t>    </w:t>
      </w:r>
      <w:r>
        <w:rPr>
          <w:rFonts w:ascii="Times New Roman;serif" w:hAnsi="Times New Roman;serif"/>
          <w:b w:val="false"/>
          <w:color w:val="000000"/>
          <w:sz w:val="24"/>
          <w:u w:val="single"/>
        </w:rPr>
        <w:t>fifth</w:t>
      </w:r>
      <w:r>
        <w:rPr>
          <w:rFonts w:ascii="Times New Roman;serif" w:hAnsi="Times New Roman;serif"/>
          <w:b w:val="false"/>
          <w:color w:val="000000"/>
          <w:sz w:val="24"/>
        </w:rPr>
        <w:t xml:space="preserve">, to pay principal and unreimbursed LC Disbursements then due and payable to the Non-Defaulting Lenders hereunder ratably in accordance with the amounts thereof then due and payable to them, </w:t>
      </w:r>
    </w:p>
    <w:p>
      <w:pPr>
        <w:pStyle w:val="TextBody"/>
        <w:bidi w:val="0"/>
        <w:spacing w:lineRule="auto" w:line="288" w:before="240" w:after="283"/>
        <w:jc w:val="left"/>
        <w:rPr/>
      </w:pPr>
      <w:r>
        <w:rPr>
          <w:color w:val="000000"/>
        </w:rPr>
        <w:t>    </w:t>
      </w:r>
      <w:r>
        <w:rPr>
          <w:rFonts w:ascii="Times New Roman;serif" w:hAnsi="Times New Roman;serif"/>
          <w:b w:val="false"/>
          <w:color w:val="000000"/>
          <w:sz w:val="24"/>
          <w:u w:val="single"/>
        </w:rPr>
        <w:t>sixth</w:t>
      </w:r>
      <w:r>
        <w:rPr>
          <w:rFonts w:ascii="Times New Roman;serif" w:hAnsi="Times New Roman;serif"/>
          <w:b w:val="false"/>
          <w:color w:val="000000"/>
          <w:sz w:val="24"/>
        </w:rPr>
        <w:t xml:space="preserve">, to the ratable payment of other amounts then due and payable to the Non-Defaulting Lenders, </w:t>
      </w:r>
    </w:p>
    <w:p>
      <w:pPr>
        <w:pStyle w:val="TextBody"/>
        <w:bidi w:val="0"/>
        <w:spacing w:lineRule="auto" w:line="288" w:before="240" w:after="283"/>
        <w:jc w:val="left"/>
        <w:rPr/>
      </w:pPr>
      <w:r>
        <w:rPr>
          <w:color w:val="000000"/>
        </w:rPr>
        <w:t>    </w:t>
      </w:r>
      <w:r>
        <w:rPr>
          <w:rFonts w:ascii="Times New Roman;serif" w:hAnsi="Times New Roman;serif"/>
          <w:b w:val="false"/>
          <w:color w:val="000000"/>
          <w:sz w:val="24"/>
          <w:u w:val="single"/>
        </w:rPr>
        <w:t>seventh</w:t>
      </w:r>
      <w:r>
        <w:rPr>
          <w:rFonts w:ascii="Times New Roman;serif" w:hAnsi="Times New Roman;serif"/>
          <w:b w:val="false"/>
          <w:color w:val="000000"/>
          <w:sz w:val="24"/>
        </w:rPr>
        <w:t xml:space="preserve">, to reimburse the Borrower for any Cash Collateralization provided by the Borrower pursuant to this </w:t>
      </w:r>
      <w:r>
        <w:rPr>
          <w:rFonts w:ascii="Times New Roman;serif" w:hAnsi="Times New Roman;serif"/>
          <w:b w:val="false"/>
          <w:color w:val="000000"/>
          <w:sz w:val="24"/>
          <w:u w:val="single"/>
        </w:rPr>
        <w:t>Section 2.26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upon the required release of any such Cash Collateralization to the Borrower pursuant to </w:t>
      </w:r>
      <w:r>
        <w:rPr>
          <w:rFonts w:ascii="Times New Roman;serif" w:hAnsi="Times New Roman;serif"/>
          <w:b w:val="false"/>
          <w:color w:val="000000"/>
          <w:sz w:val="24"/>
          <w:u w:val="single"/>
        </w:rPr>
        <w:t>Section 2.02(j)</w:t>
      </w:r>
      <w:r>
        <w:rPr>
          <w:rFonts w:ascii="Times New Roman;serif" w:hAnsi="Times New Roman;serif"/>
          <w:b w:val="false"/>
          <w:color w:val="000000"/>
          <w:sz w:val="24"/>
        </w:rPr>
        <w:t xml:space="preserve">, such released amount shall be applied pursuant to this </w:t>
      </w:r>
      <w:r>
        <w:rPr>
          <w:rFonts w:ascii="Times New Roman;serif" w:hAnsi="Times New Roman;serif"/>
          <w:b w:val="false"/>
          <w:color w:val="000000"/>
          <w:sz w:val="24"/>
          <w:u w:val="single"/>
        </w:rPr>
        <w:t>Section 2.26(g)</w:t>
      </w:r>
      <w:r>
        <w:rPr>
          <w:color w:val="000000"/>
        </w:rPr>
        <w:t xml:space="preserve"> </w:t>
      </w:r>
      <w:r>
        <w:rPr>
          <w:rFonts w:ascii="Times New Roman;serif" w:hAnsi="Times New Roman;serif"/>
          <w:b w:val="false"/>
          <w:color w:val="000000"/>
          <w:sz w:val="24"/>
        </w:rPr>
        <w:t xml:space="preserve">in lieu of return to the Borrower, and </w:t>
      </w:r>
    </w:p>
    <w:p>
      <w:pPr>
        <w:pStyle w:val="TextBody"/>
        <w:bidi w:val="0"/>
        <w:spacing w:lineRule="auto" w:line="288" w:before="240" w:after="283"/>
        <w:jc w:val="left"/>
        <w:rPr/>
      </w:pPr>
      <w:r>
        <w:rPr>
          <w:color w:val="000000"/>
        </w:rPr>
        <w:t>    </w:t>
      </w:r>
      <w:r>
        <w:rPr>
          <w:rFonts w:ascii="Times New Roman;serif" w:hAnsi="Times New Roman;serif"/>
          <w:b w:val="false"/>
          <w:color w:val="000000"/>
          <w:sz w:val="24"/>
          <w:u w:val="single"/>
        </w:rPr>
        <w:t>eighth</w:t>
      </w:r>
      <w:r>
        <w:rPr>
          <w:rFonts w:ascii="Times New Roman;serif" w:hAnsi="Times New Roman;serif"/>
          <w:b w:val="false"/>
          <w:color w:val="000000"/>
          <w:sz w:val="24"/>
        </w:rPr>
        <w:t>, after the termination of the Commitments and payment in full of all obligations of the Borrower hereunder, to pay amounts owing under this Agreement to such Defaulting Lender or as a court of competent jurisdiction may otherwise direct.</w:t>
      </w:r>
    </w:p>
    <w:p>
      <w:pPr>
        <w:pStyle w:val="TextBody"/>
        <w:bidi w:val="0"/>
        <w:spacing w:lineRule="auto" w:line="288" w:before="240" w:after="283"/>
        <w:ind w:left="0" w:right="0" w:firstLine="720"/>
        <w:jc w:val="left"/>
        <w:rPr/>
      </w:pPr>
      <w:bookmarkStart w:id="147" w:name="i6b35179f5ff64a13a84c9be731d812e2"/>
      <w:bookmarkEnd w:id="147"/>
      <w:r>
        <w:rPr>
          <w:rFonts w:ascii="Times New Roman;serif" w:hAnsi="Times New Roman;serif"/>
          <w:b w:val="false"/>
          <w:color w:val="000000"/>
          <w:sz w:val="24"/>
        </w:rPr>
        <w:t xml:space="preserve">(h)    The Borrower may terminate the unused amount of the Commitment of any Lender that is a Defaulting Lender upon not less than ten (10) Business Days’ prior notice to the Administrative Agent (which shall promptly notify the Lenders thereof), and in such event the provisions of </w:t>
      </w:r>
      <w:r>
        <w:rPr>
          <w:rFonts w:ascii="Times New Roman;serif" w:hAnsi="Times New Roman;serif"/>
          <w:b w:val="false"/>
          <w:color w:val="000000"/>
          <w:sz w:val="24"/>
          <w:u w:val="single"/>
        </w:rPr>
        <w:t>Section 2.26(g)</w:t>
      </w:r>
      <w:r>
        <w:rPr>
          <w:color w:val="000000"/>
        </w:rPr>
        <w:t xml:space="preserve"> </w:t>
      </w:r>
      <w:r>
        <w:rPr>
          <w:rFonts w:ascii="Times New Roman;serif" w:hAnsi="Times New Roman;serif"/>
          <w:b w:val="false"/>
          <w:color w:val="000000"/>
          <w:sz w:val="24"/>
        </w:rPr>
        <w:t>will apply to all amounts thereafter paid by the Borrower for the account of such Defaulting Lender under this Agreement (whether on account of principal, interest, Fees, indemnity or other amounts), provided that (i) no Event of Default shall have occurred and be continuing and (ii) such termination shall not be deemed to be a waiver or release of any claim the Borrower, the Administrative Agent, any Issuing Lender, or any Lender may have against such Defaulting Lender.</w:t>
      </w:r>
    </w:p>
    <w:p>
      <w:pPr>
        <w:pStyle w:val="TextBody"/>
        <w:bidi w:val="0"/>
        <w:spacing w:lineRule="auto" w:line="288" w:before="240" w:after="283"/>
        <w:ind w:left="0" w:right="0" w:firstLine="720"/>
        <w:jc w:val="left"/>
        <w:rPr/>
      </w:pPr>
      <w:bookmarkStart w:id="148" w:name="iaf083cd62cd548789cbfdb3031401d6f"/>
      <w:bookmarkEnd w:id="148"/>
      <w:r>
        <w:rPr>
          <w:rFonts w:ascii="Times New Roman;serif" w:hAnsi="Times New Roman;serif"/>
          <w:b w:val="false"/>
          <w:color w:val="000000"/>
          <w:sz w:val="24"/>
        </w:rPr>
        <w:t xml:space="preserve">(i)    If the Borrower, the Administrative Agent and the Issuing Lenders agree in writing that a Lender that is a Defaulting Lender should no longer be deemed to be a Defaulting Lender, the Administrative Agent will so notify the Lenders, whereupon as of the effective date specified in such notice and subject to any conditions set forth therein (which may include arrangements with respect to any amounts then held in the segregated account referred to in </w:t>
      </w:r>
      <w:r>
        <w:rPr>
          <w:rFonts w:ascii="Times New Roman;serif" w:hAnsi="Times New Roman;serif"/>
          <w:b w:val="false"/>
          <w:color w:val="000000"/>
          <w:sz w:val="24"/>
          <w:u w:val="single"/>
        </w:rPr>
        <w:t>Section 2.26(g)</w:t>
      </w:r>
      <w:r>
        <w:rPr>
          <w:rFonts w:ascii="Times New Roman;serif" w:hAnsi="Times New Roman;serif"/>
          <w:b w:val="false"/>
          <w:color w:val="000000"/>
          <w:sz w:val="24"/>
        </w:rPr>
        <w:t xml:space="preserve">), such Lender shall purchase at par such portions of outstanding Loans of the other Lenders, and/or make such other adjustments, as the Administrative Agent may determine to be necessary to cause the Lenders to hold Loans on a pro rata basis in accordance with their respective Commitments, whereupon such Lender shall cease to be a Defaulting Lender and will be a Non-Defaulting Lender (and the LC Exposure of each Lender shall automatically be adjusted on a prospective basis to reflect the foregoing);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adjustments shall be made retroactively with respect to fees accrued while such Lender was a Defaulting Lender;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except to the extent otherwise expressly agreed by the affected parties, no change hereunder from Defaulting Lender to Non-Defaulting Lender shall constitute a waiver or release of any claim of any party hereunder arising from such Lender’s having been a Defaulting Lender.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49" w:name="if4655a791cc948abbbb65412e6c8e9d1"/>
      <w:bookmarkEnd w:id="149"/>
      <w:r>
        <w:rPr>
          <w:rFonts w:ascii="Times New Roman;serif" w:hAnsi="Times New Roman;serif"/>
          <w:b w:val="false"/>
          <w:color w:val="000000"/>
          <w:sz w:val="24"/>
        </w:rPr>
        <w:t xml:space="preserve">(j)    Notwithstanding anything to the contrary herein, (x) any Lender that is an Issuing Lender hereunder may not be replaced in its capacity as an Issuing Lender at any time that it has </w:t>
      </w:r>
    </w:p>
    <w:p>
      <w:pPr>
        <w:pStyle w:val="TextBody"/>
        <w:bidi w:val="0"/>
        <w:spacing w:before="0" w:after="0"/>
        <w:jc w:val="center"/>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25145"/>
                <wp:effectExtent l="0" t="0" r="0" b="0"/>
                <wp:wrapNone/>
                <wp:docPr id="120" name="Frame11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a Letter of Credit outstanding hereunder unless arrangements reasonably satisfactory to such Issuing Lender have been made with respect to such outstanding Letters of Credit and (y) the Administrative Agent may not be replaced hereunder except in accordance with the terms of </w:t>
      </w:r>
      <w:r>
        <w:rPr>
          <w:rFonts w:ascii="Times New Roman;serif" w:hAnsi="Times New Roman;serif"/>
          <w:b w:val="false"/>
          <w:color w:val="000000"/>
          <w:sz w:val="24"/>
          <w:u w:val="single"/>
        </w:rPr>
        <w:t>Section 8.05</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150" w:name="i2ed4092091d84eac809d2229b6e1e199"/>
      <w:bookmarkEnd w:id="150"/>
      <w:r>
        <w:rPr>
          <w:rFonts w:ascii="Times New Roman;serif" w:hAnsi="Times New Roman;serif"/>
          <w:b w:val="false"/>
          <w:color w:val="000000"/>
          <w:sz w:val="24"/>
        </w:rPr>
        <w:t>Section 2.27.    </w:t>
      </w:r>
      <w:r>
        <w:rPr>
          <w:rFonts w:ascii="Times New Roman;serif" w:hAnsi="Times New Roman;serif"/>
          <w:b w:val="false"/>
          <w:color w:val="000000"/>
          <w:sz w:val="24"/>
          <w:u w:val="single"/>
        </w:rPr>
        <w:t>Increase in Commitment</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left"/>
        <w:rPr/>
      </w:pPr>
      <w:bookmarkStart w:id="151" w:name="ic98fc59c0e0f4b55bbcc318b8a4e833b"/>
      <w:bookmarkEnd w:id="151"/>
      <w:r>
        <w:rPr>
          <w:rFonts w:ascii="Times New Roman;serif" w:hAnsi="Times New Roman;serif"/>
          <w:b w:val="false"/>
          <w:color w:val="000000"/>
          <w:sz w:val="24"/>
        </w:rPr>
        <w:t>(a)    </w:t>
      </w:r>
      <w:r>
        <w:rPr>
          <w:rFonts w:ascii="Times New Roman;serif" w:hAnsi="Times New Roman;serif"/>
          <w:b w:val="false"/>
          <w:color w:val="000000"/>
          <w:sz w:val="24"/>
          <w:u w:val="single"/>
        </w:rPr>
        <w:t>Borrower Request</w:t>
      </w:r>
      <w:r>
        <w:rPr>
          <w:rFonts w:ascii="Times New Roman;serif" w:hAnsi="Times New Roman;serif"/>
          <w:b w:val="false"/>
          <w:color w:val="000000"/>
          <w:sz w:val="24"/>
        </w:rPr>
        <w:t>. The Borrower may by written notice to the Administrative Agent request at any time after the Closing Date and prior to any Revolving Facility Maturity Date with respect to the Revolving Commitments then in effect, an increase to the existing applicable Revolving Commitments. Each such notice shall specify (i) the date (each, an “</w:t>
      </w:r>
      <w:r>
        <w:rPr>
          <w:rFonts w:ascii="Times New Roman;serif" w:hAnsi="Times New Roman;serif"/>
          <w:b w:val="false"/>
          <w:color w:val="000000"/>
          <w:sz w:val="24"/>
          <w:u w:val="single"/>
        </w:rPr>
        <w:t>Increase Effective Date</w:t>
      </w:r>
      <w:r>
        <w:rPr>
          <w:color w:val="000000"/>
        </w:rPr>
        <w:t>”</w:t>
      </w:r>
      <w:r>
        <w:rPr>
          <w:rFonts w:ascii="Times New Roman;serif" w:hAnsi="Times New Roman;serif"/>
          <w:b w:val="false"/>
          <w:color w:val="000000"/>
          <w:sz w:val="24"/>
        </w:rPr>
        <w:t>) on which the Borrower proposes that the increased or new Commitments shall be effective, which shall be a date not less than ten (10) Business Days after the date on which such notice is delivered to the Administrative Agent and (ii) the identity of each Eligible Assignee to whom the Borrower proposes any portion of such increased or new Commitments be allocated (each, a “</w:t>
      </w:r>
      <w:r>
        <w:rPr>
          <w:rFonts w:ascii="Times New Roman;serif" w:hAnsi="Times New Roman;serif"/>
          <w:b w:val="false"/>
          <w:color w:val="000000"/>
          <w:sz w:val="24"/>
          <w:u w:val="single"/>
        </w:rPr>
        <w:t>New Lender</w:t>
      </w:r>
      <w:r>
        <w:rPr>
          <w:color w:val="000000"/>
        </w:rPr>
        <w:t>”</w:t>
      </w:r>
      <w:r>
        <w:rPr>
          <w:rFonts w:ascii="Times New Roman;serif" w:hAnsi="Times New Roman;serif"/>
          <w:b w:val="false"/>
          <w:color w:val="000000"/>
          <w:sz w:val="24"/>
        </w:rPr>
        <w:t xml:space="preserve">) and the amounts of such allocations;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existing Lender approached to provide all or a portion of the increased or new Commitments may elect or decline, in its sole discretion, to provide such increased or new Commitment. The parties waive the requirement for such notice in connection with the increases effective on the Closing Date.</w:t>
      </w:r>
    </w:p>
    <w:p>
      <w:pPr>
        <w:pStyle w:val="TextBody"/>
        <w:bidi w:val="0"/>
        <w:spacing w:lineRule="auto" w:line="288" w:before="240" w:after="283"/>
        <w:ind w:left="0" w:right="0" w:firstLine="720"/>
        <w:jc w:val="left"/>
        <w:rPr/>
      </w:pPr>
      <w:bookmarkStart w:id="152" w:name="if392839a9aab4a19bcd2c6c2e1c18e98"/>
      <w:bookmarkEnd w:id="152"/>
      <w:r>
        <w:rPr>
          <w:rFonts w:ascii="Times New Roman;serif" w:hAnsi="Times New Roman;serif"/>
          <w:b w:val="false"/>
          <w:color w:val="000000"/>
          <w:sz w:val="24"/>
        </w:rPr>
        <w:t>(b)    </w:t>
      </w:r>
      <w:r>
        <w:rPr>
          <w:rFonts w:ascii="Times New Roman;serif" w:hAnsi="Times New Roman;serif"/>
          <w:b w:val="false"/>
          <w:color w:val="000000"/>
          <w:sz w:val="24"/>
          <w:u w:val="single"/>
        </w:rPr>
        <w:t>Conditions</w:t>
      </w:r>
      <w:r>
        <w:rPr>
          <w:rFonts w:ascii="Times New Roman;serif" w:hAnsi="Times New Roman;serif"/>
          <w:b w:val="false"/>
          <w:color w:val="000000"/>
          <w:sz w:val="24"/>
        </w:rPr>
        <w:t>. The increased or new Commitments shall become effective, as of such Increase Effective Date provided that:</w:t>
      </w:r>
    </w:p>
    <w:p>
      <w:pPr>
        <w:pStyle w:val="TextBody"/>
        <w:bidi w:val="0"/>
        <w:spacing w:lineRule="auto" w:line="288" w:before="240" w:after="283"/>
        <w:ind w:left="0" w:right="0" w:firstLine="720"/>
        <w:jc w:val="left"/>
        <w:rPr/>
      </w:pPr>
      <w:bookmarkStart w:id="153" w:name="i524ecd87120e40faafd63f13f0777a94"/>
      <w:bookmarkEnd w:id="153"/>
      <w:r>
        <w:rPr>
          <w:rFonts w:ascii="Times New Roman;serif" w:hAnsi="Times New Roman;serif"/>
          <w:b w:val="false"/>
          <w:color w:val="000000"/>
          <w:sz w:val="24"/>
        </w:rPr>
        <w:t xml:space="preserve">(i)    each of the conditions set forth in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shall be satisfied on or prior to such Increase Effective Date;</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54" w:name="i67bb0599f561482f8b13d8603451ab58"/>
      <w:bookmarkEnd w:id="154"/>
      <w:r>
        <w:rPr>
          <w:rFonts w:ascii="Times New Roman;serif" w:hAnsi="Times New Roman;serif"/>
          <w:b w:val="false"/>
          <w:color w:val="000000"/>
          <w:sz w:val="24"/>
        </w:rPr>
        <w:t>(ii)    no Event of Default shall have occurred and be continuing or would result from giving effect to the increased or new Commitments on, or the making of any new Loans on, such Increase Effective Date;</w:t>
      </w:r>
    </w:p>
    <w:p>
      <w:pPr>
        <w:pStyle w:val="TextBody"/>
        <w:bidi w:val="0"/>
        <w:spacing w:lineRule="auto" w:line="288" w:before="240" w:after="283"/>
        <w:ind w:left="0" w:right="0" w:firstLine="720"/>
        <w:jc w:val="left"/>
        <w:rPr/>
      </w:pPr>
      <w:bookmarkStart w:id="155" w:name="id2fa0c634837436d9ddc0a0bcf3916aa"/>
      <w:bookmarkEnd w:id="155"/>
      <w:r>
        <w:rPr>
          <w:rFonts w:ascii="Times New Roman;serif" w:hAnsi="Times New Roman;serif"/>
          <w:b w:val="false"/>
          <w:color w:val="000000"/>
          <w:sz w:val="24"/>
        </w:rPr>
        <w:t xml:space="preserve">(iii)    after giving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 xml:space="preserve">effect to the increased or new Commitments and any new Loans to be made on such Increase Effective Date, the aggregate principal amount of all Priority Lien Debt would not exceed the greater of (A) $11,000,000,000 and (B) such an amount that would cause the Collateral Coverage Ratio to be equal to 2.0 to 1.0 and the Total Collateral Coverage Ratio to be equal to 1.0 to 1.0;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56" w:name="iec50e241101741199fe5ca6b7fcd762d"/>
      <w:bookmarkEnd w:id="156"/>
      <w:r>
        <w:rPr>
          <w:rFonts w:ascii="Times New Roman;serif" w:hAnsi="Times New Roman;serif"/>
          <w:b w:val="false"/>
          <w:color w:val="000000"/>
          <w:sz w:val="24"/>
        </w:rPr>
        <w:t xml:space="preserve">(iv)    the Borrower shall deliver or cause to be delivered any legal opinions or other documents reasonably requested by the Administrative Agent in connection with any such transaction; </w:t>
      </w:r>
    </w:p>
    <w:p>
      <w:pPr>
        <w:pStyle w:val="TextBody"/>
        <w:bidi w:val="0"/>
        <w:spacing w:lineRule="auto" w:line="288" w:before="240" w:after="283"/>
        <w:ind w:left="0" w:right="0" w:firstLine="720"/>
        <w:jc w:val="left"/>
        <w:rPr/>
      </w:pPr>
      <w:bookmarkStart w:id="157" w:name="if2b1a70913784daab842fbfadb0bbf4b"/>
      <w:bookmarkEnd w:id="157"/>
      <w:r>
        <w:rPr>
          <w:rFonts w:ascii="Times New Roman;serif" w:hAnsi="Times New Roman;serif"/>
          <w:b w:val="false"/>
          <w:color w:val="000000"/>
          <w:sz w:val="24"/>
        </w:rPr>
        <w:t xml:space="preserve">(v)    after giving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effect to the increased or new Commitments and any new Loans to be made on such Increase Effective Date, the aggregate amount of Revolving Commitments and Revolving Extensions of Credit then outstanding for all Lenders does not exceed $5,000,000,000; and</w:t>
      </w:r>
    </w:p>
    <w:p>
      <w:pPr>
        <w:pStyle w:val="TextBody"/>
        <w:bidi w:val="0"/>
        <w:spacing w:before="0" w:after="0"/>
        <w:jc w:val="center"/>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25145"/>
                <wp:effectExtent l="0" t="0" r="0" b="0"/>
                <wp:wrapNone/>
                <wp:docPr id="121" name="Frame12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58" w:name="i9037189973594ec890216e397c54f007"/>
      <w:bookmarkEnd w:id="158"/>
      <w:r>
        <w:rPr>
          <w:rFonts w:ascii="Times New Roman;serif" w:hAnsi="Times New Roman;serif"/>
          <w:b w:val="false"/>
          <w:color w:val="000000"/>
          <w:sz w:val="24"/>
        </w:rPr>
        <w:t>(vi)    no Non-Extending Lender may participate in any Commitment increase hereunder unless in connection therewith, it shall have agreed to become an “Extending Lender” hereunder.</w:t>
      </w:r>
    </w:p>
    <w:p>
      <w:pPr>
        <w:pStyle w:val="TextBody"/>
        <w:bidi w:val="0"/>
        <w:spacing w:lineRule="auto" w:line="288" w:before="240" w:after="283"/>
        <w:ind w:left="0" w:right="0" w:firstLine="720"/>
        <w:jc w:val="left"/>
        <w:rPr/>
      </w:pPr>
      <w:bookmarkStart w:id="159" w:name="i5f631028f87242ca9ab1ba7d818ce0c0"/>
      <w:bookmarkEnd w:id="159"/>
      <w:r>
        <w:rPr>
          <w:rFonts w:ascii="Times New Roman;serif" w:hAnsi="Times New Roman;serif"/>
          <w:b w:val="false"/>
          <w:color w:val="000000"/>
          <w:sz w:val="24"/>
        </w:rPr>
        <w:t>(c)    </w:t>
      </w:r>
      <w:r>
        <w:rPr>
          <w:rFonts w:ascii="Times New Roman;serif" w:hAnsi="Times New Roman;serif"/>
          <w:b w:val="false"/>
          <w:color w:val="000000"/>
          <w:sz w:val="24"/>
          <w:u w:val="single"/>
        </w:rPr>
        <w:t>Terms of New Loans and Commitments</w:t>
      </w:r>
      <w:r>
        <w:rPr>
          <w:rFonts w:ascii="Times New Roman;serif" w:hAnsi="Times New Roman;serif"/>
          <w:b w:val="false"/>
          <w:color w:val="000000"/>
          <w:sz w:val="24"/>
        </w:rPr>
        <w:t>. The terms and provisions of Loans made pursuant to the new Commitments shall be as follows:</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60" w:name="i05da4acfad624b4a97588affa038291b"/>
      <w:bookmarkEnd w:id="160"/>
      <w:r>
        <w:rPr>
          <w:rFonts w:ascii="Times New Roman;serif" w:hAnsi="Times New Roman;serif"/>
          <w:b w:val="false"/>
          <w:color w:val="000000"/>
          <w:sz w:val="24"/>
        </w:rPr>
        <w:t>(i)    [intentionally omitted];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61" w:name="i9012c1b2ca0c4e1fa00d3c8cadbf0b8f"/>
      <w:bookmarkEnd w:id="161"/>
      <w:r>
        <w:rPr>
          <w:rFonts w:ascii="Times New Roman;serif" w:hAnsi="Times New Roman;serif"/>
          <w:b w:val="false"/>
          <w:color w:val="000000"/>
          <w:sz w:val="24"/>
        </w:rPr>
        <w:t>(ii)    [intentionally omitted];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62" w:name="ia595ed25e5e2418385639400873ed80d"/>
      <w:bookmarkEnd w:id="162"/>
      <w:r>
        <w:rPr>
          <w:rFonts w:ascii="Times New Roman;serif" w:hAnsi="Times New Roman;serif"/>
          <w:b w:val="false"/>
          <w:color w:val="000000"/>
          <w:sz w:val="24"/>
        </w:rPr>
        <w:t xml:space="preserve">(iii)    [intentionally omitted];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63" w:name="id983172948bf4e21be33b7b653cb9cd1"/>
      <w:bookmarkEnd w:id="163"/>
      <w:r>
        <w:rPr>
          <w:rFonts w:ascii="Times New Roman;serif" w:hAnsi="Times New Roman;serif"/>
          <w:b w:val="false"/>
          <w:color w:val="000000"/>
          <w:sz w:val="24"/>
        </w:rPr>
        <w:t>(iv)    the terms and provisions of Revolving Loans made pursuant to new Commitments shall be identical to the Revolving Loans; and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64" w:name="i3532490c17ca4d11a526b526c754b552"/>
      <w:bookmarkEnd w:id="164"/>
      <w:r>
        <w:rPr>
          <w:rFonts w:ascii="Times New Roman;serif" w:hAnsi="Times New Roman;serif"/>
          <w:b w:val="false"/>
          <w:color w:val="000000"/>
          <w:sz w:val="24"/>
        </w:rPr>
        <w:t>(v)    [intentionally omitted].</w:t>
      </w:r>
    </w:p>
    <w:p>
      <w:pPr>
        <w:pStyle w:val="TextBody"/>
        <w:bidi w:val="0"/>
        <w:spacing w:lineRule="auto" w:line="288" w:before="240" w:after="283"/>
        <w:jc w:val="left"/>
        <w:rPr/>
      </w:pPr>
      <w:r>
        <w:rPr>
          <w:rFonts w:ascii="Times New Roman;serif" w:hAnsi="Times New Roman;serif"/>
          <w:b w:val="false"/>
          <w:color w:val="000000"/>
          <w:sz w:val="24"/>
        </w:rPr>
        <w:t>The increased or new Commitments shall be effected by a joinder agreement (the “</w:t>
      </w:r>
      <w:r>
        <w:rPr>
          <w:rFonts w:ascii="Times New Roman;serif" w:hAnsi="Times New Roman;serif"/>
          <w:b w:val="false"/>
          <w:color w:val="000000"/>
          <w:sz w:val="24"/>
          <w:u w:val="single"/>
        </w:rPr>
        <w:t>Increase Joinder</w:t>
      </w:r>
      <w:r>
        <w:rPr>
          <w:color w:val="000000"/>
        </w:rPr>
        <w:t>”</w:t>
      </w:r>
      <w:r>
        <w:rPr>
          <w:rFonts w:ascii="Times New Roman;serif" w:hAnsi="Times New Roman;serif"/>
          <w:b w:val="false"/>
          <w:color w:val="000000"/>
          <w:sz w:val="24"/>
        </w:rPr>
        <w:t xml:space="preserve">) executed by the Borrower, the Administrative Agent and each Lender making such increased or new Commitment, in form and substance satisfactory to each of them. The Increase Joinder may, without the consent of any other Lenders, effect such amendments to this Agreement and the other Loan Documents as may be necessary or appropriate, in the opinion of the Administrative Agent, to effect the provisions of this </w:t>
      </w:r>
      <w:r>
        <w:rPr>
          <w:rFonts w:ascii="Times New Roman;serif" w:hAnsi="Times New Roman;serif"/>
          <w:b w:val="false"/>
          <w:color w:val="000000"/>
          <w:sz w:val="24"/>
          <w:u w:val="single"/>
        </w:rPr>
        <w:t>Section 2.27</w:t>
      </w:r>
      <w:r>
        <w:rPr>
          <w:rFonts w:ascii="Times New Roman;serif" w:hAnsi="Times New Roman;serif"/>
          <w:b w:val="false"/>
          <w:color w:val="000000"/>
          <w:sz w:val="24"/>
        </w:rPr>
        <w:t>. In addition, unless otherwise specifically provided herein, all references in the Loan Documents to Revolving Loans shall be deemed, unless the context otherwise requires, to include references to Revolving Loans made pursuant to any increased Revolving Commitments made pursuant to this Agreement.</w:t>
      </w:r>
    </w:p>
    <w:p>
      <w:pPr>
        <w:pStyle w:val="TextBody"/>
        <w:bidi w:val="0"/>
        <w:spacing w:lineRule="auto" w:line="288" w:before="240" w:after="283"/>
        <w:ind w:left="0" w:right="0" w:firstLine="720"/>
        <w:jc w:val="left"/>
        <w:rPr/>
      </w:pPr>
      <w:bookmarkStart w:id="165" w:name="i6e6b51f171664c00a17eb5951062e941"/>
      <w:bookmarkEnd w:id="165"/>
      <w:r>
        <w:rPr>
          <w:rFonts w:ascii="Times New Roman;serif" w:hAnsi="Times New Roman;serif"/>
          <w:b w:val="false"/>
          <w:color w:val="000000"/>
          <w:sz w:val="24"/>
        </w:rPr>
        <w:t>(d)    </w:t>
      </w:r>
      <w:r>
        <w:rPr>
          <w:rFonts w:ascii="Times New Roman;serif" w:hAnsi="Times New Roman;serif"/>
          <w:b w:val="false"/>
          <w:color w:val="000000"/>
          <w:sz w:val="24"/>
          <w:u w:val="single"/>
        </w:rPr>
        <w:t>Adjustment of Revolving Loans</w:t>
      </w:r>
      <w:r>
        <w:rPr>
          <w:rFonts w:ascii="Times New Roman;serif" w:hAnsi="Times New Roman;serif"/>
          <w:b w:val="false"/>
          <w:color w:val="000000"/>
          <w:sz w:val="24"/>
        </w:rPr>
        <w:t xml:space="preserve">. Each of the existing Revolving Lenders shall assign to each of the applicable New Lenders, and each of the New Lenders shall purchase from each of the existing Revolving Lenders, at the principal amount thereof (together with accrued interest), such interests in the Revolving Loans outstanding on such Increase Effective Date as shall be necessary in order that, after giving effect to all such assignments and purchases, such Revolving Loans will be held by the existing Revolving Lenders and New Lenders ratably in accordance with their Revolving Commitments after giving effect to the increased Revolving Commitments on such Increase Effective Date. If there is a new Borrowing of Revolving Loans on such Increase Effective Date, the Revolving Lenders after giving effect to such Increase Effective Date shall make such Revolving Loans in accordance with </w:t>
      </w:r>
      <w:r>
        <w:rPr>
          <w:rFonts w:ascii="Times New Roman;serif" w:hAnsi="Times New Roman;serif"/>
          <w:b w:val="false"/>
          <w:color w:val="000000"/>
          <w:sz w:val="24"/>
          <w:u w:val="single"/>
        </w:rPr>
        <w:t>Section 2.01(a)</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166" w:name="i00b04412453f42c08e149e7889fd36bf"/>
      <w:bookmarkEnd w:id="166"/>
      <w:r>
        <w:rPr>
          <w:rFonts w:ascii="Times New Roman;serif" w:hAnsi="Times New Roman;serif"/>
          <w:b w:val="false"/>
          <w:color w:val="000000"/>
          <w:sz w:val="24"/>
        </w:rPr>
        <w:t>(e)    [</w:t>
      </w:r>
      <w:r>
        <w:rPr>
          <w:rFonts w:ascii="Times New Roman;serif" w:hAnsi="Times New Roman;serif"/>
          <w:b w:val="false"/>
          <w:color w:val="000000"/>
          <w:sz w:val="24"/>
          <w:u w:val="single"/>
        </w:rPr>
        <w:t>Intentionally Omitted</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left"/>
        <w:rPr/>
      </w:pPr>
      <w:bookmarkStart w:id="167" w:name="iaccca2355aee49379060553f0098cb00"/>
      <w:bookmarkEnd w:id="167"/>
      <w:r>
        <w:rPr>
          <w:rFonts w:ascii="Times New Roman;serif" w:hAnsi="Times New Roman;serif"/>
          <w:b w:val="false"/>
          <w:color w:val="000000"/>
          <w:sz w:val="24"/>
        </w:rPr>
        <w:t>(f)    </w:t>
      </w:r>
      <w:r>
        <w:rPr>
          <w:rFonts w:ascii="Times New Roman;serif" w:hAnsi="Times New Roman;serif"/>
          <w:b w:val="false"/>
          <w:color w:val="000000"/>
          <w:sz w:val="24"/>
          <w:u w:val="single"/>
        </w:rPr>
        <w:t>Equal and Ratable Benefit</w:t>
      </w:r>
      <w:r>
        <w:rPr>
          <w:rFonts w:ascii="Times New Roman;serif" w:hAnsi="Times New Roman;serif"/>
          <w:b w:val="false"/>
          <w:color w:val="000000"/>
          <w:sz w:val="24"/>
        </w:rPr>
        <w:t xml:space="preserve">. The Loans and Commitments established pursuant to this </w:t>
      </w:r>
      <w:r>
        <w:rPr>
          <w:rFonts w:ascii="Times New Roman;serif" w:hAnsi="Times New Roman;serif"/>
          <w:b w:val="false"/>
          <w:color w:val="000000"/>
          <w:sz w:val="24"/>
          <w:u w:val="single"/>
        </w:rPr>
        <w:t>Section 2.27</w:t>
      </w:r>
      <w:r>
        <w:rPr>
          <w:color w:val="000000"/>
        </w:rPr>
        <w:t xml:space="preserve"> </w:t>
      </w:r>
      <w:r>
        <w:rPr>
          <w:rFonts w:ascii="Times New Roman;serif" w:hAnsi="Times New Roman;serif"/>
          <w:b w:val="false"/>
          <w:color w:val="000000"/>
          <w:sz w:val="24"/>
        </w:rPr>
        <w:t xml:space="preserve">shall constitute Loans and Commitments under, and shall be entitled to all the benefits afforded by, this Agreement and the other Loan Documents and shall, without limiting the foregoing, benefit equally and ratably from the security interests created by the Collateral Documents. </w:t>
      </w:r>
    </w:p>
    <w:p>
      <w:pPr>
        <w:pStyle w:val="TextBody"/>
        <w:bidi w:val="0"/>
        <w:spacing w:before="0" w:after="0"/>
        <w:jc w:val="center"/>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25145"/>
                <wp:effectExtent l="0" t="0" r="0" b="0"/>
                <wp:wrapNone/>
                <wp:docPr id="122" name="Frame12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168" w:name="i1dc8e8aceaf24ac9ad57bc0ed26d09a2"/>
      <w:bookmarkEnd w:id="168"/>
      <w:r>
        <w:rPr>
          <w:rFonts w:ascii="Times New Roman;serif" w:hAnsi="Times New Roman;serif"/>
          <w:b w:val="false"/>
          <w:color w:val="000000"/>
          <w:sz w:val="24"/>
        </w:rPr>
        <w:t>Section 2.28.    </w:t>
      </w:r>
      <w:r>
        <w:rPr>
          <w:rFonts w:ascii="Times New Roman;serif" w:hAnsi="Times New Roman;serif"/>
          <w:b w:val="false"/>
          <w:color w:val="000000"/>
          <w:sz w:val="24"/>
          <w:u w:val="single"/>
        </w:rPr>
        <w:t>Extension of the Revolving Facility</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169" w:name="i56497567ca204a388a5f61edd002df99"/>
      <w:bookmarkEnd w:id="169"/>
      <w:r>
        <w:rPr>
          <w:rFonts w:ascii="Times New Roman;serif" w:hAnsi="Times New Roman;serif"/>
          <w:b w:val="false"/>
          <w:color w:val="000000"/>
          <w:sz w:val="24"/>
        </w:rPr>
        <w:t>(a)    [</w:t>
      </w:r>
      <w:r>
        <w:rPr>
          <w:rFonts w:ascii="Times New Roman;serif" w:hAnsi="Times New Roman;serif"/>
          <w:b w:val="false"/>
          <w:color w:val="000000"/>
          <w:sz w:val="24"/>
          <w:u w:val="single"/>
        </w:rPr>
        <w:t>Intentionally Omitted]</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left"/>
        <w:rPr/>
      </w:pPr>
      <w:bookmarkStart w:id="170" w:name="ief06fb1078154c74bd37f0e0cdb9daf7"/>
      <w:bookmarkEnd w:id="170"/>
      <w:r>
        <w:rPr>
          <w:rFonts w:ascii="Times New Roman;serif" w:hAnsi="Times New Roman;serif"/>
          <w:b w:val="false"/>
          <w:color w:val="000000"/>
          <w:sz w:val="24"/>
        </w:rPr>
        <w:t>(b)    </w:t>
      </w:r>
      <w:r>
        <w:rPr>
          <w:rFonts w:ascii="Times New Roman;serif" w:hAnsi="Times New Roman;serif"/>
          <w:b w:val="false"/>
          <w:color w:val="000000"/>
          <w:sz w:val="24"/>
          <w:u w:val="single"/>
        </w:rPr>
        <w:t>Extension of the Revolving Facility</w:t>
      </w:r>
      <w:r>
        <w:rPr>
          <w:rFonts w:ascii="Times New Roman;serif" w:hAnsi="Times New Roman;serif"/>
          <w:b w:val="false"/>
          <w:color w:val="000000"/>
          <w:sz w:val="24"/>
        </w:rPr>
        <w:t>. Notwithstanding anything to the contrary in this Agreement, pursuant to one or more offers (each, a “</w:t>
      </w:r>
      <w:r>
        <w:rPr>
          <w:rFonts w:ascii="Times New Roman;serif" w:hAnsi="Times New Roman;serif"/>
          <w:b w:val="false"/>
          <w:color w:val="000000"/>
          <w:sz w:val="24"/>
          <w:u w:val="single"/>
        </w:rPr>
        <w:t>Revolver Extension Offer</w:t>
      </w:r>
      <w:r>
        <w:rPr>
          <w:color w:val="000000"/>
        </w:rPr>
        <w:t>”</w:t>
      </w:r>
      <w:r>
        <w:rPr>
          <w:rFonts w:ascii="Times New Roman;serif" w:hAnsi="Times New Roman;serif"/>
          <w:b w:val="false"/>
          <w:color w:val="000000"/>
          <w:sz w:val="24"/>
        </w:rPr>
        <w:t>) made from time to time by the Borrower to all Revolving Lenders holding Revolving Commitments with a like maturity date, on a pro rata basis (based on the aggregate Revolving Commitments with a like maturity date) and on the same terms to each such Revolving Lender, the Borrower is hereby permitted to consummate from time to time transactions with individual Revolving Lenders that accept the terms contained in such Revolver Extension Offers to extend the maturity date of each such Revolving Lender’s Revolving Commitments and otherwise modify the terms of such Revolving Commitments pursuant to the terms of the relevant Revolver Extension Offer (including, without limitation, by the changing interest rate or fees payable in respect of such Revolving Commitments (and related outstandings)) (each, a “</w:t>
      </w:r>
      <w:r>
        <w:rPr>
          <w:rFonts w:ascii="Times New Roman;serif" w:hAnsi="Times New Roman;serif"/>
          <w:b w:val="false"/>
          <w:color w:val="000000"/>
          <w:sz w:val="24"/>
          <w:u w:val="single"/>
        </w:rPr>
        <w:t>Revolver Extension</w:t>
      </w:r>
      <w:r>
        <w:rPr>
          <w:color w:val="000000"/>
        </w:rPr>
        <w:t>”</w:t>
      </w:r>
      <w:r>
        <w:rPr>
          <w:rFonts w:ascii="Times New Roman;serif" w:hAnsi="Times New Roman;serif"/>
          <w:b w:val="false"/>
          <w:color w:val="000000"/>
          <w:sz w:val="24"/>
        </w:rPr>
        <w:t>, and each group of Revolving Commitments, as so extended, as well as the original Revolving Commitments not so extended, being a “</w:t>
      </w:r>
      <w:r>
        <w:rPr>
          <w:rFonts w:ascii="Times New Roman;serif" w:hAnsi="Times New Roman;serif"/>
          <w:b w:val="false"/>
          <w:color w:val="000000"/>
          <w:sz w:val="24"/>
          <w:u w:val="single"/>
        </w:rPr>
        <w:t>tranche of Revolving Loans</w:t>
      </w:r>
      <w:r>
        <w:rPr>
          <w:color w:val="000000"/>
        </w:rPr>
        <w:t>”</w:t>
      </w:r>
      <w:r>
        <w:rPr>
          <w:rFonts w:ascii="Times New Roman;serif" w:hAnsi="Times New Roman;serif"/>
          <w:b w:val="false"/>
          <w:color w:val="000000"/>
          <w:sz w:val="24"/>
        </w:rPr>
        <w:t xml:space="preserve">, and any Extended Revolving Commitments shall constitute a separate tranche of Revolving Commitments from the tranche of Revolving Commitments from which they were converted), so long as the following terms are satisfied: </w:t>
      </w:r>
    </w:p>
    <w:p>
      <w:pPr>
        <w:pStyle w:val="TextBody"/>
        <w:bidi w:val="0"/>
        <w:spacing w:lineRule="auto" w:line="288" w:before="240" w:after="283"/>
        <w:jc w:val="left"/>
        <w:rPr/>
      </w:pPr>
      <w:r>
        <w:rPr>
          <w:color w:val="000000"/>
        </w:rPr>
        <w:t>    </w:t>
      </w:r>
      <w:r>
        <w:rPr>
          <w:rFonts w:ascii="Times New Roman;serif" w:hAnsi="Times New Roman;serif"/>
          <w:b w:val="false"/>
          <w:color w:val="000000"/>
          <w:sz w:val="24"/>
        </w:rPr>
        <w:t>(i)     no Default or Event of Default shall have occurred and be continuing at the time the offering document in respect of a Revolver Extension Offer is delivered to the applicable Revolving Lenders (the “</w:t>
      </w:r>
      <w:r>
        <w:rPr>
          <w:rFonts w:ascii="Times New Roman;serif" w:hAnsi="Times New Roman;serif"/>
          <w:b w:val="false"/>
          <w:color w:val="000000"/>
          <w:sz w:val="24"/>
          <w:u w:val="single"/>
        </w:rPr>
        <w:t>Revolver Extension Offer Date</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83"/>
        <w:jc w:val="left"/>
        <w:rPr/>
      </w:pPr>
      <w:r>
        <w:rPr>
          <w:color w:val="000000"/>
        </w:rPr>
        <w:t>    </w:t>
      </w:r>
      <w:r>
        <w:rPr>
          <w:rFonts w:ascii="Times New Roman;serif" w:hAnsi="Times New Roman;serif"/>
          <w:b w:val="false"/>
          <w:color w:val="000000"/>
          <w:sz w:val="24"/>
        </w:rPr>
        <w:t>(ii)     except as to interest rates, fees and final maturity (which shall be set forth in the relevant Revolver Extension Offer), the Revolving Commitment of any Revolving Lender that agrees to a Revolver Extension with respect to such Revolving Commitment extended pursuant to an Extension Amendment (an “</w:t>
      </w:r>
      <w:r>
        <w:rPr>
          <w:rFonts w:ascii="Times New Roman;serif" w:hAnsi="Times New Roman;serif"/>
          <w:b w:val="false"/>
          <w:color w:val="000000"/>
          <w:sz w:val="24"/>
          <w:u w:val="single"/>
        </w:rPr>
        <w:t>Extended Revolving Commitment</w:t>
      </w:r>
      <w:r>
        <w:rPr>
          <w:color w:val="000000"/>
        </w:rPr>
        <w:t>”</w:t>
      </w:r>
      <w:r>
        <w:rPr>
          <w:rFonts w:ascii="Times New Roman;serif" w:hAnsi="Times New Roman;serif"/>
          <w:b w:val="false"/>
          <w:color w:val="000000"/>
          <w:sz w:val="24"/>
        </w:rPr>
        <w:t xml:space="preserve">), and the related outstandings, shall be a Revolving Commitment (or related outstandings, as the case may be) with the same terms as the original Revolving Commitments (and related outstandings);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(1) the borrowing and repayment (except for (A) payments of interest and fees at different rates on Extended Revolving Commitments (and related outstandings), (B) repayments required upon the maturity date of the non-extending Revolving Commitments and (C) repayment made in connection with a permanent repayment and termination of commitments) of Revolving Loans with respect to Extended Revolving Commitments after the applicable Revolver Extension date shall be made on a pro rata basis with all other Revolving Commitments, (2) the permanent repayment of Revolving Loans with respect to, and termination of, Extended Revolving Commitments after the applicable Revolver Extension date shall be made on a pro rata basis with all other Revolving Commitments, except that the Borrower shall be permitted to permanently repay and terminate commitments of any such tranche of Revolving Loans on a better than a pro rata basis as compared to any other tranche of Revolving Loans with a later maturity date than such tranche of Revolving Loans, (3) assignments and participations of Extended Revolving Commitments and extended Revolving Loans </w:t>
      </w:r>
    </w:p>
    <w:p>
      <w:pPr>
        <w:pStyle w:val="TextBody"/>
        <w:bidi w:val="0"/>
        <w:spacing w:before="0" w:after="0"/>
        <w:jc w:val="center"/>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25145"/>
                <wp:effectExtent l="0" t="0" r="0" b="0"/>
                <wp:wrapNone/>
                <wp:docPr id="123" name="Frame12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shall be governed by the same assignment and participation provisions applicable to Revolving Commitments and Revolving Loans and (4) at no time shall there be Revolving Commitments hereunder (including Extended Revolving Commitments and any original Revolving Commitments) which have more than five different maturity dates; </w:t>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4"/>
        </w:rPr>
        <w:t xml:space="preserve">(iii)     if the aggregate principal amount of Revolving Commitments in respect of which Revolving Lenders shall have accepted the relevant Revolver Extension Offer shall exceed the maximum aggregate principal amount of Revolving Commitments, as the case may be, offered to be extended by the Borrower pursuant to such Revolver Extension Offer, then the Revolving Loans of such Revolving Lenders shall be extended ratably up to such maximum amount based on the respective principal amounts (but not to exceed actual holdings of record) with respect to which such Revolving Lenders have accepted such Revolver Extension Offer; </w:t>
      </w:r>
    </w:p>
    <w:p>
      <w:pPr>
        <w:pStyle w:val="TextBody"/>
        <w:bidi w:val="0"/>
        <w:spacing w:lineRule="auto" w:line="288" w:before="240" w:after="283"/>
        <w:jc w:val="left"/>
        <w:rPr/>
      </w:pPr>
      <w:r>
        <w:rPr>
          <w:color w:val="000000"/>
        </w:rPr>
        <w:t>    </w:t>
      </w:r>
      <w:r>
        <w:rPr>
          <w:rFonts w:ascii="Times New Roman;serif" w:hAnsi="Times New Roman;serif"/>
          <w:b w:val="false"/>
          <w:color w:val="000000"/>
          <w:sz w:val="24"/>
        </w:rPr>
        <w:t xml:space="preserve">(iv)     if the aggregate principal amount of Revolving Commitments in respect of which Revolving Lenders shall have accepted the relevant Revolver Extension Offer shall be less than the maximum aggregate principal amount of Revolving Commitments, as the case may be, offered to be extended by the Borrower pursuant to such Revolver Extension Offer, then the Borrower may require each Revolving Lender that does not accept such Revolver Extension Offer to assign pursuant to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no later than forty-five (45) days after the Revolver Extension Offer Date its pro rata share of the outstanding Revolving Commitments, Revolving Loans and/or participations in Letters of Credit (as applicable) offered to be extended pursuant to such Revolver Extension Offer to one or more assignees which have agreed to such assignment and to extend the applicable Revolving Facility Maturity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(1) each Revolving Lender that does not respond affirmatively within thirty (30) days of the Revolver Extension Offer Date shall be deemed not to have accepted such Revolver Extension Offer, (2) each assigning Revolving Lender shall have received payment of an amount equal to the outstanding principal of its Revolving Loans and unreimbursed funded participations in LC Disbursements, accrued interest thereon, accrued fees and all other amounts payable to it hereunder, from the assignee (to the extent of such outstanding principal and accrued interest and fees) or the Borrower (in the case of all other amounts), (3) the processing and recordation fee specified in </w:t>
      </w:r>
      <w:r>
        <w:rPr>
          <w:rFonts w:ascii="Times New Roman;serif" w:hAnsi="Times New Roman;serif"/>
          <w:b w:val="false"/>
          <w:color w:val="000000"/>
          <w:sz w:val="24"/>
          <w:u w:val="single"/>
        </w:rPr>
        <w:t>Section 10.02(b)</w:t>
      </w:r>
      <w:r>
        <w:rPr>
          <w:color w:val="000000"/>
        </w:rPr>
        <w:t xml:space="preserve"> </w:t>
      </w:r>
      <w:r>
        <w:rPr>
          <w:rFonts w:ascii="Times New Roman;serif" w:hAnsi="Times New Roman;serif"/>
          <w:b w:val="false"/>
          <w:color w:val="000000"/>
          <w:sz w:val="24"/>
        </w:rPr>
        <w:t xml:space="preserve">shall be paid by the Borrower or such assignee and (4) the assigning Revolving Lender shall continue to be entitled to the rights under </w:t>
      </w:r>
      <w:r>
        <w:rPr>
          <w:rFonts w:ascii="Times New Roman;serif" w:hAnsi="Times New Roman;serif"/>
          <w:b w:val="false"/>
          <w:color w:val="000000"/>
          <w:sz w:val="24"/>
          <w:u w:val="single"/>
        </w:rPr>
        <w:t>Section 10.04</w:t>
      </w:r>
      <w:r>
        <w:rPr>
          <w:color w:val="000000"/>
        </w:rPr>
        <w:t xml:space="preserve"> </w:t>
      </w:r>
      <w:r>
        <w:rPr>
          <w:rFonts w:ascii="Times New Roman;serif" w:hAnsi="Times New Roman;serif"/>
          <w:b w:val="false"/>
          <w:color w:val="000000"/>
          <w:sz w:val="24"/>
        </w:rPr>
        <w:t xml:space="preserve">for any period prior to the effectiveness of such assignment; </w:t>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4"/>
        </w:rPr>
        <w:t xml:space="preserve">(v)    all documentation in respect of such Revolver Extension shall be consistent with the foregoing; and </w:t>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4"/>
        </w:rPr>
        <w:t>(vi)     any applicable Minimum Extension Condition shall be satisfied unless waived by the Borrower. For the avoidance of doubt, no Revolving Lender shall be obligated to accept any Revolver Extension Offer.</w:t>
      </w:r>
    </w:p>
    <w:p>
      <w:pPr>
        <w:pStyle w:val="TextBody"/>
        <w:bidi w:val="0"/>
        <w:spacing w:lineRule="auto" w:line="288" w:before="240" w:after="283"/>
        <w:ind w:left="0" w:right="0" w:firstLine="720"/>
        <w:jc w:val="left"/>
        <w:rPr/>
      </w:pPr>
      <w:bookmarkStart w:id="171" w:name="ia092183dd8b0438ea924649142c60f87"/>
      <w:bookmarkEnd w:id="171"/>
      <w:r>
        <w:rPr>
          <w:rFonts w:ascii="Times New Roman;serif" w:hAnsi="Times New Roman;serif"/>
          <w:b w:val="false"/>
          <w:color w:val="000000"/>
          <w:sz w:val="24"/>
        </w:rPr>
        <w:t>(c)    </w:t>
      </w:r>
      <w:r>
        <w:rPr>
          <w:rFonts w:ascii="Times New Roman;serif" w:hAnsi="Times New Roman;serif"/>
          <w:b w:val="false"/>
          <w:color w:val="000000"/>
          <w:sz w:val="24"/>
          <w:u w:val="single"/>
        </w:rPr>
        <w:t>Minimum Extension Condition</w:t>
      </w:r>
      <w:r>
        <w:rPr>
          <w:rFonts w:ascii="Times New Roman;serif" w:hAnsi="Times New Roman;serif"/>
          <w:b w:val="false"/>
          <w:color w:val="000000"/>
          <w:sz w:val="24"/>
        </w:rPr>
        <w:t xml:space="preserve">. With respect to all Revolver Extensions consummated by the Borrower pursuant to this </w:t>
      </w:r>
      <w:r>
        <w:rPr>
          <w:rFonts w:ascii="Times New Roman;serif" w:hAnsi="Times New Roman;serif"/>
          <w:b w:val="false"/>
          <w:color w:val="000000"/>
          <w:sz w:val="24"/>
          <w:u w:val="single"/>
        </w:rPr>
        <w:t>Section 2.28</w:t>
      </w:r>
      <w:r>
        <w:rPr>
          <w:rFonts w:ascii="Times New Roman;serif" w:hAnsi="Times New Roman;serif"/>
          <w:b w:val="false"/>
          <w:color w:val="000000"/>
          <w:sz w:val="24"/>
        </w:rPr>
        <w:t xml:space="preserve">, (i) such Revolver Extensions shall </w:t>
      </w:r>
    </w:p>
    <w:p>
      <w:pPr>
        <w:pStyle w:val="TextBody"/>
        <w:bidi w:val="0"/>
        <w:spacing w:before="0" w:after="0"/>
        <w:jc w:val="center"/>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25145"/>
                <wp:effectExtent l="0" t="0" r="0" b="0"/>
                <wp:wrapNone/>
                <wp:docPr id="124" name="Frame12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not constitute voluntary or mandatory payments or prepayments for purposes of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and (ii) each Revolver Extension Offer shall specify the minimum amount of Revolving Commitments, to be tendered, which shall be a minimum amount approved by the Administrative Agent (a “</w:t>
      </w:r>
      <w:r>
        <w:rPr>
          <w:rFonts w:ascii="Times New Roman;serif" w:hAnsi="Times New Roman;serif"/>
          <w:b w:val="false"/>
          <w:color w:val="000000"/>
          <w:sz w:val="24"/>
          <w:u w:val="single"/>
        </w:rPr>
        <w:t>Minimum Extension Condition</w:t>
      </w:r>
      <w:r>
        <w:rPr>
          <w:color w:val="000000"/>
        </w:rPr>
        <w:t>”</w:t>
      </w:r>
      <w:r>
        <w:rPr>
          <w:rFonts w:ascii="Times New Roman;serif" w:hAnsi="Times New Roman;serif"/>
          <w:b w:val="false"/>
          <w:color w:val="000000"/>
          <w:sz w:val="24"/>
        </w:rPr>
        <w:t xml:space="preserve">). The Administrative Agent and the Lenders hereby consent to the transactions contemplated by this </w:t>
      </w:r>
      <w:r>
        <w:rPr>
          <w:rFonts w:ascii="Times New Roman;serif" w:hAnsi="Times New Roman;serif"/>
          <w:b w:val="false"/>
          <w:color w:val="000000"/>
          <w:sz w:val="24"/>
          <w:u w:val="single"/>
        </w:rPr>
        <w:t>Section 2.28</w:t>
      </w:r>
      <w:r>
        <w:rPr>
          <w:color w:val="000000"/>
        </w:rPr>
        <w:t xml:space="preserve"> </w:t>
      </w:r>
      <w:r>
        <w:rPr>
          <w:rFonts w:ascii="Times New Roman;serif" w:hAnsi="Times New Roman;serif"/>
          <w:b w:val="false"/>
          <w:color w:val="000000"/>
          <w:sz w:val="24"/>
        </w:rPr>
        <w:t xml:space="preserve">(including, for the avoidance of doubt, payment of any interest, fees or premium in respect of any Extended Revolving Commitments on such terms as may be set forth in the relevant Revolver Extension Offer) and hereby waive the requirements of any provision of this Agreement (including, without limitation, </w:t>
      </w:r>
      <w:r>
        <w:rPr>
          <w:rFonts w:ascii="Times New Roman;serif" w:hAnsi="Times New Roman;serif"/>
          <w:b w:val="false"/>
          <w:color w:val="000000"/>
          <w:sz w:val="24"/>
          <w:u w:val="single"/>
        </w:rPr>
        <w:t>Section 2.11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8.08</w:t>
      </w:r>
      <w:r>
        <w:rPr>
          <w:rFonts w:ascii="Times New Roman;serif" w:hAnsi="Times New Roman;serif"/>
          <w:b w:val="false"/>
          <w:color w:val="000000"/>
          <w:sz w:val="24"/>
        </w:rPr>
        <w:t xml:space="preserve">) or any other Loan Document that may otherwise prohibit any such Revolver Extension or any other transaction contemplated by this </w:t>
      </w:r>
      <w:r>
        <w:rPr>
          <w:rFonts w:ascii="Times New Roman;serif" w:hAnsi="Times New Roman;serif"/>
          <w:b w:val="false"/>
          <w:color w:val="000000"/>
          <w:sz w:val="24"/>
          <w:u w:val="single"/>
        </w:rPr>
        <w:t>Section 2.28</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172" w:name="i1167f5dde60c4143981807520be76c2d"/>
      <w:bookmarkEnd w:id="172"/>
      <w:r>
        <w:rPr>
          <w:rFonts w:ascii="Times New Roman;serif" w:hAnsi="Times New Roman;serif"/>
          <w:b w:val="false"/>
          <w:color w:val="000000"/>
          <w:sz w:val="24"/>
        </w:rPr>
        <w:t>(d)    </w:t>
      </w:r>
      <w:r>
        <w:rPr>
          <w:rFonts w:ascii="Times New Roman;serif" w:hAnsi="Times New Roman;serif"/>
          <w:b w:val="false"/>
          <w:color w:val="000000"/>
          <w:sz w:val="24"/>
          <w:u w:val="single"/>
        </w:rPr>
        <w:t>Extension Amendment</w:t>
      </w:r>
      <w:r>
        <w:rPr>
          <w:rFonts w:ascii="Times New Roman;serif" w:hAnsi="Times New Roman;serif"/>
          <w:b w:val="false"/>
          <w:color w:val="000000"/>
          <w:sz w:val="24"/>
        </w:rPr>
        <w:t xml:space="preserve">. The consent of the Administrative Agent shall be required to effectuate any Revolver Extension, such consent not to be unreasonably withheld. No consent of any Lender shall be required to effectuate any Revolver Extension, other than (i) the consent of each Lender agreeing to such Revolver Extension with respect to one or more of its Revolving Commitments (or a portion thereof) (or, in the case of a Revolver Extension pursuant to </w:t>
      </w:r>
      <w:r>
        <w:rPr>
          <w:rFonts w:ascii="Times New Roman;serif" w:hAnsi="Times New Roman;serif"/>
          <w:b w:val="false"/>
          <w:color w:val="000000"/>
          <w:sz w:val="24"/>
          <w:u w:val="single"/>
        </w:rPr>
        <w:t>clause (iv)</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2.28(b)</w:t>
      </w:r>
      <w:r>
        <w:rPr>
          <w:rFonts w:ascii="Times New Roman;serif" w:hAnsi="Times New Roman;serif"/>
          <w:b w:val="false"/>
          <w:color w:val="000000"/>
          <w:sz w:val="24"/>
        </w:rPr>
        <w:t xml:space="preserve">, the consent of the assignee agreeing to the assignment of one or more Revolving Commitments, Revolving Loans and/or participations in Letters of Credit) and (ii) the consent of each Issuing Lender, which consent shall not be unreasonably withheld or delayed. All Extended Revolving Commitments and all obligations in respect thereof shall be Obligations under this Agreement and the other Loan Documents that are secured by the Collateral on a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basis with all other applicable Obligations under this Agreement and the other Loan Documents. The Lenders hereby irrevocably authorize the Administrative Agent to enter into amendments to this Agreement and the other Loan Documents (each, an “</w:t>
      </w:r>
      <w:r>
        <w:rPr>
          <w:rFonts w:ascii="Times New Roman;serif" w:hAnsi="Times New Roman;serif"/>
          <w:b w:val="false"/>
          <w:color w:val="000000"/>
          <w:sz w:val="24"/>
          <w:u w:val="single"/>
        </w:rPr>
        <w:t>Extension Amendment</w:t>
      </w:r>
      <w:r>
        <w:rPr>
          <w:color w:val="000000"/>
        </w:rPr>
        <w:t>”</w:t>
      </w:r>
      <w:r>
        <w:rPr>
          <w:rFonts w:ascii="Times New Roman;serif" w:hAnsi="Times New Roman;serif"/>
          <w:b w:val="false"/>
          <w:color w:val="000000"/>
          <w:sz w:val="24"/>
        </w:rPr>
        <w:t xml:space="preserve">) with the Borrower as may be necessary in order to establish new tranches or sub-tranches in respect of Revolving Commitments so extended and such technical amendments as may be necessary or appropriate in the reasonable opinion of the Administrative Agent and the Borrower in connection with the establishment of such new tranches or sub-tranches, in each case on terms consistent with this </w:t>
      </w:r>
      <w:r>
        <w:rPr>
          <w:rFonts w:ascii="Times New Roman;serif" w:hAnsi="Times New Roman;serif"/>
          <w:b w:val="false"/>
          <w:color w:val="000000"/>
          <w:sz w:val="24"/>
          <w:u w:val="single"/>
        </w:rPr>
        <w:t>Section 2.28</w:t>
      </w:r>
      <w:r>
        <w:rPr>
          <w:rFonts w:ascii="Times New Roman;serif" w:hAnsi="Times New Roman;serif"/>
          <w:b w:val="false"/>
          <w:color w:val="000000"/>
          <w:sz w:val="24"/>
        </w:rPr>
        <w:t xml:space="preserve">. In addition, if so provided in such Extension Amendment and with the consent of the Issuing Lenders, participations in Letters of Credit expiring on or after the Revolving Facility Maturity Date with respect to Revolving Commitments not so extended shall be re-allocated from Revolving Lenders holding Revolving Commitments to Revolving Lenders holding Extended Revolving Commitments in accordance with the terms of such Extension Amendment;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such participation interests shall, upon receipt thereof by the relevant Lenders holding Extended Revolving Commitments, be deemed to be participation interests in respect of such Extended Revolving Commitments and the terms of such participation interests (including, without limitation, the commission applicable thereto) shall be adjusted accordingly.</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73" w:name="i1be4870fceb94941a9e6c339be40c1b8"/>
      <w:bookmarkEnd w:id="173"/>
      <w:r>
        <w:rPr>
          <w:rFonts w:ascii="Times New Roman;serif" w:hAnsi="Times New Roman;serif"/>
          <w:b w:val="false"/>
          <w:color w:val="000000"/>
          <w:sz w:val="24"/>
        </w:rPr>
        <w:t xml:space="preserve">(e)    In connection with any Revolver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Revolver </w:t>
      </w:r>
    </w:p>
    <w:p>
      <w:pPr>
        <w:pStyle w:val="TextBody"/>
        <w:bidi w:val="0"/>
        <w:spacing w:before="0" w:after="0"/>
        <w:jc w:val="center"/>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25145"/>
                <wp:effectExtent l="0" t="0" r="0" b="0"/>
                <wp:wrapNone/>
                <wp:docPr id="125" name="Frame12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Extension), if any, as may be established by, or acceptable to, the Administrative Agent, in each case acting reasonably to accomplish the purposes of this </w:t>
      </w:r>
      <w:r>
        <w:rPr>
          <w:rFonts w:ascii="Times New Roman;serif" w:hAnsi="Times New Roman;serif"/>
          <w:b w:val="false"/>
          <w:color w:val="000000"/>
          <w:sz w:val="24"/>
          <w:u w:val="single"/>
        </w:rPr>
        <w:t>Section 2.28</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174" w:name="i85ad457c34f248f6b9239957743b955b"/>
      <w:bookmarkEnd w:id="174"/>
      <w:r>
        <w:rPr>
          <w:rFonts w:ascii="Times New Roman;serif" w:hAnsi="Times New Roman;serif"/>
          <w:b w:val="false"/>
          <w:color w:val="000000"/>
          <w:sz w:val="24"/>
        </w:rPr>
        <w:t>Section 2.29.    </w:t>
      </w:r>
      <w:r>
        <w:rPr>
          <w:rFonts w:ascii="Times New Roman;serif" w:hAnsi="Times New Roman;serif"/>
          <w:b w:val="false"/>
          <w:color w:val="000000"/>
          <w:sz w:val="24"/>
          <w:u w:val="single"/>
        </w:rPr>
        <w:t>Benchmark Replacement Setting</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left"/>
        <w:rPr/>
      </w:pPr>
      <w:bookmarkStart w:id="175" w:name="i8975cc8e5ed1487d8c4980beb90568d1"/>
      <w:bookmarkEnd w:id="175"/>
      <w:r>
        <w:rPr>
          <w:rFonts w:ascii="Times New Roman;serif" w:hAnsi="Times New Roman;serif"/>
          <w:b w:val="false"/>
          <w:color w:val="000000"/>
          <w:sz w:val="24"/>
        </w:rPr>
        <w:t>(a)    [</w:t>
      </w:r>
      <w:r>
        <w:rPr>
          <w:rFonts w:ascii="Times New Roman;serif" w:hAnsi="Times New Roman;serif"/>
          <w:b w:val="false"/>
          <w:color w:val="000000"/>
          <w:sz w:val="24"/>
          <w:u w:val="single"/>
        </w:rPr>
        <w:t>Intentionally Omitted</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176" w:name="i416452cacb8d47ee85f456e1ccff0bdc"/>
      <w:bookmarkEnd w:id="176"/>
      <w:r>
        <w:rPr>
          <w:rFonts w:ascii="Times New Roman;serif" w:hAnsi="Times New Roman;serif"/>
          <w:b w:val="false"/>
          <w:color w:val="000000"/>
          <w:sz w:val="24"/>
        </w:rPr>
        <w:t xml:space="preserve">(b)    Notwithstanding anything to the contrary herein or in any other Loan Document (and any Hedge Agreement shall be deemed not to be a “Loan Document” for purposes of this </w:t>
      </w:r>
      <w:r>
        <w:rPr>
          <w:rFonts w:ascii="Times New Roman;serif" w:hAnsi="Times New Roman;serif"/>
          <w:b w:val="false"/>
          <w:color w:val="000000"/>
          <w:sz w:val="24"/>
          <w:u w:val="single"/>
        </w:rPr>
        <w:t>Section 2.29</w:t>
      </w:r>
      <w:r>
        <w:rPr>
          <w:rFonts w:ascii="Times New Roman;serif" w:hAnsi="Times New Roman;serif"/>
          <w:b w:val="false"/>
          <w:color w:val="000000"/>
          <w:sz w:val="24"/>
        </w:rPr>
        <w:t xml:space="preserve">), if a Benchmark Transition Event and its related Benchmark Replacement Date have occurred prior to the Reference Time in respect of any setting of the then-current Benchmark, then (x) if a Benchmark Replacement is determined in accordance with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 xml:space="preserve">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serif" w:hAnsi="Times New Roman;serif"/>
          <w:b w:val="false"/>
          <w:color w:val="000000"/>
          <w:sz w:val="24"/>
          <w:u w:val="single"/>
        </w:rPr>
        <w:t>clause (2)</w:t>
      </w:r>
      <w:r>
        <w:rPr>
          <w:color w:val="000000"/>
        </w:rPr>
        <w:t xml:space="preserve"> </w:t>
      </w:r>
      <w:r>
        <w:rPr>
          <w:rFonts w:ascii="Times New Roman;serif" w:hAnsi="Times New Roman;serif"/>
          <w:b w:val="false"/>
          <w:color w:val="000000"/>
          <w:sz w:val="24"/>
        </w:rPr>
        <w:t>of the definition of “Benchmark Replacement” for such Benchmark Replacement Date, such Benchmark Replacement will replace such Benchmark for all purposes hereunder and under any Loan Document in respect of any Benchmark setting at or after 5:00 p.m. (New York City time) on the fifth (5</w:t>
      </w:r>
      <w:r>
        <w:rPr>
          <w:rFonts w:ascii="Times New Roman;serif" w:hAnsi="Times New Roman;serif"/>
          <w:b w:val="false"/>
          <w:color w:val="000000"/>
          <w:sz w:val="16"/>
        </w:rPr>
        <w:t>th</w:t>
      </w:r>
      <w:r>
        <w:rPr>
          <w:rFonts w:ascii="Times New Roman;serif" w:hAnsi="Times New Roman;serif"/>
          <w:b w:val="false"/>
          <w:color w:val="000000"/>
          <w:sz w:val="24"/>
        </w:rPr>
        <w:t xml:space="preserve">)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Class.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77" w:name="i32e42280ee77471c9b4122f07c376fc0"/>
      <w:bookmarkEnd w:id="177"/>
      <w:r>
        <w:rPr>
          <w:rFonts w:ascii="Times New Roman;serif" w:hAnsi="Times New Roman;serif"/>
          <w:b w:val="false"/>
          <w:color w:val="000000"/>
          <w:sz w:val="24"/>
        </w:rPr>
        <w:t>(c)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lineRule="auto" w:line="288" w:before="240" w:after="283"/>
        <w:ind w:left="0" w:right="0" w:firstLine="720"/>
        <w:jc w:val="left"/>
        <w:rPr/>
      </w:pPr>
      <w:bookmarkStart w:id="178" w:name="ide21444a3aed4ed6832d7d2fcd9372ec"/>
      <w:bookmarkEnd w:id="178"/>
      <w:r>
        <w:rPr>
          <w:rFonts w:ascii="Times New Roman;serif" w:hAnsi="Times New Roman;serif"/>
          <w:b w:val="false"/>
          <w:color w:val="000000"/>
          <w:sz w:val="24"/>
        </w:rPr>
        <w:t xml:space="preserve">(d)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w:t>
      </w:r>
      <w:r>
        <w:rPr>
          <w:rFonts w:ascii="Times New Roman;serif" w:hAnsi="Times New Roman;serif"/>
          <w:b w:val="false"/>
          <w:color w:val="000000"/>
          <w:sz w:val="24"/>
          <w:u w:val="single"/>
        </w:rPr>
        <w:t>Section 2.29(d)</w:t>
      </w:r>
      <w:r>
        <w:rPr>
          <w:color w:val="000000"/>
        </w:rPr>
        <w:t xml:space="preserve"> </w:t>
      </w:r>
      <w:r>
        <w:rPr>
          <w:rFonts w:ascii="Times New Roman;serif" w:hAnsi="Times New Roman;serif"/>
          <w:b w:val="false"/>
          <w:color w:val="000000"/>
          <w:sz w:val="24"/>
        </w:rPr>
        <w:t xml:space="preserve">and (v) the commencement or conclusion of any Benchmark Unavailability Period. Any determination, decision or election that may be made by the Administrative Agent or, if applicable, any Lender (or group of Lenders) pursuant to this </w:t>
      </w:r>
      <w:r>
        <w:rPr>
          <w:rFonts w:ascii="Times New Roman;serif" w:hAnsi="Times New Roman;serif"/>
          <w:b w:val="false"/>
          <w:color w:val="000000"/>
          <w:sz w:val="24"/>
          <w:u w:val="single"/>
        </w:rPr>
        <w:t>Section 2.29</w:t>
      </w:r>
      <w:r>
        <w:rPr>
          <w:rFonts w:ascii="Times New Roman;serif" w:hAnsi="Times New Roman;serif"/>
          <w:b w:val="false"/>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erif" w:hAnsi="Times New Roman;serif"/>
          <w:b w:val="false"/>
          <w:color w:val="000000"/>
          <w:sz w:val="24"/>
          <w:u w:val="single"/>
        </w:rPr>
        <w:t>Section 2.29</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25145"/>
                <wp:effectExtent l="0" t="0" r="0" b="0"/>
                <wp:wrapNone/>
                <wp:docPr id="126" name="Frame12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79" w:name="i5b85624c20e043e082d45610f0cbbc41"/>
      <w:bookmarkEnd w:id="179"/>
      <w:r>
        <w:rPr>
          <w:rFonts w:ascii="Times New Roman;serif" w:hAnsi="Times New Roman;serif"/>
          <w:b w:val="false"/>
          <w:color w:val="000000"/>
          <w:sz w:val="24"/>
        </w:rPr>
        <w:t>(e)    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80" w:name="i6f3efb6186d649dabeadfb04c6f97aa3"/>
      <w:bookmarkEnd w:id="180"/>
      <w:r>
        <w:rPr>
          <w:rFonts w:ascii="Times New Roman;serif" w:hAnsi="Times New Roman;serif"/>
          <w:b w:val="false"/>
          <w:color w:val="000000"/>
          <w:sz w:val="24"/>
        </w:rPr>
        <w:t>(f)    Upon the Borrower’s receipt of notice of the commencement of a Benchmark Unavailability Period, the Borrower may revoke any request for a Term Benchmark Borrowing of, conversion to or continuation of Term Benchmark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pStyle w:val="TextBody"/>
        <w:bidi w:val="0"/>
        <w:spacing w:lineRule="auto" w:line="288" w:before="240" w:after="283"/>
        <w:jc w:val="center"/>
        <w:rPr>
          <w:rFonts w:ascii="Times New Roman;serif" w:hAnsi="Times New Roman;serif"/>
          <w:b/>
          <w:color w:val="000000"/>
          <w:sz w:val="24"/>
        </w:rPr>
      </w:pPr>
      <w:bookmarkStart w:id="181" w:name="i5c1c4c90467a4469bead8adac88d0d55"/>
      <w:bookmarkEnd w:id="181"/>
      <w:r>
        <w:rPr>
          <w:rFonts w:ascii="Times New Roman;serif" w:hAnsi="Times New Roman;serif"/>
          <w:b/>
          <w:color w:val="000000"/>
          <w:sz w:val="24"/>
        </w:rPr>
        <w:t>SECTION 3.</w:t>
        <w:br/>
        <w:br/>
        <w:t>REPRESENTATIONS AND WARRANTIES</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order to induce the Lenders to make Loans and issue and/or participate in Letters of Credit hereunder, the Borrower and each of the Guarantors jointly and severally represent and warrant as follows:</w:t>
      </w:r>
    </w:p>
    <w:p>
      <w:pPr>
        <w:pStyle w:val="TextBody"/>
        <w:bidi w:val="0"/>
        <w:spacing w:lineRule="auto" w:line="288" w:before="240" w:after="283"/>
        <w:ind w:left="0" w:right="0" w:firstLine="720"/>
        <w:jc w:val="left"/>
        <w:rPr/>
      </w:pPr>
      <w:bookmarkStart w:id="182" w:name="ie380e113f318474eb273768ca9b39d23"/>
      <w:bookmarkEnd w:id="182"/>
      <w:r>
        <w:rPr>
          <w:rFonts w:ascii="Times New Roman;serif" w:hAnsi="Times New Roman;serif"/>
          <w:b w:val="false"/>
          <w:color w:val="000000"/>
          <w:sz w:val="24"/>
        </w:rPr>
        <w:t>Section 3.01.    </w:t>
      </w:r>
      <w:r>
        <w:rPr>
          <w:rFonts w:ascii="Times New Roman;serif" w:hAnsi="Times New Roman;serif"/>
          <w:b w:val="false"/>
          <w:color w:val="000000"/>
          <w:sz w:val="24"/>
          <w:u w:val="single"/>
        </w:rPr>
        <w:t>Organization and Authority</w:t>
      </w:r>
      <w:r>
        <w:rPr>
          <w:rFonts w:ascii="Times New Roman;serif" w:hAnsi="Times New Roman;serif"/>
          <w:b w:val="false"/>
          <w:color w:val="000000"/>
          <w:sz w:val="24"/>
        </w:rPr>
        <w:t>. Each of the Borrower and the Guarantors (a) is duly organized, validly existing and in good standing (to the extent such concept is applicable in the applicable jurisdiction) under the laws of the jurisdiction of its organization and is duly qualified and in good standing in each other jurisdiction in which the failure to so qualify would have a Material Adverse Effect and (b) has the requisite corporate or limited liability company power and authority to effect the Transactions, to own or lease and operate its properties and to conduct its business as now or currently proposed to be conducted.</w:t>
      </w:r>
    </w:p>
    <w:p>
      <w:pPr>
        <w:pStyle w:val="TextBody"/>
        <w:bidi w:val="0"/>
        <w:spacing w:lineRule="auto" w:line="288" w:before="240" w:after="283"/>
        <w:ind w:left="0" w:right="0" w:firstLine="720"/>
        <w:jc w:val="left"/>
        <w:rPr/>
      </w:pPr>
      <w:bookmarkStart w:id="183" w:name="i9eea7b01bfe14db59454dc1cdd97f0b8"/>
      <w:bookmarkEnd w:id="183"/>
      <w:r>
        <w:rPr>
          <w:rFonts w:ascii="Times New Roman;serif" w:hAnsi="Times New Roman;serif"/>
          <w:b w:val="false"/>
          <w:color w:val="000000"/>
          <w:sz w:val="24"/>
        </w:rPr>
        <w:t>Section 3.02.    </w:t>
      </w:r>
      <w:r>
        <w:rPr>
          <w:rFonts w:ascii="Times New Roman;serif" w:hAnsi="Times New Roman;serif"/>
          <w:b w:val="false"/>
          <w:color w:val="000000"/>
          <w:sz w:val="24"/>
          <w:u w:val="single"/>
        </w:rPr>
        <w:t>Air Carrier Status</w:t>
      </w:r>
      <w:r>
        <w:rPr>
          <w:rFonts w:ascii="Times New Roman;serif" w:hAnsi="Times New Roman;serif"/>
          <w:b w:val="false"/>
          <w:color w:val="000000"/>
          <w:sz w:val="24"/>
        </w:rPr>
        <w:t xml:space="preserve">. The Borrower is an “air carrier” within the meaning of Section 40102 of Title 49 and holds a certificate under Section 41102 of Title 49. The Borrower holds an air carrier operating certificate issued pursuant to Chapter 447 of Title 49. The </w:t>
      </w:r>
    </w:p>
    <w:p>
      <w:pPr>
        <w:pStyle w:val="TextBody"/>
        <w:bidi w:val="0"/>
        <w:spacing w:before="0" w:after="0"/>
        <w:jc w:val="center"/>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25145"/>
                <wp:effectExtent l="0" t="0" r="0" b="0"/>
                <wp:wrapNone/>
                <wp:docPr id="127" name="Frame12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Borrower is a “citizen of the United States” as defined in Section 40102(a)(15) of Title 49 and as that statutory provision has been interpreted by the DOT pursuant to its policies (a “</w:t>
      </w:r>
      <w:r>
        <w:rPr>
          <w:rFonts w:ascii="Times New Roman;serif" w:hAnsi="Times New Roman;serif"/>
          <w:b w:val="false"/>
          <w:color w:val="000000"/>
          <w:sz w:val="24"/>
          <w:u w:val="single"/>
        </w:rPr>
        <w:t>United States Citizen</w:t>
      </w:r>
      <w:r>
        <w:rPr>
          <w:color w:val="000000"/>
        </w:rPr>
        <w:t>”</w:t>
      </w:r>
      <w:r>
        <w:rPr>
          <w:rFonts w:ascii="Times New Roman;serif" w:hAnsi="Times New Roman;serif"/>
          <w:b w:val="false"/>
          <w:color w:val="000000"/>
          <w:sz w:val="24"/>
        </w:rPr>
        <w:t>). The Borrower possesses all necessary certificates, franchises, licenses, permits, rights, designations, authorizations, exemptions, concessions, frequencies and consents which relate to the operation of the routes flown by it and the conduct of its business and operations as currently conducted except where failure to so possess would not, in the aggregate, have a Material Adverse Effect.</w:t>
      </w:r>
    </w:p>
    <w:p>
      <w:pPr>
        <w:pStyle w:val="TextBody"/>
        <w:bidi w:val="0"/>
        <w:spacing w:lineRule="auto" w:line="288" w:before="240" w:after="283"/>
        <w:ind w:left="0" w:right="0" w:firstLine="720"/>
        <w:jc w:val="left"/>
        <w:rPr/>
      </w:pPr>
      <w:bookmarkStart w:id="184" w:name="i5047d03611de48af973a603a5ad08e3a"/>
      <w:bookmarkEnd w:id="184"/>
      <w:r>
        <w:rPr>
          <w:rFonts w:ascii="Times New Roman;serif" w:hAnsi="Times New Roman;serif"/>
          <w:b w:val="false"/>
          <w:color w:val="000000"/>
          <w:sz w:val="24"/>
        </w:rPr>
        <w:t>Section 3.03.    </w:t>
      </w:r>
      <w:r>
        <w:rPr>
          <w:rFonts w:ascii="Times New Roman;serif" w:hAnsi="Times New Roman;serif"/>
          <w:b w:val="false"/>
          <w:color w:val="000000"/>
          <w:sz w:val="24"/>
          <w:u w:val="single"/>
        </w:rPr>
        <w:t>Due Execution</w:t>
      </w:r>
      <w:r>
        <w:rPr>
          <w:rFonts w:ascii="Times New Roman;serif" w:hAnsi="Times New Roman;serif"/>
          <w:b w:val="false"/>
          <w:color w:val="000000"/>
          <w:sz w:val="24"/>
        </w:rPr>
        <w:t>. The execution, delivery and performance by the Borrower and the Guarantors of each of the Loan Documents to which it is a party (a) are within the respective corporate or limited liability company powers of the Borrower and the Guarantors, have been duly authorized by all necessary corporate or limited liability company action, including the consent of shareholders or members where required, and do not (i) contravene the charter, by-laws or limited liability company agreement (or equivalent documentation) of the Borrower or the Guarantors, (ii) violate any applicable law (including, without limitation, the Exchange Act) or regulation (including, without limitation, Regulations T, U or X of the Board), or any order or decree of any court or Governmental Authority, other than violations by the Borrower or the Guarantors which would not reasonably be expected to have a Material Adverse Effect, (iii) conflict with or result in a breach of, or constitute a default under, any material indenture, mortgage or deed of trust or any material lease, agreement or other instrument binding on the Borrower or the Guarantors or any of their properties, which, in the aggregate, would reasonably be expected to have a Material Adverse Effect, or (iv) result in or require the creation or imposition of any Lien upon any of the property of the Borrower or the other Grantors other than the Liens granted pursuant to this Agreement or the other Loan Documents; and (b) do not require the consent, authorization by or approval of or notice to or filing or registration with any Governmental Authority or any other Person, subject to, in the case of the UK Debenture, the UK Collateral Qualifications, other than (i) the filing of financing statements and termination statements under the UCC, (ii) the filings and consents contemplated by the Collateral Documents, (iii) approvals, consents and exemptions that have been obtained and remain in full force and effect, (iv) consents, approvals and exemptions that the failure to obtain in the aggregate would not be reasonably expected to result in a Material Adverse Effect and (v) routine reporting obligations. Each Loan Document to which the Borrower or a Guarantor is a party has been duly executed and delivered by the Borrower and the Guarantors party thereto. This Agreement and the other Loan Documents to which the Borrower or any of the Guarantors is a party, each is a legal, valid and binding obligation of the Borrower and each Guarantor party thereto, enforceable against the Borrower and the Guarantors, as the case may be, in accordance with its terms, subject to applicable bankruptcy, insolvency, reorganization, moratorium or other similar laws affecting creditors’ rights generally and subject to general principles of equity, regardless of whether considered in a proceeding in equity or at law and in the case of the UK Debenture, the UK Collateral Qualifications.</w:t>
      </w:r>
    </w:p>
    <w:p>
      <w:pPr>
        <w:pStyle w:val="TextBody"/>
        <w:bidi w:val="0"/>
        <w:spacing w:lineRule="auto" w:line="288" w:before="240" w:after="283"/>
        <w:ind w:left="0" w:right="0" w:firstLine="720"/>
        <w:jc w:val="left"/>
        <w:rPr/>
      </w:pPr>
      <w:bookmarkStart w:id="185" w:name="ic4cdc77394cb42cf9885b1625273d978"/>
      <w:bookmarkEnd w:id="185"/>
      <w:r>
        <w:rPr>
          <w:rFonts w:ascii="Times New Roman;serif" w:hAnsi="Times New Roman;serif"/>
          <w:b w:val="false"/>
          <w:color w:val="000000"/>
          <w:sz w:val="24"/>
        </w:rPr>
        <w:t>Section 3.04.    </w:t>
      </w:r>
      <w:r>
        <w:rPr>
          <w:rFonts w:ascii="Times New Roman;serif" w:hAnsi="Times New Roman;serif"/>
          <w:b w:val="false"/>
          <w:color w:val="000000"/>
          <w:sz w:val="24"/>
          <w:u w:val="single"/>
        </w:rPr>
        <w:t>Statements Made</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86" w:name="i2c0c0ade63824c1693ca1e819a1d943f"/>
      <w:bookmarkEnd w:id="186"/>
      <w:r>
        <w:rPr>
          <w:rFonts w:ascii="Times New Roman;serif" w:hAnsi="Times New Roman;serif"/>
          <w:b w:val="false"/>
          <w:color w:val="000000"/>
          <w:sz w:val="24"/>
        </w:rPr>
        <w:t xml:space="preserve">(a)    The written information furnished by or on behalf of the Borrower or any Guarantor to the Administrative Agent or any Lender in connection with the negotiation of this </w:t>
      </w:r>
    </w:p>
    <w:p>
      <w:pPr>
        <w:pStyle w:val="TextBody"/>
        <w:bidi w:val="0"/>
        <w:spacing w:before="0" w:after="0"/>
        <w:jc w:val="center"/>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25145"/>
                <wp:effectExtent l="0" t="0" r="0" b="0"/>
                <wp:wrapNone/>
                <wp:docPr id="128" name="Frame12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Agreement (as modified or supplemented by other written information so furnished), together with the Annual Report on Form 10-K for 2025 of Parent and the Borrower filed with the SEC and all Quarterly Reports on Form 10-Q or Current Reports on Form 8-K that have been filed after December 31, 2025, by Parent or the Borrower, with the SEC (as amended), taken as a whole as of the Closing Date did not contain any untrue statement of a material fact or omit to state a material fact necessary to make the statements made therein not misleading in light of the circumstances in which such information was provided;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with respect to projections, estimates or other forward-looking information the Borrower and the Guarantors represent only that such information was prepared in good faith based upon assumptions believed to be reasonable at the time.</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87" w:name="iac22e4b789e544bb95fe28f00b57f729"/>
      <w:bookmarkEnd w:id="187"/>
      <w:r>
        <w:rPr>
          <w:rFonts w:ascii="Times New Roman;serif" w:hAnsi="Times New Roman;serif"/>
          <w:b w:val="false"/>
          <w:color w:val="000000"/>
          <w:sz w:val="24"/>
        </w:rPr>
        <w:t>(b)    The Annual Report on Form 10-K of Parent most recently filed with the SEC, and each Quarterly Report on Form 10-Q and Current Report on Form 8-K of Parent filed with the SEC subsequently and prior to the date that this representation and warranty is being made, did not as of the date filed with the SEC (giving effect to any amendments thereof made prior to the date that this representation and warranty is being made) contain any untrue statement of a material fact or omit to state a material fact necessary in order to make the statements made therein, in light of the circumstances under which they were made, not misleading.</w:t>
      </w:r>
    </w:p>
    <w:p>
      <w:pPr>
        <w:pStyle w:val="TextBody"/>
        <w:bidi w:val="0"/>
        <w:spacing w:lineRule="auto" w:line="288" w:before="240" w:after="283"/>
        <w:ind w:left="0" w:right="0" w:firstLine="720"/>
        <w:jc w:val="left"/>
        <w:rPr/>
      </w:pPr>
      <w:bookmarkStart w:id="188" w:name="i6bd203f5264a400b9e40299e4c6a8293"/>
      <w:bookmarkEnd w:id="188"/>
      <w:r>
        <w:rPr>
          <w:rFonts w:ascii="Times New Roman;serif" w:hAnsi="Times New Roman;serif"/>
          <w:b w:val="false"/>
          <w:color w:val="000000"/>
          <w:sz w:val="24"/>
        </w:rPr>
        <w:t>Section 3.05.    </w:t>
      </w:r>
      <w:r>
        <w:rPr>
          <w:rFonts w:ascii="Times New Roman;serif" w:hAnsi="Times New Roman;serif"/>
          <w:b w:val="false"/>
          <w:color w:val="000000"/>
          <w:sz w:val="24"/>
          <w:u w:val="single"/>
        </w:rPr>
        <w:t>Financial Statements; Material Adverse Change</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89" w:name="ia0980b653bcc428586f6de300eed537b"/>
      <w:bookmarkEnd w:id="189"/>
      <w:r>
        <w:rPr>
          <w:rFonts w:ascii="Times New Roman;serif" w:hAnsi="Times New Roman;serif"/>
          <w:b w:val="false"/>
          <w:color w:val="000000"/>
          <w:sz w:val="24"/>
        </w:rPr>
        <w:t>(a)    The audited consolidated financial statements of Parent and its Subsidiaries for the fiscal year ended December 31, 2025, included in Parent’s Annual Report on Form 10-K for 2025 filed with the SEC, as amended, present fairly, in all material respects, in accordance with GAAP, the financial condition, results of operations and cash flows of Parent and its Subsidiaries on a consolidated basis as of such date and for such period.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90" w:name="i1d9e7717333347529c61987db4ef1876"/>
      <w:bookmarkEnd w:id="190"/>
      <w:r>
        <w:rPr>
          <w:rFonts w:ascii="Times New Roman;serif" w:hAnsi="Times New Roman;serif"/>
          <w:b w:val="false"/>
          <w:color w:val="000000"/>
          <w:sz w:val="24"/>
        </w:rPr>
        <w:t>(b)    Except as disclosed in Parent’s Annual Report on Form 10-K for 2025 or any report filed after December 31, 2025, by Parent on Form 10-Q or Form 8-K with the SEC, since December 31, 2025, there has been no Material Adverse Change.</w:t>
      </w:r>
    </w:p>
    <w:p>
      <w:pPr>
        <w:pStyle w:val="TextBody"/>
        <w:bidi w:val="0"/>
        <w:spacing w:lineRule="auto" w:line="288" w:before="240" w:after="283"/>
        <w:ind w:left="0" w:right="0" w:firstLine="720"/>
        <w:jc w:val="left"/>
        <w:rPr/>
      </w:pPr>
      <w:bookmarkStart w:id="191" w:name="i897e5a79994b4e389870258e0e36c02f"/>
      <w:bookmarkEnd w:id="191"/>
      <w:r>
        <w:rPr>
          <w:rFonts w:ascii="Times New Roman;serif" w:hAnsi="Times New Roman;serif"/>
          <w:b w:val="false"/>
          <w:color w:val="000000"/>
          <w:sz w:val="24"/>
        </w:rPr>
        <w:t>Section 3.06.    </w:t>
      </w:r>
      <w:r>
        <w:rPr>
          <w:rFonts w:ascii="Times New Roman;serif" w:hAnsi="Times New Roman;serif"/>
          <w:b w:val="false"/>
          <w:color w:val="000000"/>
          <w:sz w:val="24"/>
          <w:u w:val="single"/>
        </w:rPr>
        <w:t>Ownership of Subsidiaries</w:t>
      </w:r>
      <w:r>
        <w:rPr>
          <w:rFonts w:ascii="Times New Roman;serif" w:hAnsi="Times New Roman;serif"/>
          <w:b w:val="false"/>
          <w:color w:val="000000"/>
          <w:sz w:val="24"/>
        </w:rPr>
        <w:t xml:space="preserve">. As of the Closing Date, other than as set forth on </w:t>
      </w:r>
      <w:r>
        <w:rPr>
          <w:rFonts w:ascii="Times New Roman;serif" w:hAnsi="Times New Roman;serif"/>
          <w:b w:val="false"/>
          <w:color w:val="000000"/>
          <w:sz w:val="24"/>
          <w:u w:val="single"/>
        </w:rPr>
        <w:t>Schedule 3.06</w:t>
      </w:r>
      <w:r>
        <w:rPr>
          <w:rFonts w:ascii="Times New Roman;serif" w:hAnsi="Times New Roman;serif"/>
          <w:b w:val="false"/>
          <w:color w:val="000000"/>
          <w:sz w:val="24"/>
        </w:rPr>
        <w:t xml:space="preserve">, (a) each of the Persons listed on </w:t>
      </w:r>
      <w:r>
        <w:rPr>
          <w:rFonts w:ascii="Times New Roman;serif" w:hAnsi="Times New Roman;serif"/>
          <w:b w:val="false"/>
          <w:color w:val="000000"/>
          <w:sz w:val="24"/>
          <w:u w:val="single"/>
        </w:rPr>
        <w:t>Schedule 3.06</w:t>
      </w:r>
      <w:r>
        <w:rPr>
          <w:color w:val="000000"/>
        </w:rPr>
        <w:t xml:space="preserve"> </w:t>
      </w:r>
      <w:r>
        <w:rPr>
          <w:rFonts w:ascii="Times New Roman;serif" w:hAnsi="Times New Roman;serif"/>
          <w:b w:val="false"/>
          <w:color w:val="000000"/>
          <w:sz w:val="24"/>
        </w:rPr>
        <w:t>is a wholly-owned, direct or indirect Subsidiary of Parent, and (b) Parent owns no other Subsidiaries (other than immaterial Subsidiaries), whether directly or indirectly.</w:t>
      </w:r>
    </w:p>
    <w:p>
      <w:pPr>
        <w:pStyle w:val="TextBody"/>
        <w:bidi w:val="0"/>
        <w:spacing w:lineRule="auto" w:line="288" w:before="240" w:after="283"/>
        <w:ind w:left="0" w:right="0" w:firstLine="720"/>
        <w:jc w:val="left"/>
        <w:rPr/>
      </w:pPr>
      <w:bookmarkStart w:id="192" w:name="icbccb75444e24b95b1042739afb9f198"/>
      <w:bookmarkEnd w:id="192"/>
      <w:r>
        <w:rPr>
          <w:rFonts w:ascii="Times New Roman;serif" w:hAnsi="Times New Roman;serif"/>
          <w:b w:val="false"/>
          <w:color w:val="000000"/>
          <w:sz w:val="24"/>
        </w:rPr>
        <w:t>Section 3.07.    </w:t>
      </w:r>
      <w:r>
        <w:rPr>
          <w:rFonts w:ascii="Times New Roman;serif" w:hAnsi="Times New Roman;serif"/>
          <w:b w:val="false"/>
          <w:color w:val="000000"/>
          <w:sz w:val="24"/>
          <w:u w:val="single"/>
        </w:rPr>
        <w:t>Liens</w:t>
      </w:r>
      <w:r>
        <w:rPr>
          <w:rFonts w:ascii="Times New Roman;serif" w:hAnsi="Times New Roman;serif"/>
          <w:b w:val="false"/>
          <w:color w:val="000000"/>
          <w:sz w:val="24"/>
        </w:rPr>
        <w:t>. There are no Liens of any nature whatsoever on any Collateral other than Permitted Liens.</w:t>
      </w:r>
    </w:p>
    <w:p>
      <w:pPr>
        <w:pStyle w:val="TextBody"/>
        <w:bidi w:val="0"/>
        <w:spacing w:lineRule="auto" w:line="288" w:before="240" w:after="283"/>
        <w:ind w:left="0" w:right="0" w:firstLine="720"/>
        <w:jc w:val="left"/>
        <w:rPr/>
      </w:pPr>
      <w:bookmarkStart w:id="193" w:name="i05151c9c292549de8424b3f8b7a92fed"/>
      <w:bookmarkEnd w:id="193"/>
      <w:r>
        <w:rPr>
          <w:rFonts w:ascii="Times New Roman;serif" w:hAnsi="Times New Roman;serif"/>
          <w:b w:val="false"/>
          <w:color w:val="000000"/>
          <w:sz w:val="24"/>
        </w:rPr>
        <w:t>Section 3.08.    </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xml:space="preserve">. The proceeds of the Loans, and the Letters of Credit, shall be used for working capital or other general corporate purposes of the Borrower, the Guarantors and their respective Subsidiaries and the payment of transaction costs, fees and expenses as contemplated hereby and as referred to in </w:t>
      </w:r>
      <w:r>
        <w:rPr>
          <w:rFonts w:ascii="Times New Roman;serif" w:hAnsi="Times New Roman;serif"/>
          <w:b w:val="false"/>
          <w:color w:val="000000"/>
          <w:sz w:val="24"/>
          <w:u w:val="single"/>
        </w:rPr>
        <w:t>Sections 2.19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2.20</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194" w:name="ie5fdfb5dcf0b40b6b137f2181a6df799"/>
      <w:bookmarkEnd w:id="194"/>
      <w:r>
        <w:rPr>
          <w:rFonts w:ascii="Times New Roman;serif" w:hAnsi="Times New Roman;serif"/>
          <w:b w:val="false"/>
          <w:color w:val="000000"/>
          <w:sz w:val="24"/>
        </w:rPr>
        <w:t>Section 3.09.    </w:t>
      </w:r>
      <w:r>
        <w:rPr>
          <w:rFonts w:ascii="Times New Roman;serif" w:hAnsi="Times New Roman;serif"/>
          <w:b w:val="false"/>
          <w:color w:val="000000"/>
          <w:sz w:val="24"/>
          <w:u w:val="single"/>
        </w:rPr>
        <w:t>Litigation and Compliance with Laws</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25145"/>
                <wp:effectExtent l="0" t="0" r="0" b="0"/>
                <wp:wrapNone/>
                <wp:docPr id="129" name="Frame12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95" w:name="i3cb4a34f8c544eff8024faf06bb7a776"/>
      <w:bookmarkEnd w:id="195"/>
      <w:r>
        <w:rPr>
          <w:rFonts w:ascii="Times New Roman;serif" w:hAnsi="Times New Roman;serif"/>
          <w:b w:val="false"/>
          <w:color w:val="000000"/>
          <w:sz w:val="24"/>
        </w:rPr>
        <w:t>(a)    Except as disclosed in Parent’s Annual Report on Form 10-K for 2025 or any report filed by Parent on Form 10-Q or Form 8-K with the SEC after December 31, 2025, there are no actions, suits, proceedings or investigations pending or, to the knowledge of the Borrower or the Guarantors, threatened against the Borrower or the Guarantors or any of their respective properties (including any properties or assets that constitute Collateral under the terms of the Loan Documents), before any court or governmental department, commission, board, bureau, agency or instrumentality, domestic or foreign, that (i) are likely to have a Material Adverse Effect or (ii) could reasonably be expected to affect the legality, validity, binding effect or enforceability of the Loan Documents or, in any material respect, the rights and remedies of the Administrative Agent, the Collateral Trustee or the Lenders thereunder or in connection with the Transactions.</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196" w:name="ia5fca786828b4e04b1fc8a53ff48d517"/>
      <w:bookmarkEnd w:id="196"/>
      <w:r>
        <w:rPr>
          <w:rFonts w:ascii="Times New Roman;serif" w:hAnsi="Times New Roman;serif"/>
          <w:b w:val="false"/>
          <w:color w:val="000000"/>
          <w:sz w:val="24"/>
        </w:rPr>
        <w:t>(b)    Except with respect to any matters that, individually or in the aggregate, would not reasonably be expected to result in a Material Adverse Effect, the Borrower and each Guarantor to its knowledge is currently in compliance with all applicable statutes, regulations and orders of, and all applicable restrictions imposed by, all Governmental Authorities, in respect of the conduct of its business and ownership of its property.</w:t>
      </w:r>
    </w:p>
    <w:p>
      <w:pPr>
        <w:pStyle w:val="TextBody"/>
        <w:bidi w:val="0"/>
        <w:spacing w:lineRule="auto" w:line="288" w:before="240" w:after="283"/>
        <w:ind w:left="0" w:right="0" w:firstLine="720"/>
        <w:jc w:val="left"/>
        <w:rPr/>
      </w:pPr>
      <w:bookmarkStart w:id="197" w:name="i87f3adf0ef2041c5b30674fb779354a8"/>
      <w:bookmarkEnd w:id="197"/>
      <w:r>
        <w:rPr>
          <w:rFonts w:ascii="Times New Roman;serif" w:hAnsi="Times New Roman;serif"/>
          <w:b w:val="false"/>
          <w:color w:val="000000"/>
          <w:sz w:val="24"/>
        </w:rPr>
        <w:t>Section 3.10.    </w:t>
      </w:r>
      <w:r>
        <w:rPr>
          <w:rFonts w:ascii="Times New Roman;serif" w:hAnsi="Times New Roman;serif"/>
          <w:b w:val="false"/>
          <w:color w:val="000000"/>
          <w:sz w:val="24"/>
          <w:u w:val="single"/>
        </w:rPr>
        <w:t>FAA Slot Utilization</w:t>
      </w:r>
      <w:r>
        <w:rPr>
          <w:rFonts w:ascii="Times New Roman;serif" w:hAnsi="Times New Roman;serif"/>
          <w:b w:val="false"/>
          <w:color w:val="000000"/>
          <w:sz w:val="24"/>
        </w:rPr>
        <w:t xml:space="preserve">. Except for matters which could not reasonably be expected to have a Material Adverse Effect, the Borrower and the other Grantors, as applicable, are utilizing, or causing to be utilized, their respective Pledged FAA Slots (except Pledged FAA Slots which are reasonably determined by the Borrower to be of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value or surplus to the Borrower’s needs) in a manner consistent in all material respects with applicable rules, regulations, laws and contracts in order to preserve both their respective right to hold and operate the Pledged FAA Slots, taking into account any waivers or other relief granted to the Borrower or any Guarantor by the FAA, other applicable U.S. Governmental Authorities or U.S. Airport Authorities. Neither the Borrower nor any Guarantor has received any written notice from the FAA, other applicable U.S. Governmental Authorities or U.S. Airport Authorities, or is otherwise aware of any other event or circumstance, that would , taking into account any exemptions or other relief granted by the relevant Governmental Authority, be reasonably likely to impair in any material respect its respective right to hold and operate any Pledged FAA Slot, except for any such impairment that, either individually or in the aggregate, could not reasonably be expected to have a Material Adverse Effect.</w:t>
      </w:r>
    </w:p>
    <w:p>
      <w:pPr>
        <w:pStyle w:val="TextBody"/>
        <w:bidi w:val="0"/>
        <w:spacing w:lineRule="auto" w:line="288" w:before="240" w:after="283"/>
        <w:ind w:left="0" w:right="0" w:firstLine="720"/>
        <w:jc w:val="left"/>
        <w:rPr/>
      </w:pPr>
      <w:bookmarkStart w:id="198" w:name="i3e76cdc8360145c6b03fa451e775756b"/>
      <w:bookmarkEnd w:id="198"/>
      <w:r>
        <w:rPr>
          <w:rFonts w:ascii="Times New Roman;serif" w:hAnsi="Times New Roman;serif"/>
          <w:b w:val="false"/>
          <w:color w:val="000000"/>
          <w:sz w:val="24"/>
        </w:rPr>
        <w:t>Section 3.11.    </w:t>
      </w:r>
      <w:r>
        <w:rPr>
          <w:rFonts w:ascii="Times New Roman;serif" w:hAnsi="Times New Roman;serif"/>
          <w:b w:val="false"/>
          <w:color w:val="000000"/>
          <w:sz w:val="24"/>
          <w:u w:val="single"/>
        </w:rPr>
        <w:t>Foreign Slot Utilization</w:t>
      </w:r>
      <w:r>
        <w:rPr>
          <w:rFonts w:ascii="Times New Roman;serif" w:hAnsi="Times New Roman;serif"/>
          <w:b w:val="false"/>
          <w:color w:val="000000"/>
          <w:sz w:val="24"/>
        </w:rPr>
        <w:t xml:space="preserve">. Except for matters which could not reasonably be expected to have a Material Adverse Effect, the Borrower and the other Grantors, as applicable, are utilizing, or causing to be utilized, their respective Pledged Foreign Slots (except Pledged Foreign Slots which are reasonably determined by the Borrower to be of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 xml:space="preserve">value or surplus to the Borrower’s needs) in a manner consistent in all material respects with applicable rules, regulations, foreign laws and contracts in order to preserve both their respective right to hold and operate the Pledged Foreign Slots, taking into account any waivers or other relief granted to the Borrower or any Guarantor by any applicable Foreign Aviation Authority or foreign Airport Authorities. Neither the Borrower nor any Guarantor has received any written notice from any applicable Foreign Aviation Authority or foreign Airport Authorities, or is otherwise aware of any other event or circumstance, that would be reasonably likely to impair in </w:t>
      </w:r>
    </w:p>
    <w:p>
      <w:pPr>
        <w:pStyle w:val="TextBody"/>
        <w:bidi w:val="0"/>
        <w:spacing w:before="0" w:after="0"/>
        <w:jc w:val="center"/>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25145"/>
                <wp:effectExtent l="0" t="0" r="0" b="0"/>
                <wp:wrapNone/>
                <wp:docPr id="130" name="Frame12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any material respect its respective right to hold and operate any Pledged Foreign Slot, except for any such impairment that, either individually or in the aggregate, could not reasonably be expected to have a Material Adverse Effect.</w:t>
      </w:r>
    </w:p>
    <w:p>
      <w:pPr>
        <w:pStyle w:val="TextBody"/>
        <w:bidi w:val="0"/>
        <w:spacing w:lineRule="auto" w:line="288" w:before="240" w:after="283"/>
        <w:ind w:left="0" w:right="0" w:firstLine="720"/>
        <w:jc w:val="left"/>
        <w:rPr/>
      </w:pPr>
      <w:bookmarkStart w:id="199" w:name="i27ff7301ea564c0aab01304679d821d2"/>
      <w:bookmarkEnd w:id="199"/>
      <w:r>
        <w:rPr>
          <w:rFonts w:ascii="Times New Roman;serif" w:hAnsi="Times New Roman;serif"/>
          <w:b w:val="false"/>
          <w:color w:val="000000"/>
          <w:sz w:val="24"/>
        </w:rPr>
        <w:t>Section 3.12.    </w:t>
      </w:r>
      <w:r>
        <w:rPr>
          <w:rFonts w:ascii="Times New Roman;serif" w:hAnsi="Times New Roman;serif"/>
          <w:b w:val="false"/>
          <w:color w:val="000000"/>
          <w:sz w:val="24"/>
          <w:u w:val="single"/>
        </w:rPr>
        <w:t>Routes</w:t>
      </w:r>
      <w:r>
        <w:rPr>
          <w:rFonts w:ascii="Times New Roman;serif" w:hAnsi="Times New Roman;serif"/>
          <w:b w:val="false"/>
          <w:color w:val="000000"/>
          <w:sz w:val="24"/>
        </w:rPr>
        <w:t>. The Borrower and the other Grantors, as applicable, hold the requisite authority to operate each of its respective Pledged Routes pursuant to Title 49, applicable foreign law, and the applicable rules and regulations of the FAA, DOT and any applicable Foreign Aviation Authorities with jurisdiction over its Pledged Routes, and each is in compliance in all material respects with all of the terms, conditions and limitations of each related certificate or order issued by the DOT and the applicable Foreign Aviation Authorities with jurisdiction over its Pledged Routes regarding such Pledged Routes and with all applicable provisions of Title 49, applicable foreign law, and the applicable rules and regulations of the FAA, DOT and any Foreign Aviation Authorities with jurisdiction over its Pledged Routes regarding such Pledged Routes. There exists no failure of the Borrower or any applicable Guarantor to comply with such terms, conditions or limitations that gives the FAA, DOT or any applicable Foreign Aviation Authorities with jurisdiction over its Pledged Routes the right to terminate, cancel, suspend, withdraw or modify in any materially adverse respect the rights of the Borrower and the other Grantors, as applicable, in any such Pledged Route, except to the extent that such failure could not reasonably be expected to have a Material Adverse Effect.</w:t>
      </w:r>
    </w:p>
    <w:p>
      <w:pPr>
        <w:pStyle w:val="TextBody"/>
        <w:bidi w:val="0"/>
        <w:spacing w:lineRule="auto" w:line="288" w:before="240" w:after="283"/>
        <w:ind w:left="0" w:right="0" w:firstLine="720"/>
        <w:jc w:val="left"/>
        <w:rPr/>
      </w:pPr>
      <w:bookmarkStart w:id="200" w:name="i3325a8696f1944a89c88f448d2a32b50"/>
      <w:bookmarkEnd w:id="200"/>
      <w:r>
        <w:rPr>
          <w:rFonts w:ascii="Times New Roman;serif" w:hAnsi="Times New Roman;serif"/>
          <w:b w:val="false"/>
          <w:color w:val="000000"/>
          <w:sz w:val="24"/>
        </w:rPr>
        <w:t>Section 3.13.    </w:t>
      </w:r>
      <w:r>
        <w:rPr>
          <w:rFonts w:ascii="Times New Roman;serif" w:hAnsi="Times New Roman;serif"/>
          <w:b w:val="false"/>
          <w:color w:val="000000"/>
          <w:sz w:val="24"/>
          <w:u w:val="single"/>
        </w:rPr>
        <w:t>Margin Regulations; Investment Company Act</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left"/>
        <w:rPr/>
      </w:pPr>
      <w:bookmarkStart w:id="201" w:name="i7d0ac859824848ddadbb3cf3e7f04a1d"/>
      <w:bookmarkEnd w:id="201"/>
      <w:r>
        <w:rPr>
          <w:rFonts w:ascii="Times New Roman;serif" w:hAnsi="Times New Roman;serif"/>
          <w:b w:val="false"/>
          <w:color w:val="000000"/>
          <w:sz w:val="24"/>
        </w:rPr>
        <w:t>(a)    Neither the Borrower nor any Guarantor is engaged, principally or as one of its important activities, in the business of purchasing or carrying margin stock (within the meaning of Regulation U issued by the Board, “</w:t>
      </w:r>
      <w:r>
        <w:rPr>
          <w:rFonts w:ascii="Times New Roman;serif" w:hAnsi="Times New Roman;serif"/>
          <w:b w:val="false"/>
          <w:color w:val="000000"/>
          <w:sz w:val="24"/>
          <w:u w:val="single"/>
        </w:rPr>
        <w:t>Margin Stock</w:t>
      </w:r>
      <w:r>
        <w:rPr>
          <w:color w:val="000000"/>
        </w:rPr>
        <w:t>”</w:t>
      </w:r>
      <w:r>
        <w:rPr>
          <w:rFonts w:ascii="Times New Roman;serif" w:hAnsi="Times New Roman;serif"/>
          <w:b w:val="false"/>
          <w:color w:val="000000"/>
          <w:sz w:val="24"/>
        </w:rPr>
        <w:t>), or extending credit for the purpose of purchasing or carrying Margin Stock, and no proceeds of any Loans will be used to purchase or carry any Margin Stock or to extend credit to others for the purpose of purchasing or carrying any Margin Stock in violation of Regulation U.</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02" w:name="ie03e800d1a034609b53576b91920a686"/>
      <w:bookmarkEnd w:id="202"/>
      <w:r>
        <w:rPr>
          <w:rFonts w:ascii="Times New Roman;serif" w:hAnsi="Times New Roman;serif"/>
          <w:b w:val="false"/>
          <w:color w:val="000000"/>
          <w:sz w:val="24"/>
        </w:rPr>
        <w:t>(b)    Neither the Borrower nor any Guarantor is, or after the making of the Loans will be, or is required to be, registered as an “investment company” under the Investment Company Act of 1940, as amended. Neither the making of any Loan, nor the issuance of any Letters of Credit, nor the application of the proceeds of any Loan or repayment of any Loan or reimbursement of any LC Disbursement by the Borrower, nor the consummation of the other transactions contemplated by the Loan Documents, will violate any provision of such Act or any rule, regulation or order of the SEC thereunder.</w:t>
      </w:r>
    </w:p>
    <w:p>
      <w:pPr>
        <w:pStyle w:val="TextBody"/>
        <w:bidi w:val="0"/>
        <w:spacing w:lineRule="auto" w:line="288" w:before="240" w:after="283"/>
        <w:ind w:left="0" w:right="0" w:firstLine="720"/>
        <w:jc w:val="left"/>
        <w:rPr/>
      </w:pPr>
      <w:bookmarkStart w:id="203" w:name="ie0d0ecb8c666459aa6fa23dbb70295b8"/>
      <w:bookmarkEnd w:id="203"/>
      <w:r>
        <w:rPr>
          <w:rFonts w:ascii="Times New Roman;serif" w:hAnsi="Times New Roman;serif"/>
          <w:b w:val="false"/>
          <w:color w:val="000000"/>
          <w:sz w:val="24"/>
        </w:rPr>
        <w:t>Section 3.14.    </w:t>
      </w:r>
      <w:r>
        <w:rPr>
          <w:rFonts w:ascii="Times New Roman;serif" w:hAnsi="Times New Roman;serif"/>
          <w:b w:val="false"/>
          <w:color w:val="000000"/>
          <w:sz w:val="24"/>
          <w:u w:val="single"/>
        </w:rPr>
        <w:t>Ownership of Collateral</w:t>
      </w:r>
      <w:r>
        <w:rPr>
          <w:rFonts w:ascii="Times New Roman;serif" w:hAnsi="Times New Roman;serif"/>
          <w:b w:val="false"/>
          <w:color w:val="000000"/>
          <w:sz w:val="24"/>
        </w:rPr>
        <w:t>. Each Grantor has good title to the Collateral owned by it, free and clear of all Liens other than Permitted Liens.</w:t>
      </w:r>
    </w:p>
    <w:p>
      <w:pPr>
        <w:pStyle w:val="TextBody"/>
        <w:bidi w:val="0"/>
        <w:spacing w:lineRule="auto" w:line="288" w:before="240" w:after="283"/>
        <w:ind w:left="0" w:right="0" w:firstLine="720"/>
        <w:jc w:val="left"/>
        <w:rPr/>
      </w:pPr>
      <w:bookmarkStart w:id="204" w:name="i2c3a6a7655134c9e9bd8f0ce966f7ea4"/>
      <w:bookmarkEnd w:id="204"/>
      <w:r>
        <w:rPr>
          <w:rFonts w:ascii="Times New Roman;serif" w:hAnsi="Times New Roman;serif"/>
          <w:b w:val="false"/>
          <w:color w:val="000000"/>
          <w:sz w:val="24"/>
        </w:rPr>
        <w:t>Section 3.15.    </w:t>
      </w:r>
      <w:r>
        <w:rPr>
          <w:rFonts w:ascii="Times New Roman;serif" w:hAnsi="Times New Roman;serif"/>
          <w:b w:val="false"/>
          <w:color w:val="000000"/>
          <w:sz w:val="24"/>
          <w:u w:val="single"/>
        </w:rPr>
        <w:t>Perfected Security Interests</w:t>
      </w:r>
      <w:r>
        <w:rPr>
          <w:rFonts w:ascii="Times New Roman;serif" w:hAnsi="Times New Roman;serif"/>
          <w:b w:val="false"/>
          <w:color w:val="000000"/>
          <w:sz w:val="24"/>
        </w:rPr>
        <w:t xml:space="preserve">. The Collateral Documents, taken as a whole, are effective to create in favor of the Collateral Trustee, for the benefit of the Secured Parties, a legal, valid and enforceable security interest in all of the Collateral to the extent purported to be created thereby, subject as to enforceability to applicable bankruptcy, insolvency, reorganization, moratorium or other similar laws affecting creditors’ rights generally and subject to general principles of equity, regardless of whether considered in a proceeding in equity or at law. With </w:t>
      </w:r>
    </w:p>
    <w:p>
      <w:pPr>
        <w:pStyle w:val="TextBody"/>
        <w:bidi w:val="0"/>
        <w:spacing w:before="0" w:after="0"/>
        <w:jc w:val="center"/>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25145"/>
                <wp:effectExtent l="0" t="0" r="0" b="0"/>
                <wp:wrapNone/>
                <wp:docPr id="131" name="Frame13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respect to the Collateral as of the Closing Date, at such time as (a) financing statements in appropriate form are filed in the appropriate offices (and the appropriate fees are paid) and (b) the execution of the Account Control Agreements, the Collateral Trustee, for the benefit of the Secured Parties, shall have a first priority perfected security interest and/or mortgage (or comparable Lien) in all of such Collateral to the extent that the Liens on such Collateral may be perfected upon the filings, registrations or recordations or upon the taking of the actions described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above, subject in each case only to Permitted Liens, and such security interest is entitled to the benefits, rights and protections afforded under the Collateral Documents applicable thereto (subject to the qualification set forth in the first sentence of this </w:t>
      </w:r>
      <w:r>
        <w:rPr>
          <w:rFonts w:ascii="Times New Roman;serif" w:hAnsi="Times New Roman;serif"/>
          <w:b w:val="false"/>
          <w:color w:val="000000"/>
          <w:sz w:val="24"/>
          <w:u w:val="single"/>
        </w:rPr>
        <w:t>Section 3.15</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205" w:name="ia919489f44384324a6109c02361ebfdb"/>
      <w:bookmarkEnd w:id="205"/>
      <w:r>
        <w:rPr>
          <w:rFonts w:ascii="Times New Roman;serif" w:hAnsi="Times New Roman;serif"/>
          <w:b w:val="false"/>
          <w:color w:val="000000"/>
          <w:sz w:val="24"/>
        </w:rPr>
        <w:t>Section 3.16.    </w:t>
      </w:r>
      <w:r>
        <w:rPr>
          <w:rFonts w:ascii="Times New Roman;serif" w:hAnsi="Times New Roman;serif"/>
          <w:b w:val="false"/>
          <w:color w:val="000000"/>
          <w:sz w:val="24"/>
          <w:u w:val="single"/>
        </w:rPr>
        <w:t>Payment of Taxes</w:t>
      </w:r>
      <w:r>
        <w:rPr>
          <w:rFonts w:ascii="Times New Roman;serif" w:hAnsi="Times New Roman;serif"/>
          <w:b w:val="false"/>
          <w:color w:val="000000"/>
          <w:sz w:val="24"/>
        </w:rPr>
        <w:t>. Each of Parent and its Restricted Subsidiaries has timely filed or caused to be filed all Tax returns and reports required to have been filed by it and has paid or caused to be paid when due all Taxes required to have been paid by it, except and solely to the extent that, in each case (a) such Taxes are being contested in good faith by appropriate proceedings or (b) the failure to do so could not reasonably be expected to result in a Material Adverse Effect.</w:t>
      </w:r>
    </w:p>
    <w:p>
      <w:pPr>
        <w:pStyle w:val="TextBody"/>
        <w:bidi w:val="0"/>
        <w:spacing w:lineRule="auto" w:line="288" w:before="240" w:after="283"/>
        <w:ind w:left="0" w:right="0" w:firstLine="720"/>
        <w:jc w:val="left"/>
        <w:rPr/>
      </w:pPr>
      <w:bookmarkStart w:id="206" w:name="i925cbcee748d45a685c334af4b7638fb"/>
      <w:bookmarkEnd w:id="206"/>
      <w:r>
        <w:rPr>
          <w:rFonts w:ascii="Times New Roman;serif" w:hAnsi="Times New Roman;serif"/>
          <w:b w:val="false"/>
          <w:color w:val="000000"/>
          <w:sz w:val="24"/>
        </w:rPr>
        <w:t>Section 3.17.    </w:t>
      </w:r>
      <w:r>
        <w:rPr>
          <w:rFonts w:ascii="Times New Roman;serif" w:hAnsi="Times New Roman;serif"/>
          <w:b w:val="false"/>
          <w:color w:val="000000"/>
          <w:sz w:val="24"/>
          <w:u w:val="single"/>
        </w:rPr>
        <w:t>Anti-Corruption Laws and Sanctions</w:t>
      </w:r>
      <w:r>
        <w:rPr>
          <w:rFonts w:ascii="Times New Roman;serif" w:hAnsi="Times New Roman;serif"/>
          <w:b w:val="false"/>
          <w:color w:val="000000"/>
          <w:sz w:val="24"/>
        </w:rPr>
        <w:t>. Parent has implemented and maintains in effect policies and procedures intended to promote compliance by Parent, its Subsidiaries and, when acting in such capacity, their respective directors, officers, employees and agents with Anti-Corruption Laws and applicable Sanctions, and Parent and its Subsidiaries are in compliance with Anti-Corruption Laws and applicable Sanctions in all material respects. None of Parent, any of its Subsidiaries or to the knowledge of Parent any of their respective directors or officers is a Sanctioned Person.</w:t>
      </w:r>
    </w:p>
    <w:p>
      <w:pPr>
        <w:pStyle w:val="TextBody"/>
        <w:bidi w:val="0"/>
        <w:spacing w:lineRule="auto" w:line="288" w:before="240" w:after="283"/>
        <w:jc w:val="center"/>
        <w:rPr>
          <w:rFonts w:ascii="Times New Roman;serif" w:hAnsi="Times New Roman;serif"/>
          <w:b/>
          <w:color w:val="000000"/>
          <w:sz w:val="24"/>
        </w:rPr>
      </w:pPr>
      <w:bookmarkStart w:id="207" w:name="i4799bd7c60a84d62a907289b359d14a9"/>
      <w:bookmarkEnd w:id="207"/>
      <w:r>
        <w:rPr>
          <w:rFonts w:ascii="Times New Roman;serif" w:hAnsi="Times New Roman;serif"/>
          <w:b/>
          <w:color w:val="000000"/>
          <w:sz w:val="24"/>
        </w:rPr>
        <w:t>SECTION 4.</w:t>
        <w:br/>
        <w:br/>
        <w:t>CONDITIONS OF LENDING</w:t>
      </w:r>
    </w:p>
    <w:p>
      <w:pPr>
        <w:pStyle w:val="TextBody"/>
        <w:bidi w:val="0"/>
        <w:spacing w:lineRule="auto" w:line="288" w:before="240" w:after="283"/>
        <w:ind w:left="0" w:right="0" w:firstLine="720"/>
        <w:jc w:val="left"/>
        <w:rPr/>
      </w:pPr>
      <w:bookmarkStart w:id="208" w:name="id24ef274b5924366b6ba73d84838dd93"/>
      <w:bookmarkEnd w:id="208"/>
      <w:r>
        <w:rPr>
          <w:rFonts w:ascii="Times New Roman;serif" w:hAnsi="Times New Roman;serif"/>
          <w:b w:val="false"/>
          <w:color w:val="000000"/>
          <w:sz w:val="24"/>
        </w:rPr>
        <w:t>Section 4.01.    </w:t>
      </w:r>
      <w:r>
        <w:rPr>
          <w:rFonts w:ascii="Times New Roman;serif" w:hAnsi="Times New Roman;serif"/>
          <w:b w:val="false"/>
          <w:color w:val="000000"/>
          <w:sz w:val="24"/>
          <w:u w:val="single"/>
        </w:rPr>
        <w:t>Conditions Precedent to Closing</w:t>
      </w:r>
      <w:r>
        <w:rPr>
          <w:rFonts w:ascii="Times New Roman;serif" w:hAnsi="Times New Roman;serif"/>
          <w:b w:val="false"/>
          <w:color w:val="000000"/>
          <w:sz w:val="24"/>
        </w:rPr>
        <w:t xml:space="preserve">. This Agreement shall become effective on the date on which the following conditions precedent shall have been satisfied (or waived by the Lenders in accordance with </w:t>
      </w:r>
      <w:r>
        <w:rPr>
          <w:rFonts w:ascii="Times New Roman;serif" w:hAnsi="Times New Roman;serif"/>
          <w:b w:val="false"/>
          <w:color w:val="000000"/>
          <w:sz w:val="24"/>
          <w:u w:val="single"/>
        </w:rPr>
        <w:t>Section 10.08</w:t>
      </w:r>
      <w:r>
        <w:rPr>
          <w:color w:val="000000"/>
        </w:rPr>
        <w:t xml:space="preserve"> </w:t>
      </w:r>
      <w:r>
        <w:rPr>
          <w:rFonts w:ascii="Times New Roman;serif" w:hAnsi="Times New Roman;serif"/>
          <w:b w:val="false"/>
          <w:color w:val="000000"/>
          <w:sz w:val="24"/>
        </w:rPr>
        <w:t>and by the Administrative Agent):</w:t>
      </w:r>
    </w:p>
    <w:p>
      <w:pPr>
        <w:pStyle w:val="TextBody"/>
        <w:bidi w:val="0"/>
        <w:spacing w:lineRule="auto" w:line="288" w:before="240" w:after="283"/>
        <w:ind w:left="0" w:right="0" w:firstLine="720"/>
        <w:jc w:val="left"/>
        <w:rPr/>
      </w:pPr>
      <w:bookmarkStart w:id="209" w:name="ia046e4fc6bd14fcf87819854566e86cf"/>
      <w:bookmarkEnd w:id="209"/>
      <w:r>
        <w:rPr>
          <w:rFonts w:ascii="Times New Roman;serif" w:hAnsi="Times New Roman;serif"/>
          <w:b w:val="false"/>
          <w:color w:val="000000"/>
          <w:sz w:val="24"/>
        </w:rPr>
        <w:t>(a)    </w:t>
      </w:r>
      <w:r>
        <w:rPr>
          <w:rFonts w:ascii="Times New Roman;serif" w:hAnsi="Times New Roman;serif"/>
          <w:b w:val="false"/>
          <w:color w:val="000000"/>
          <w:sz w:val="24"/>
          <w:u w:val="single"/>
        </w:rPr>
        <w:t>Supporting Documents</w:t>
      </w:r>
      <w:r>
        <w:rPr>
          <w:rFonts w:ascii="Times New Roman;serif" w:hAnsi="Times New Roman;serif"/>
          <w:b w:val="false"/>
          <w:color w:val="000000"/>
          <w:sz w:val="24"/>
        </w:rPr>
        <w:t>. The Administrative Agent shall have received with respect to the Borrower and the Guarantors in form and substance reasonably satisfactory to the Administrative Agent: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10" w:name="i1720d96e0e2147d8b7693f31e6b0c2b3"/>
      <w:bookmarkEnd w:id="210"/>
      <w:r>
        <w:rPr>
          <w:rFonts w:ascii="Times New Roman;serif" w:hAnsi="Times New Roman;serif"/>
          <w:b w:val="false"/>
          <w:color w:val="000000"/>
          <w:sz w:val="24"/>
        </w:rPr>
        <w:t>(i)    a certificate of the Secretary of State of the state of such entity’s incorporation or formation, dated as of a recent date, as to the good standing of that entity (to the extent available in the applicable jurisdiction) and as to the charter documents on file in the office of such Secretary of State;</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11" w:name="id7117aba3698458289b5405115979a8f"/>
      <w:bookmarkEnd w:id="211"/>
      <w:r>
        <w:rPr>
          <w:rFonts w:ascii="Times New Roman;serif" w:hAnsi="Times New Roman;serif"/>
          <w:b w:val="false"/>
          <w:color w:val="000000"/>
          <w:sz w:val="24"/>
        </w:rPr>
        <w:t xml:space="preserve">(ii)    a certificate of the Secretary or an Assistant Secretary (or similar officer), of such entity dated the Closing Date and certifying (A) that attached thereto is a true and complete copy of the certificate of incorporation or formation and the by-laws or limited </w:t>
      </w:r>
    </w:p>
    <w:p>
      <w:pPr>
        <w:pStyle w:val="TextBody"/>
        <w:bidi w:val="0"/>
        <w:spacing w:before="0" w:after="0"/>
        <w:jc w:val="center"/>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25145"/>
                <wp:effectExtent l="0" t="0" r="0" b="0"/>
                <wp:wrapNone/>
                <wp:docPr id="132" name="Frame13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liability company or other operating agreement (as the case may be) of that entity as in effect on the date of such certification, (B) that attached thereto is a true and complete copy of resolutions adopted by the board of directors, board of managers or members of that entity authorizing the Borrowings and Letter of Credit issuances hereunder, the execution, delivery and performance in accordance with their respective terms of this Agreement, the other Loan Documents and any other documents required or contemplated hereunder or thereunder, and the granting of the security interest in the Letter of Credit Account and other Liens contemplated hereby or the other Loan Documents (in each case to the extent applicable to such entity), (C) that the certificate of incorporation or formation of that entity has not been amended since the date of the last amendment thereto indicated on the certificate of the Secretary of State furnished pursuant to clause (i) above, and (D) as to the incumbency and specimen signature of each officer of that entity executing this Agreement and the Loan Documents or any other document delivered by it in connection herewith or therewith (such certificate to contain a certification by another officer of that entity as to the incumbency and signature of the officer signing the certificate referred to in this </w:t>
      </w:r>
      <w:r>
        <w:rPr>
          <w:rFonts w:ascii="Times New Roman;serif" w:hAnsi="Times New Roman;serif"/>
          <w:b w:val="false"/>
          <w:color w:val="000000"/>
          <w:sz w:val="24"/>
          <w:u w:val="single"/>
        </w:rPr>
        <w:t>clause (ii)</w:t>
      </w:r>
      <w:r>
        <w:rPr>
          <w:rFonts w:ascii="Times New Roman;serif" w:hAnsi="Times New Roman;serif"/>
          <w:b w:val="false"/>
          <w:color w:val="000000"/>
          <w:sz w:val="24"/>
        </w:rPr>
        <w:t>); and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12" w:name="i81d4ce1c75764c2b94d9f969a60b6e44"/>
      <w:bookmarkEnd w:id="212"/>
      <w:r>
        <w:rPr>
          <w:rFonts w:ascii="Times New Roman;serif" w:hAnsi="Times New Roman;serif"/>
          <w:b w:val="false"/>
          <w:color w:val="000000"/>
          <w:sz w:val="24"/>
        </w:rPr>
        <w:t>(iii)    an Officer’s Certificate from the Borrower certifying (A) as to the truth in all material respects of the representations and warranties made by it contained in the Loan Documents as though made on the Closing Date, except to the extent that any such representation or warranty relates to a specified date, in which case as of such date (provided that any representation or warranty that is qualified by materiality, “Material Adverse Change” or “Material Adverse Effect” shall be true and correct in all respects as of the applicable date, before and after giving effect to the Closing Date Transactions) and (B) as to the absence of any event occurring and continuing, or resulting from the Closing Date Transactions, that constitutes an Event of Default.</w:t>
      </w:r>
    </w:p>
    <w:p>
      <w:pPr>
        <w:pStyle w:val="TextBody"/>
        <w:bidi w:val="0"/>
        <w:spacing w:lineRule="auto" w:line="288" w:before="240" w:after="283"/>
        <w:ind w:left="0" w:right="0" w:firstLine="720"/>
        <w:jc w:val="left"/>
        <w:rPr/>
      </w:pPr>
      <w:bookmarkStart w:id="213" w:name="ibcebcb70117e4b77900bf407d9e4e069"/>
      <w:bookmarkEnd w:id="213"/>
      <w:r>
        <w:rPr>
          <w:rFonts w:ascii="Times New Roman;serif" w:hAnsi="Times New Roman;serif"/>
          <w:b w:val="false"/>
          <w:color w:val="000000"/>
          <w:sz w:val="24"/>
        </w:rPr>
        <w:t>(b)    </w:t>
      </w:r>
      <w:r>
        <w:rPr>
          <w:rFonts w:ascii="Times New Roman;serif" w:hAnsi="Times New Roman;serif"/>
          <w:b w:val="false"/>
          <w:color w:val="000000"/>
          <w:sz w:val="24"/>
          <w:u w:val="single"/>
        </w:rPr>
        <w:t>Credit Agreement</w:t>
      </w:r>
      <w:r>
        <w:rPr>
          <w:rFonts w:ascii="Times New Roman;serif" w:hAnsi="Times New Roman;serif"/>
          <w:b w:val="false"/>
          <w:color w:val="000000"/>
          <w:sz w:val="24"/>
        </w:rPr>
        <w:t>. Each party hereto shall have duly executed and delivered to the Administrative Agent this Agreement.</w:t>
      </w:r>
    </w:p>
    <w:p>
      <w:pPr>
        <w:pStyle w:val="TextBody"/>
        <w:bidi w:val="0"/>
        <w:spacing w:lineRule="auto" w:line="288" w:before="240" w:after="283"/>
        <w:ind w:left="0" w:right="0" w:firstLine="720"/>
        <w:jc w:val="left"/>
        <w:rPr/>
      </w:pPr>
      <w:bookmarkStart w:id="214" w:name="i849991e63c47416289ec76a99158f5e1"/>
      <w:bookmarkEnd w:id="214"/>
      <w:r>
        <w:rPr>
          <w:rFonts w:ascii="Times New Roman;serif" w:hAnsi="Times New Roman;serif"/>
          <w:b w:val="false"/>
          <w:color w:val="000000"/>
          <w:sz w:val="24"/>
        </w:rPr>
        <w:t>(c)    </w:t>
      </w:r>
      <w:r>
        <w:rPr>
          <w:rFonts w:ascii="Times New Roman;serif" w:hAnsi="Times New Roman;serif"/>
          <w:b w:val="false"/>
          <w:color w:val="000000"/>
          <w:sz w:val="24"/>
          <w:u w:val="single"/>
        </w:rPr>
        <w:t>Priority Lien Officer’s Certificate</w:t>
      </w:r>
      <w:r>
        <w:rPr>
          <w:rFonts w:ascii="Times New Roman;serif" w:hAnsi="Times New Roman;serif"/>
          <w:b w:val="false"/>
          <w:color w:val="000000"/>
          <w:sz w:val="24"/>
        </w:rPr>
        <w:t xml:space="preserve">. The Collateral Trustee shall have received an Officer’s Certificate dated the Second Amendment Closing Date, substantially in the form attached hereto at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delivered pursuant to </w:t>
      </w:r>
      <w:r>
        <w:rPr>
          <w:rFonts w:ascii="Times New Roman;serif" w:hAnsi="Times New Roman;serif"/>
          <w:b w:val="false"/>
          <w:color w:val="000000"/>
          <w:sz w:val="24"/>
          <w:u w:val="single"/>
        </w:rPr>
        <w:t>clause (2)(c)</w:t>
      </w:r>
      <w:r>
        <w:rPr>
          <w:color w:val="000000"/>
        </w:rPr>
        <w:t xml:space="preserve"> </w:t>
      </w:r>
      <w:r>
        <w:rPr>
          <w:rFonts w:ascii="Times New Roman;serif" w:hAnsi="Times New Roman;serif"/>
          <w:b w:val="false"/>
          <w:color w:val="000000"/>
          <w:sz w:val="24"/>
        </w:rPr>
        <w:t xml:space="preserve">of the definition of “Priority Lien Debt” in each of the Collateral Trust Agreement and the Indenture. </w:t>
      </w:r>
    </w:p>
    <w:p>
      <w:pPr>
        <w:pStyle w:val="TextBody"/>
        <w:bidi w:val="0"/>
        <w:spacing w:lineRule="auto" w:line="288" w:before="240" w:after="283"/>
        <w:ind w:left="0" w:right="0" w:firstLine="720"/>
        <w:jc w:val="left"/>
        <w:rPr/>
      </w:pPr>
      <w:bookmarkStart w:id="215" w:name="i0017121137ca45588f7ada5e156e33a1"/>
      <w:bookmarkEnd w:id="215"/>
      <w:r>
        <w:rPr>
          <w:rFonts w:ascii="Times New Roman;serif" w:hAnsi="Times New Roman;serif"/>
          <w:b w:val="false"/>
          <w:color w:val="000000"/>
          <w:sz w:val="24"/>
        </w:rPr>
        <w:t>(d)    </w:t>
      </w:r>
      <w:r>
        <w:rPr>
          <w:rFonts w:ascii="Times New Roman;serif" w:hAnsi="Times New Roman;serif"/>
          <w:b w:val="false"/>
          <w:color w:val="000000"/>
          <w:sz w:val="24"/>
          <w:u w:val="single"/>
        </w:rPr>
        <w:t>Appraisal</w:t>
      </w:r>
      <w:r>
        <w:rPr>
          <w:rFonts w:ascii="Times New Roman;serif" w:hAnsi="Times New Roman;serif"/>
          <w:b w:val="false"/>
          <w:color w:val="000000"/>
          <w:sz w:val="24"/>
        </w:rPr>
        <w:t xml:space="preserve">. The Administrative Agent shall have received the Initial Appraisals and such Initial Appraisals shall demonstrate that, on the Closing Date and after giving effect thereto, the Collateral Coverage Test shall be satisfied on a </w:t>
      </w:r>
      <w:r>
        <w:rPr>
          <w:rFonts w:ascii="Times New Roman;serif" w:hAnsi="Times New Roman;serif"/>
          <w:b w:val="false"/>
          <w:i/>
          <w:color w:val="000000"/>
          <w:sz w:val="24"/>
        </w:rPr>
        <w:t xml:space="preserve">pro forma </w:t>
      </w:r>
      <w:r>
        <w:rPr>
          <w:rFonts w:ascii="Times New Roman;serif" w:hAnsi="Times New Roman;serif"/>
          <w:b w:val="false"/>
          <w:color w:val="000000"/>
          <w:sz w:val="24"/>
        </w:rPr>
        <w:t>basis.</w:t>
      </w:r>
    </w:p>
    <w:p>
      <w:pPr>
        <w:pStyle w:val="TextBody"/>
        <w:bidi w:val="0"/>
        <w:spacing w:lineRule="auto" w:line="288" w:before="240" w:after="283"/>
        <w:ind w:left="0" w:right="0" w:firstLine="720"/>
        <w:jc w:val="left"/>
        <w:rPr/>
      </w:pPr>
      <w:bookmarkStart w:id="216" w:name="i90df2a832f0c46a88573a1f43d6650bc"/>
      <w:bookmarkEnd w:id="216"/>
      <w:r>
        <w:rPr>
          <w:rFonts w:ascii="Times New Roman;serif" w:hAnsi="Times New Roman;serif"/>
          <w:b w:val="false"/>
          <w:color w:val="000000"/>
          <w:sz w:val="24"/>
        </w:rPr>
        <w:t>(e)    </w:t>
      </w:r>
      <w:r>
        <w:rPr>
          <w:rFonts w:ascii="Times New Roman;serif" w:hAnsi="Times New Roman;serif"/>
          <w:b w:val="false"/>
          <w:color w:val="000000"/>
          <w:sz w:val="24"/>
          <w:u w:val="single"/>
        </w:rPr>
        <w:t>Opinions of Counsel</w:t>
      </w:r>
      <w:r>
        <w:rPr>
          <w:rFonts w:ascii="Times New Roman;serif" w:hAnsi="Times New Roman;serif"/>
          <w:b w:val="false"/>
          <w:color w:val="000000"/>
          <w:sz w:val="24"/>
        </w:rPr>
        <w:t>. The Administrative Agent and the Lenders shall have received: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17" w:name="i814dc58a9f53419fb1f5183e2e646481"/>
      <w:bookmarkEnd w:id="217"/>
      <w:r>
        <w:rPr>
          <w:rFonts w:ascii="Times New Roman;serif" w:hAnsi="Times New Roman;serif"/>
          <w:b w:val="false"/>
          <w:color w:val="000000"/>
          <w:sz w:val="24"/>
        </w:rPr>
        <w:t>(i)    a written opinion of David Olaussen, Assistant General Counsel–Corporate Transactions for the Borrower, dated the Closing Date, in a form and substance reasonably satisfactory to the Administrative Agent and the Lenders;</w:t>
      </w:r>
    </w:p>
    <w:p>
      <w:pPr>
        <w:pStyle w:val="TextBody"/>
        <w:bidi w:val="0"/>
        <w:spacing w:before="0" w:after="0"/>
        <w:jc w:val="center"/>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525145"/>
                <wp:effectExtent l="0" t="0" r="0" b="0"/>
                <wp:wrapNone/>
                <wp:docPr id="133" name="Frame13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18" w:name="ibc47a679fe0e4981830e58dcdb3f6721"/>
      <w:bookmarkEnd w:id="218"/>
      <w:r>
        <w:rPr>
          <w:rFonts w:ascii="Times New Roman;serif" w:hAnsi="Times New Roman;serif"/>
          <w:b w:val="false"/>
          <w:color w:val="000000"/>
          <w:sz w:val="24"/>
        </w:rPr>
        <w:t>(ii)    a written opinion of Hughes Hubbard &amp; Reed LLP, special New York counsel to the Borrower and the Guarantors, dated the Closing Date, in form and substance reasonably satisfactory to the Administrative Agent and the Lenders; and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19" w:name="i94a898b3042d4ab5b226092433d84799"/>
      <w:bookmarkEnd w:id="219"/>
      <w:r>
        <w:rPr>
          <w:rFonts w:ascii="Times New Roman;serif" w:hAnsi="Times New Roman;serif"/>
          <w:b w:val="false"/>
          <w:color w:val="000000"/>
          <w:sz w:val="24"/>
        </w:rPr>
        <w:t>(iii)    a written opinion of Milbank LLP, special New York counsel to the Administrative Agent, dated the Closing Date, in form and substance reasonably satisfactory to the Administrative Agent.</w:t>
      </w:r>
    </w:p>
    <w:p>
      <w:pPr>
        <w:pStyle w:val="TextBody"/>
        <w:bidi w:val="0"/>
        <w:spacing w:lineRule="auto" w:line="288" w:before="240" w:after="283"/>
        <w:ind w:left="0" w:right="0" w:firstLine="720"/>
        <w:jc w:val="left"/>
        <w:rPr/>
      </w:pPr>
      <w:bookmarkStart w:id="220" w:name="i075966e7a9de429f9a0ff4d87337238b"/>
      <w:bookmarkEnd w:id="220"/>
      <w:r>
        <w:rPr>
          <w:rFonts w:ascii="Times New Roman;serif" w:hAnsi="Times New Roman;serif"/>
          <w:b w:val="false"/>
          <w:color w:val="000000"/>
          <w:sz w:val="24"/>
        </w:rPr>
        <w:t>(f)    </w:t>
      </w:r>
      <w:r>
        <w:rPr>
          <w:rFonts w:ascii="Times New Roman;serif" w:hAnsi="Times New Roman;serif"/>
          <w:b w:val="false"/>
          <w:color w:val="000000"/>
          <w:sz w:val="24"/>
          <w:u w:val="single"/>
        </w:rPr>
        <w:t>Payment of Fees and Expenses</w:t>
      </w:r>
      <w:r>
        <w:rPr>
          <w:rFonts w:ascii="Times New Roman;serif" w:hAnsi="Times New Roman;serif"/>
          <w:b w:val="false"/>
          <w:color w:val="000000"/>
          <w:sz w:val="24"/>
        </w:rPr>
        <w:t xml:space="preserve">. The Borrower shall have paid to the Administrative Agent, the Collateral Trustee, the Arranger Parties and the Lenders the then unpaid balance of all accrued and unpaid Fees due, owing and payable under and pursuant to this Agreement, as referred to in </w:t>
      </w:r>
      <w:r>
        <w:rPr>
          <w:rFonts w:ascii="Times New Roman;serif" w:hAnsi="Times New Roman;serif"/>
          <w:b w:val="false"/>
          <w:color w:val="000000"/>
          <w:sz w:val="24"/>
          <w:u w:val="single"/>
        </w:rPr>
        <w:t>Sections 2.19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2.20</w:t>
      </w:r>
      <w:r>
        <w:rPr>
          <w:rFonts w:ascii="Times New Roman;serif" w:hAnsi="Times New Roman;serif"/>
          <w:b w:val="false"/>
          <w:color w:val="000000"/>
          <w:sz w:val="24"/>
        </w:rPr>
        <w:t>, and all reasonable and documented out-of-pocket expenses of the Administrative Agent and the Collateral Trustee (including reasonable attorneys’ fees of Milbank LLP) for which invoices have been presented at least one Business Day prior to the Closing Date.</w:t>
      </w:r>
    </w:p>
    <w:p>
      <w:pPr>
        <w:pStyle w:val="TextBody"/>
        <w:bidi w:val="0"/>
        <w:spacing w:lineRule="auto" w:line="288" w:before="240" w:after="283"/>
        <w:ind w:left="0" w:right="0" w:firstLine="720"/>
        <w:jc w:val="left"/>
        <w:rPr/>
      </w:pPr>
      <w:bookmarkStart w:id="221" w:name="i0172e4fc5609424ebcd43c8296c60b4a"/>
      <w:bookmarkEnd w:id="221"/>
      <w:r>
        <w:rPr>
          <w:rFonts w:ascii="Times New Roman;serif" w:hAnsi="Times New Roman;serif"/>
          <w:b w:val="false"/>
          <w:color w:val="000000"/>
          <w:sz w:val="24"/>
        </w:rPr>
        <w:t>(g)    </w:t>
      </w:r>
      <w:r>
        <w:rPr>
          <w:rFonts w:ascii="Times New Roman;serif" w:hAnsi="Times New Roman;serif"/>
          <w:b w:val="false"/>
          <w:color w:val="000000"/>
          <w:sz w:val="24"/>
          <w:u w:val="single"/>
        </w:rPr>
        <w:t>Lien Searches</w:t>
      </w:r>
      <w:r>
        <w:rPr>
          <w:rFonts w:ascii="Times New Roman;serif" w:hAnsi="Times New Roman;serif"/>
          <w:b w:val="false"/>
          <w:color w:val="000000"/>
          <w:sz w:val="24"/>
        </w:rPr>
        <w:t>. The Administrative Agent shall have received UCC searches conducted in the jurisdictions in which the Borrower is incorporated or such other jurisdictions as the Administrative Agent may reasonably require, reflecting the absence of Liens and encumbrances on the assets of the Borrower to be pledged as Collateral on the Closing Date, other than Permitted Liens.</w:t>
      </w:r>
    </w:p>
    <w:p>
      <w:pPr>
        <w:pStyle w:val="TextBody"/>
        <w:bidi w:val="0"/>
        <w:spacing w:lineRule="auto" w:line="288" w:before="240" w:after="283"/>
        <w:ind w:left="0" w:right="0" w:firstLine="720"/>
        <w:jc w:val="left"/>
        <w:rPr/>
      </w:pPr>
      <w:bookmarkStart w:id="222" w:name="i1c1e00c78cdb4c5b91d0784d19b45fcb"/>
      <w:bookmarkEnd w:id="222"/>
      <w:r>
        <w:rPr>
          <w:rFonts w:ascii="Times New Roman;serif" w:hAnsi="Times New Roman;serif"/>
          <w:b w:val="false"/>
          <w:color w:val="000000"/>
          <w:sz w:val="24"/>
        </w:rPr>
        <w:t>(h)    </w:t>
      </w:r>
      <w:r>
        <w:rPr>
          <w:rFonts w:ascii="Times New Roman;serif" w:hAnsi="Times New Roman;serif"/>
          <w:b w:val="false"/>
          <w:color w:val="000000"/>
          <w:sz w:val="24"/>
          <w:u w:val="single"/>
        </w:rPr>
        <w:t>Consents</w:t>
      </w:r>
      <w:r>
        <w:rPr>
          <w:rFonts w:ascii="Times New Roman;serif" w:hAnsi="Times New Roman;serif"/>
          <w:b w:val="false"/>
          <w:color w:val="000000"/>
          <w:sz w:val="24"/>
        </w:rPr>
        <w:t>. All material governmental and third party consents and approvals necessary in connection with the financing contemplated hereby shall have been obtained, in form and substance reasonably satisfactory to the Administrative Agent, and be in full force and effect.</w:t>
      </w:r>
    </w:p>
    <w:p>
      <w:pPr>
        <w:pStyle w:val="TextBody"/>
        <w:bidi w:val="0"/>
        <w:spacing w:lineRule="auto" w:line="288" w:before="240" w:after="283"/>
        <w:ind w:left="0" w:right="0" w:firstLine="720"/>
        <w:jc w:val="left"/>
        <w:rPr/>
      </w:pPr>
      <w:bookmarkStart w:id="223" w:name="i7dd1843a963a4395afcc0d9125b5d31c"/>
      <w:bookmarkEnd w:id="223"/>
      <w:r>
        <w:rPr>
          <w:rFonts w:ascii="Times New Roman;serif" w:hAnsi="Times New Roman;serif"/>
          <w:b w:val="false"/>
          <w:color w:val="000000"/>
          <w:sz w:val="24"/>
        </w:rPr>
        <w:t>(i)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xml:space="preserve">. All representations and warranties of the Borrower and the Guarantors contained in this Agreement and the other Loan Documents executed and delivered on the Closing Date shall be true and correct in all material respects on and as of the Closing Date, before and after giving effect to the Closing Date Transactions, as though made on and as of such date (except to the extent any such representation or warranty by its terms is made as of a different specified date, in which case as of such specified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representation or warranty that is qualified by materiality, “Material Adverse Change” or “Material Adverse Effect” shall be true and correct in all respects, as though made on and as of the applicable date, before and after giving effect to the Closing Date Transactions.</w:t>
      </w:r>
    </w:p>
    <w:p>
      <w:pPr>
        <w:pStyle w:val="TextBody"/>
        <w:bidi w:val="0"/>
        <w:spacing w:lineRule="auto" w:line="288" w:before="240" w:after="283"/>
        <w:ind w:left="0" w:right="0" w:firstLine="720"/>
        <w:jc w:val="left"/>
        <w:rPr/>
      </w:pPr>
      <w:bookmarkStart w:id="224" w:name="ib1f2efa0f24f43b4971587b79ffee684"/>
      <w:bookmarkEnd w:id="224"/>
      <w:r>
        <w:rPr>
          <w:rFonts w:ascii="Times New Roman;serif" w:hAnsi="Times New Roman;serif"/>
          <w:b w:val="false"/>
          <w:color w:val="000000"/>
          <w:sz w:val="24"/>
        </w:rPr>
        <w:t>(j)    </w:t>
      </w:r>
      <w:r>
        <w:rPr>
          <w:rFonts w:ascii="Times New Roman;serif" w:hAnsi="Times New Roman;serif"/>
          <w:b w:val="false"/>
          <w:color w:val="000000"/>
          <w:sz w:val="24"/>
          <w:u w:val="single"/>
        </w:rPr>
        <w:t>No Event of Default</w:t>
      </w:r>
      <w:r>
        <w:rPr>
          <w:rFonts w:ascii="Times New Roman;serif" w:hAnsi="Times New Roman;serif"/>
          <w:b w:val="false"/>
          <w:color w:val="000000"/>
          <w:sz w:val="24"/>
        </w:rPr>
        <w:t>. Before and after giving effect to the Closing Date Transactions, no Event of Default shall have occurred and be continuing on the Closing Date.</w:t>
      </w:r>
    </w:p>
    <w:p>
      <w:pPr>
        <w:pStyle w:val="TextBody"/>
        <w:bidi w:val="0"/>
        <w:spacing w:lineRule="auto" w:line="288" w:before="240" w:after="283"/>
        <w:ind w:left="0" w:right="0" w:firstLine="720"/>
        <w:jc w:val="left"/>
        <w:rPr/>
      </w:pPr>
      <w:bookmarkStart w:id="225" w:name="i941bc7dc4c75469690ce0fc865de6a07"/>
      <w:bookmarkEnd w:id="225"/>
      <w:r>
        <w:rPr>
          <w:rFonts w:ascii="Times New Roman;serif" w:hAnsi="Times New Roman;serif"/>
          <w:b w:val="false"/>
          <w:color w:val="000000"/>
          <w:sz w:val="24"/>
        </w:rPr>
        <w:t>(k)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226" w:name="i2d8386f906034864b6cc6d4606d3cbed"/>
      <w:bookmarkEnd w:id="226"/>
      <w:r>
        <w:rPr>
          <w:rFonts w:ascii="Times New Roman;serif" w:hAnsi="Times New Roman;serif"/>
          <w:b w:val="false"/>
          <w:color w:val="000000"/>
          <w:sz w:val="24"/>
        </w:rPr>
        <w:t>(l)    </w:t>
      </w:r>
      <w:r>
        <w:rPr>
          <w:rFonts w:ascii="Times New Roman;serif" w:hAnsi="Times New Roman;serif"/>
          <w:b w:val="false"/>
          <w:color w:val="000000"/>
          <w:sz w:val="24"/>
          <w:u w:val="single"/>
        </w:rPr>
        <w:t>Patriot Act</w:t>
      </w:r>
      <w:r>
        <w:rPr>
          <w:rFonts w:ascii="Times New Roman;serif" w:hAnsi="Times New Roman;serif"/>
          <w:b w:val="false"/>
          <w:color w:val="000000"/>
          <w:sz w:val="24"/>
        </w:rPr>
        <w:t xml:space="preserve">. The Lenders shall have received at least five (5) days prior to the Closing Date all documentation and other information required by bank regulatory authorities under applicable “know-your-customer” and anti-money laundering rules and regulations, </w:t>
      </w:r>
    </w:p>
    <w:p>
      <w:pPr>
        <w:pStyle w:val="TextBody"/>
        <w:bidi w:val="0"/>
        <w:spacing w:before="0" w:after="0"/>
        <w:jc w:val="center"/>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525145"/>
                <wp:effectExtent l="0" t="0" r="0" b="0"/>
                <wp:wrapNone/>
                <wp:docPr id="134" name="Frame13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including the Patriot Act, that such Lenders shall have requested from the Borrower or Guarantor prior to such date.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The execution by each Lender of this Agreement shall be deemed to be confirmation by such Lender that any condition relating to such Lender’s satisfaction or reasonable satisfaction with any documentation set forth in this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has been satisfied as to such Lender.</w:t>
      </w:r>
    </w:p>
    <w:p>
      <w:pPr>
        <w:pStyle w:val="TextBody"/>
        <w:bidi w:val="0"/>
        <w:spacing w:lineRule="auto" w:line="288" w:before="240" w:after="283"/>
        <w:ind w:left="0" w:right="0" w:firstLine="720"/>
        <w:jc w:val="left"/>
        <w:rPr/>
      </w:pPr>
      <w:bookmarkStart w:id="227" w:name="id573fc9e00a3463eb13ac0755525a3d9"/>
      <w:bookmarkEnd w:id="227"/>
      <w:r>
        <w:rPr>
          <w:rFonts w:ascii="Times New Roman;serif" w:hAnsi="Times New Roman;serif"/>
          <w:b w:val="false"/>
          <w:color w:val="000000"/>
          <w:sz w:val="24"/>
        </w:rPr>
        <w:t>Section 4.02.    </w:t>
      </w:r>
      <w:r>
        <w:rPr>
          <w:rFonts w:ascii="Times New Roman;serif" w:hAnsi="Times New Roman;serif"/>
          <w:b w:val="false"/>
          <w:color w:val="000000"/>
          <w:sz w:val="24"/>
          <w:u w:val="single"/>
        </w:rPr>
        <w:t>Conditions Precedent to Each Loan and Each Letter of Credit</w:t>
      </w:r>
      <w:r>
        <w:rPr>
          <w:rFonts w:ascii="Times New Roman;serif" w:hAnsi="Times New Roman;serif"/>
          <w:b w:val="false"/>
          <w:color w:val="000000"/>
          <w:sz w:val="24"/>
        </w:rPr>
        <w:t xml:space="preserve">. The obligation of the Lenders to make each Loan and of the Issuing Lenders to issue each Letter of Credit, including the initial Loans and the initial Letters of Credit, is subject to the satisfaction (or waiver in accordance with </w:t>
      </w:r>
      <w:r>
        <w:rPr>
          <w:rFonts w:ascii="Times New Roman;serif" w:hAnsi="Times New Roman;serif"/>
          <w:b w:val="false"/>
          <w:color w:val="000000"/>
          <w:sz w:val="24"/>
          <w:u w:val="single"/>
        </w:rPr>
        <w:t>Section 10.08</w:t>
      </w:r>
      <w:r>
        <w:rPr>
          <w:rFonts w:ascii="Times New Roman;serif" w:hAnsi="Times New Roman;serif"/>
          <w:b w:val="false"/>
          <w:color w:val="000000"/>
          <w:sz w:val="24"/>
        </w:rPr>
        <w:t>) of the following conditions precedent:</w:t>
      </w:r>
    </w:p>
    <w:p>
      <w:pPr>
        <w:pStyle w:val="TextBody"/>
        <w:bidi w:val="0"/>
        <w:spacing w:lineRule="auto" w:line="288" w:before="240" w:after="283"/>
        <w:ind w:left="0" w:right="0" w:firstLine="720"/>
        <w:jc w:val="left"/>
        <w:rPr/>
      </w:pPr>
      <w:bookmarkStart w:id="228" w:name="i5c830c1b19f0442f99ef68dc34460aea"/>
      <w:bookmarkEnd w:id="228"/>
      <w:r>
        <w:rPr>
          <w:rFonts w:ascii="Times New Roman;serif" w:hAnsi="Times New Roman;serif"/>
          <w:b w:val="false"/>
          <w:color w:val="000000"/>
          <w:sz w:val="24"/>
        </w:rPr>
        <w:t>(a)    </w:t>
      </w:r>
      <w:r>
        <w:rPr>
          <w:rFonts w:ascii="Times New Roman;serif" w:hAnsi="Times New Roman;serif"/>
          <w:b w:val="false"/>
          <w:color w:val="000000"/>
          <w:sz w:val="24"/>
          <w:u w:val="single"/>
        </w:rPr>
        <w:t>Notice</w:t>
      </w:r>
      <w:r>
        <w:rPr>
          <w:rFonts w:ascii="Times New Roman;serif" w:hAnsi="Times New Roman;serif"/>
          <w:b w:val="false"/>
          <w:color w:val="000000"/>
          <w:sz w:val="24"/>
        </w:rPr>
        <w:t xml:space="preserve">. The Administrative Agent shall have received a Loan Request pursuant to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 xml:space="preserve">with respect to such Borrowing or a request for issuance of such Letter of Credit pursuant to </w:t>
      </w:r>
      <w:r>
        <w:rPr>
          <w:rFonts w:ascii="Times New Roman;serif" w:hAnsi="Times New Roman;serif"/>
          <w:b w:val="false"/>
          <w:color w:val="000000"/>
          <w:sz w:val="24"/>
          <w:u w:val="single"/>
        </w:rPr>
        <w:t>Section 2.02</w:t>
      </w:r>
      <w:r>
        <w:rPr>
          <w:rFonts w:ascii="Times New Roman;serif" w:hAnsi="Times New Roman;serif"/>
          <w:b w:val="false"/>
          <w:color w:val="000000"/>
          <w:sz w:val="24"/>
        </w:rPr>
        <w:t>, as the case may be.</w:t>
      </w:r>
    </w:p>
    <w:p>
      <w:pPr>
        <w:pStyle w:val="TextBody"/>
        <w:bidi w:val="0"/>
        <w:spacing w:lineRule="auto" w:line="288" w:before="240" w:after="283"/>
        <w:ind w:left="0" w:right="0" w:firstLine="720"/>
        <w:jc w:val="left"/>
        <w:rPr/>
      </w:pPr>
      <w:bookmarkStart w:id="229" w:name="ia4c8b8b249b2404db506a7f355de0f06"/>
      <w:bookmarkEnd w:id="229"/>
      <w:r>
        <w:rPr>
          <w:rFonts w:ascii="Times New Roman;serif" w:hAnsi="Times New Roman;serif"/>
          <w:b w:val="false"/>
          <w:color w:val="000000"/>
          <w:sz w:val="24"/>
        </w:rPr>
        <w:t>(b)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xml:space="preserve">. All representations and warranties of the Borrower and the Guarantors contained in this Agreement and the other Loan Documents (other than, with respect to Loans made or Letters of Credit issued after the Closing Date, the representations and warranties set forth in </w:t>
      </w:r>
      <w:r>
        <w:rPr>
          <w:rFonts w:ascii="Times New Roman;serif" w:hAnsi="Times New Roman;serif"/>
          <w:b w:val="false"/>
          <w:color w:val="000000"/>
          <w:sz w:val="24"/>
          <w:u w:val="single"/>
        </w:rPr>
        <w:t>Sections 3.05(b)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3.09(a)</w:t>
      </w:r>
      <w:r>
        <w:rPr>
          <w:rFonts w:ascii="Times New Roman;serif" w:hAnsi="Times New Roman;serif"/>
          <w:b w:val="false"/>
          <w:color w:val="000000"/>
          <w:sz w:val="24"/>
        </w:rPr>
        <w:t xml:space="preserve">) shall be true and correct in all material respects on and as of the date of such Loan or the issuance of such Letter of Credit hereunder (both before and after giving effect thereto and, in the case of each Loan, the application of proceeds therefrom) with the same effect as if made on and as of such date except to the extent such representations and warranties expressly relate to an earlier date and in such case as of such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representation or warranty that is qualified by materiality, “Material Adverse Change” or “Material Adverse Effect” shall be true and correct in all respects, as though made on and as of the applicable date, before and after giving effect to such Loan or the issuance of such Letter of Credit hereunder.</w:t>
      </w:r>
    </w:p>
    <w:p>
      <w:pPr>
        <w:pStyle w:val="TextBody"/>
        <w:bidi w:val="0"/>
        <w:spacing w:lineRule="auto" w:line="288" w:before="240" w:after="283"/>
        <w:ind w:left="0" w:right="0" w:firstLine="720"/>
        <w:jc w:val="left"/>
        <w:rPr/>
      </w:pPr>
      <w:bookmarkStart w:id="230" w:name="i5d9f9ce4be774cbf8f5870dfe76020c5"/>
      <w:bookmarkEnd w:id="230"/>
      <w:r>
        <w:rPr>
          <w:rFonts w:ascii="Times New Roman;serif" w:hAnsi="Times New Roman;serif"/>
          <w:b w:val="false"/>
          <w:color w:val="000000"/>
          <w:sz w:val="24"/>
        </w:rPr>
        <w:t>(c)    </w:t>
      </w:r>
      <w:r>
        <w:rPr>
          <w:rFonts w:ascii="Times New Roman;serif" w:hAnsi="Times New Roman;serif"/>
          <w:b w:val="false"/>
          <w:color w:val="000000"/>
          <w:sz w:val="24"/>
          <w:u w:val="single"/>
        </w:rPr>
        <w:t>No Default</w:t>
      </w:r>
      <w:r>
        <w:rPr>
          <w:rFonts w:ascii="Times New Roman;serif" w:hAnsi="Times New Roman;serif"/>
          <w:b w:val="false"/>
          <w:color w:val="000000"/>
          <w:sz w:val="24"/>
        </w:rPr>
        <w:t xml:space="preserve">. On the date of such Loan or the issuance of such Letter of Credit hereunder, no (i) Event of Default, (ii) Default under </w:t>
      </w:r>
      <w:r>
        <w:rPr>
          <w:rFonts w:ascii="Times New Roman;serif" w:hAnsi="Times New Roman;serif"/>
          <w:b w:val="false"/>
          <w:color w:val="000000"/>
          <w:sz w:val="24"/>
          <w:u w:val="single"/>
        </w:rPr>
        <w:t>Section 5.01(a)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7.01(e)</w:t>
      </w:r>
      <w:r>
        <w:rPr>
          <w:color w:val="000000"/>
        </w:rPr>
        <w:t xml:space="preserve"> </w:t>
      </w:r>
      <w:r>
        <w:rPr>
          <w:rFonts w:ascii="Times New Roman;serif" w:hAnsi="Times New Roman;serif"/>
          <w:b w:val="false"/>
          <w:color w:val="000000"/>
          <w:sz w:val="24"/>
        </w:rPr>
        <w:t xml:space="preserve">or, to the knowledge of a Responsible Officer of the Borrower, under </w:t>
      </w:r>
      <w:r>
        <w:rPr>
          <w:rFonts w:ascii="Times New Roman;serif" w:hAnsi="Times New Roman;serif"/>
          <w:b w:val="false"/>
          <w:color w:val="000000"/>
          <w:sz w:val="24"/>
          <w:u w:val="single"/>
        </w:rPr>
        <w:t>Section 7.01(i)</w:t>
      </w:r>
      <w:r>
        <w:rPr>
          <w:color w:val="000000"/>
        </w:rPr>
        <w:t xml:space="preserve"> </w:t>
      </w:r>
      <w:r>
        <w:rPr>
          <w:rFonts w:ascii="Times New Roman;serif" w:hAnsi="Times New Roman;serif"/>
          <w:b w:val="false"/>
          <w:color w:val="000000"/>
          <w:sz w:val="24"/>
        </w:rPr>
        <w:t>or (iii) “event of default” or similar term (as defined and used in the applicable Priority Lien Document) has occurred and is continuing under any other Priority Lien Document shall have occurred and be continuing nor shall any such Event of Default, Default or “event of default” or similar term, as the case may be, occur by reason of the making of the requested Borrowing or the issuance of the requested Letter of Credit and, in the case of each Loan, the application of proceeds thereof.</w:t>
      </w:r>
    </w:p>
    <w:p>
      <w:pPr>
        <w:pStyle w:val="TextBody"/>
        <w:bidi w:val="0"/>
        <w:spacing w:lineRule="auto" w:line="288" w:before="240" w:after="283"/>
        <w:ind w:left="0" w:right="0" w:firstLine="720"/>
        <w:jc w:val="left"/>
        <w:rPr/>
      </w:pPr>
      <w:bookmarkStart w:id="231" w:name="i64c31b6d64cf46f497e590309e68bc9d"/>
      <w:bookmarkEnd w:id="231"/>
      <w:r>
        <w:rPr>
          <w:rFonts w:ascii="Times New Roman;serif" w:hAnsi="Times New Roman;serif"/>
          <w:b w:val="false"/>
          <w:color w:val="000000"/>
          <w:sz w:val="24"/>
        </w:rPr>
        <w:t>(d)    </w:t>
      </w:r>
      <w:r>
        <w:rPr>
          <w:rFonts w:ascii="Times New Roman;serif" w:hAnsi="Times New Roman;serif"/>
          <w:b w:val="false"/>
          <w:color w:val="000000"/>
          <w:sz w:val="24"/>
          <w:u w:val="single"/>
        </w:rPr>
        <w:t>Collateral Coverage Ratios</w:t>
      </w:r>
      <w:r>
        <w:rPr>
          <w:rFonts w:ascii="Times New Roman;serif" w:hAnsi="Times New Roman;serif"/>
          <w:b w:val="false"/>
          <w:color w:val="000000"/>
          <w:sz w:val="24"/>
        </w:rPr>
        <w:t xml:space="preserve">. On the date of such Loan or the issuance of such Letter of Credit hereunder (and after giving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 xml:space="preserve">effect thereto), the Collateral Coverage Test shall be satisfied and the Total Collateral Coverage Ratio shall not be less than 1.0 to 1.0, in each case, on a </w:t>
      </w:r>
      <w:r>
        <w:rPr>
          <w:rFonts w:ascii="Times New Roman;serif" w:hAnsi="Times New Roman;serif"/>
          <w:b w:val="false"/>
          <w:i/>
          <w:color w:val="000000"/>
          <w:sz w:val="24"/>
        </w:rPr>
        <w:t xml:space="preserve">pro forma </w:t>
      </w:r>
      <w:r>
        <w:rPr>
          <w:rFonts w:ascii="Times New Roman;serif" w:hAnsi="Times New Roman;serif"/>
          <w:b w:val="false"/>
          <w:color w:val="000000"/>
          <w:sz w:val="24"/>
        </w:rPr>
        <w:t>basis.</w:t>
      </w:r>
    </w:p>
    <w:p>
      <w:pPr>
        <w:pStyle w:val="TextBody"/>
        <w:bidi w:val="0"/>
        <w:spacing w:lineRule="auto" w:line="288" w:before="240" w:after="283"/>
        <w:ind w:left="0" w:right="0" w:firstLine="720"/>
        <w:jc w:val="left"/>
        <w:rPr/>
      </w:pPr>
      <w:bookmarkStart w:id="232" w:name="ie3c2292b0a6446199857e9b86cade46b"/>
      <w:bookmarkEnd w:id="232"/>
      <w:r>
        <w:rPr>
          <w:rFonts w:ascii="Times New Roman;serif" w:hAnsi="Times New Roman;serif"/>
          <w:b w:val="false"/>
          <w:color w:val="000000"/>
          <w:sz w:val="24"/>
        </w:rPr>
        <w:t>(e)    </w:t>
      </w:r>
      <w:r>
        <w:rPr>
          <w:rFonts w:ascii="Times New Roman;serif" w:hAnsi="Times New Roman;serif"/>
          <w:b w:val="false"/>
          <w:color w:val="000000"/>
          <w:sz w:val="24"/>
          <w:u w:val="single"/>
        </w:rPr>
        <w:t>No Going Concern Qualification</w:t>
      </w:r>
      <w:r>
        <w:rPr>
          <w:rFonts w:ascii="Times New Roman;serif" w:hAnsi="Times New Roman;serif"/>
          <w:b w:val="false"/>
          <w:color w:val="000000"/>
          <w:sz w:val="24"/>
        </w:rPr>
        <w:t xml:space="preserve">. On the date of such Loan or the issuance of such Letter of Credit hereunder, the opinion of the independent public accountants (after giving effect to any reissuance or revision of such opinion) on the most recent audited consolidated </w:t>
      </w:r>
    </w:p>
    <w:p>
      <w:pPr>
        <w:pStyle w:val="TextBody"/>
        <w:bidi w:val="0"/>
        <w:spacing w:before="0" w:after="0"/>
        <w:jc w:val="center"/>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525145"/>
                <wp:effectExtent l="0" t="0" r="0" b="0"/>
                <wp:wrapNone/>
                <wp:docPr id="135" name="Frame13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financial statements delivered by the Parent pursuant to </w:t>
      </w:r>
      <w:r>
        <w:rPr>
          <w:rFonts w:ascii="Times New Roman;serif" w:hAnsi="Times New Roman;serif"/>
          <w:b w:val="false"/>
          <w:color w:val="000000"/>
          <w:sz w:val="24"/>
          <w:u w:val="single"/>
        </w:rPr>
        <w:t>Section 5.01(a)</w:t>
      </w:r>
      <w:r>
        <w:rPr>
          <w:color w:val="000000"/>
        </w:rPr>
        <w:t xml:space="preserve"> </w:t>
      </w:r>
      <w:r>
        <w:rPr>
          <w:rFonts w:ascii="Times New Roman;serif" w:hAnsi="Times New Roman;serif"/>
          <w:b w:val="false"/>
          <w:color w:val="000000"/>
          <w:sz w:val="24"/>
        </w:rPr>
        <w:t>shall not include a “going concern” qualification under GAAP as in effect on the date of this Agreement or, if there is a change in the relevant provisions of GAAP thereafter, any like qualification or exception under GAAP after giving effect to such change.</w:t>
      </w:r>
    </w:p>
    <w:p>
      <w:pPr>
        <w:pStyle w:val="TextBody"/>
        <w:bidi w:val="0"/>
        <w:spacing w:lineRule="auto" w:line="288" w:before="240" w:after="283"/>
        <w:jc w:val="left"/>
        <w:rPr/>
      </w:pPr>
      <w:r>
        <w:rPr>
          <w:rFonts w:ascii="Times New Roman;serif" w:hAnsi="Times New Roman;serif"/>
          <w:b w:val="false"/>
          <w:color w:val="000000"/>
          <w:sz w:val="24"/>
        </w:rPr>
        <w:t xml:space="preserve">The acceptance by the Borrower of each extension of credit hereunder shall be deemed to be a representation and warranty by the Borrower that the conditions specified in this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 xml:space="preserve">have been satisfied at that time. </w:t>
      </w:r>
    </w:p>
    <w:p>
      <w:pPr>
        <w:pStyle w:val="TextBody"/>
        <w:bidi w:val="0"/>
        <w:spacing w:lineRule="auto" w:line="288" w:before="240" w:after="283"/>
        <w:jc w:val="center"/>
        <w:rPr>
          <w:rFonts w:ascii="Times New Roman;serif" w:hAnsi="Times New Roman;serif"/>
          <w:b/>
          <w:color w:val="000000"/>
          <w:sz w:val="24"/>
        </w:rPr>
      </w:pPr>
      <w:bookmarkStart w:id="233" w:name="icaa8b568d93644aeac4e44929d57108f"/>
      <w:bookmarkEnd w:id="233"/>
      <w:r>
        <w:rPr>
          <w:rFonts w:ascii="Times New Roman;serif" w:hAnsi="Times New Roman;serif"/>
          <w:b/>
          <w:color w:val="000000"/>
          <w:sz w:val="24"/>
        </w:rPr>
        <w:t>SECTION 5.</w:t>
        <w:br/>
        <w:br/>
        <w:t>AFFIRMATIVE COVENANTS</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w:t>
      </w:r>
      <w:r>
        <w:rPr>
          <w:rFonts w:ascii="Times New Roman;serif" w:hAnsi="Times New Roman;serif"/>
          <w:b w:val="false"/>
          <w:color w:val="000000"/>
          <w:sz w:val="24"/>
          <w:u w:val="single"/>
        </w:rPr>
        <w:t>Section 2.02(j)</w:t>
      </w:r>
      <w:r>
        <w:rPr>
          <w:rFonts w:ascii="Times New Roman;serif" w:hAnsi="Times New Roman;serif"/>
          <w:b w:val="false"/>
          <w:color w:val="000000"/>
          <w:sz w:val="24"/>
        </w:rPr>
        <w:t>), or the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w:t>
      </w:r>
    </w:p>
    <w:p>
      <w:pPr>
        <w:pStyle w:val="TextBody"/>
        <w:bidi w:val="0"/>
        <w:spacing w:lineRule="auto" w:line="288" w:before="240" w:after="283"/>
        <w:ind w:left="0" w:right="0" w:firstLine="720"/>
        <w:jc w:val="left"/>
        <w:rPr/>
      </w:pPr>
      <w:bookmarkStart w:id="234" w:name="i64ba21c0219b44469a68c0b411349713"/>
      <w:bookmarkEnd w:id="234"/>
      <w:r>
        <w:rPr>
          <w:rFonts w:ascii="Times New Roman;serif" w:hAnsi="Times New Roman;serif"/>
          <w:b w:val="false"/>
          <w:color w:val="000000"/>
          <w:sz w:val="24"/>
        </w:rPr>
        <w:t>Section 5.01.    </w:t>
      </w:r>
      <w:r>
        <w:rPr>
          <w:rFonts w:ascii="Times New Roman;serif" w:hAnsi="Times New Roman;serif"/>
          <w:b w:val="false"/>
          <w:color w:val="000000"/>
          <w:sz w:val="24"/>
          <w:u w:val="single"/>
        </w:rPr>
        <w:t>Financial Statements, Reports, etc</w:t>
      </w:r>
      <w:r>
        <w:rPr>
          <w:rFonts w:ascii="Times New Roman;serif" w:hAnsi="Times New Roman;serif"/>
          <w:b w:val="false"/>
          <w:color w:val="000000"/>
          <w:sz w:val="24"/>
        </w:rPr>
        <w:t>. The Borrower shall deliver to the Administrative Agent on behalf of the Lenders:</w:t>
      </w:r>
    </w:p>
    <w:p>
      <w:pPr>
        <w:pStyle w:val="TextBody"/>
        <w:bidi w:val="0"/>
        <w:spacing w:lineRule="auto" w:line="288" w:before="240" w:after="283"/>
        <w:ind w:left="0" w:right="0" w:firstLine="720"/>
        <w:jc w:val="left"/>
        <w:rPr/>
      </w:pPr>
      <w:bookmarkStart w:id="235" w:name="i7a27139901344accaf3e81ec286ca5a4"/>
      <w:bookmarkEnd w:id="235"/>
      <w:r>
        <w:rPr>
          <w:rFonts w:ascii="Times New Roman;serif" w:hAnsi="Times New Roman;serif"/>
          <w:b w:val="false"/>
          <w:color w:val="000000"/>
          <w:sz w:val="24"/>
        </w:rPr>
        <w:t xml:space="preserve">(a)    Within ninety (90) days after the end of each fiscal year, Parent’s consolidated balance sheet and related statement of income and cash flows, showing the financial condition of Parent and its Subsidiaries on a consolidated basis as of the close of such fiscal year and the results of their respective operations during such year, the consolidated statement of Parent to be audited for Parent by independent public accountants of recognized national standing and to be accompanied by an opinion of such accountants (without any qualification or exception as to the scope of such audit) to the effect that such consolidated financial statements fairly present in all material respects the financial condition and results of operations of Parent and its Subsidiaries on a consolidated basis in accordance with GAAP;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foregoing delivery requirement shall be satisfied if Parent shall have filed with the SEC its Annual Report on Form 10-K for such fiscal year, which is available to the public via EDGAR or any similar successor system;</w:t>
      </w:r>
    </w:p>
    <w:p>
      <w:pPr>
        <w:pStyle w:val="TextBody"/>
        <w:bidi w:val="0"/>
        <w:spacing w:lineRule="auto" w:line="288" w:before="240" w:after="283"/>
        <w:ind w:left="0" w:right="0" w:firstLine="720"/>
        <w:jc w:val="left"/>
        <w:rPr/>
      </w:pPr>
      <w:bookmarkStart w:id="236" w:name="if2e9fc06394b47d8a8fcddcff545278e"/>
      <w:bookmarkEnd w:id="236"/>
      <w:r>
        <w:rPr>
          <w:rFonts w:ascii="Times New Roman;serif" w:hAnsi="Times New Roman;serif"/>
          <w:b w:val="false"/>
          <w:color w:val="000000"/>
          <w:sz w:val="24"/>
        </w:rPr>
        <w:t xml:space="preserve">(b)    Within forty-five (45) days after the end of each of the first three fiscal quarters of each fiscal year, Parent’s consolidated balance sheets and related statements of income and cash flows, showing the financial condition of Parent and its Subsidiaries on a consolidated basis as of the close of such fiscal quarter and the results of their operations during such fiscal quarter and the then elapsed portion of the fiscal year, each certified by a Responsible Officer of the Parent as fairly presenting in all material respects the financial condition and results of operations of Parent and its Subsidiaries on a consolidated basis in accordance with GAAP, subject to normal year end audit adjustments and the absence of footnotes;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delivery requirement shall be satisfied if Parent shall have filed with the SEC its Quarterly Report on </w:t>
      </w:r>
    </w:p>
    <w:p>
      <w:pPr>
        <w:pStyle w:val="TextBody"/>
        <w:bidi w:val="0"/>
        <w:spacing w:before="0" w:after="0"/>
        <w:jc w:val="center"/>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25145"/>
                <wp:effectExtent l="0" t="0" r="0" b="0"/>
                <wp:wrapNone/>
                <wp:docPr id="136" name="Frame13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Form 10-Q for such fiscal quarter, which is available to the public via EDGAR or any similar successor system;</w:t>
      </w:r>
    </w:p>
    <w:p>
      <w:pPr>
        <w:pStyle w:val="TextBody"/>
        <w:bidi w:val="0"/>
        <w:spacing w:lineRule="auto" w:line="288" w:before="240" w:after="283"/>
        <w:ind w:left="0" w:right="0" w:firstLine="720"/>
        <w:jc w:val="left"/>
        <w:rPr/>
      </w:pPr>
      <w:bookmarkStart w:id="237" w:name="i77e1c8d71da94eba89903dca79d183ab"/>
      <w:bookmarkEnd w:id="237"/>
      <w:r>
        <w:rPr>
          <w:rFonts w:ascii="Times New Roman;serif" w:hAnsi="Times New Roman;serif"/>
          <w:b w:val="false"/>
          <w:color w:val="000000"/>
          <w:sz w:val="24"/>
        </w:rPr>
        <w:t xml:space="preserve">(c)    Within the time period under </w:t>
      </w:r>
      <w:r>
        <w:rPr>
          <w:rFonts w:ascii="Times New Roman;serif" w:hAnsi="Times New Roman;serif"/>
          <w:b w:val="false"/>
          <w:color w:val="000000"/>
          <w:sz w:val="24"/>
          <w:u w:val="single"/>
        </w:rPr>
        <w:t>Section 5.01(a)</w:t>
      </w:r>
      <w:r>
        <w:rPr>
          <w:color w:val="000000"/>
        </w:rPr>
        <w:t xml:space="preserve"> </w:t>
      </w:r>
      <w:r>
        <w:rPr>
          <w:rFonts w:ascii="Times New Roman;serif" w:hAnsi="Times New Roman;serif"/>
          <w:b w:val="false"/>
          <w:color w:val="000000"/>
          <w:sz w:val="24"/>
        </w:rPr>
        <w:t>above, a certificate of a Responsible Officer of Parent certifying that, to the knowledge of such Responsible Officer, no Event of Default has occurred and is continuing, or, if, to the knowledge of such Responsible Officer, such an Event of Default has occurred and is continuing, specifying the nature and extent thereof and any corrective action taken or proposed to be taken with respect thereto;</w:t>
      </w:r>
    </w:p>
    <w:p>
      <w:pPr>
        <w:pStyle w:val="TextBody"/>
        <w:bidi w:val="0"/>
        <w:spacing w:lineRule="auto" w:line="288" w:before="240" w:after="283"/>
        <w:ind w:left="0" w:right="0" w:firstLine="720"/>
        <w:jc w:val="left"/>
        <w:rPr/>
      </w:pPr>
      <w:bookmarkStart w:id="238" w:name="i4304f77f29664c3dbe4c036de363bd49"/>
      <w:bookmarkEnd w:id="238"/>
      <w:r>
        <w:rPr>
          <w:rFonts w:ascii="Times New Roman;serif" w:hAnsi="Times New Roman;serif"/>
          <w:b w:val="false"/>
          <w:color w:val="000000"/>
          <w:sz w:val="24"/>
        </w:rPr>
        <w:t xml:space="preserve">(d)    Within the time period under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5.01</w:t>
      </w:r>
      <w:r>
        <w:rPr>
          <w:rFonts w:ascii="Times New Roman;serif" w:hAnsi="Times New Roman;serif"/>
          <w:b w:val="false"/>
          <w:color w:val="000000"/>
          <w:sz w:val="24"/>
        </w:rPr>
        <w:t xml:space="preserve">, a certificate of a Responsible Officer demonstrating in reasonable detail compliance with </w:t>
      </w:r>
      <w:r>
        <w:rPr>
          <w:rFonts w:ascii="Times New Roman;serif" w:hAnsi="Times New Roman;serif"/>
          <w:b w:val="false"/>
          <w:color w:val="000000"/>
          <w:sz w:val="24"/>
          <w:u w:val="single"/>
        </w:rPr>
        <w:t>Section 6.08</w:t>
      </w:r>
      <w:r>
        <w:rPr>
          <w:color w:val="000000"/>
        </w:rPr>
        <w:t xml:space="preserve"> </w:t>
      </w:r>
      <w:r>
        <w:rPr>
          <w:rFonts w:ascii="Times New Roman;serif" w:hAnsi="Times New Roman;serif"/>
          <w:b w:val="false"/>
          <w:color w:val="000000"/>
          <w:sz w:val="24"/>
        </w:rPr>
        <w:t>as of the end of the preceding fiscal quarter;</w:t>
      </w:r>
    </w:p>
    <w:p>
      <w:pPr>
        <w:pStyle w:val="TextBody"/>
        <w:bidi w:val="0"/>
        <w:spacing w:lineRule="auto" w:line="288" w:before="240" w:after="283"/>
        <w:ind w:left="0" w:right="0" w:firstLine="720"/>
        <w:jc w:val="left"/>
        <w:rPr/>
      </w:pPr>
      <w:bookmarkStart w:id="239" w:name="i392aa07f73a04a729309ffe4ac2ecc5d"/>
      <w:bookmarkEnd w:id="239"/>
      <w:r>
        <w:rPr>
          <w:rFonts w:ascii="Times New Roman;serif" w:hAnsi="Times New Roman;serif"/>
          <w:b w:val="false"/>
          <w:color w:val="000000"/>
          <w:sz w:val="24"/>
        </w:rPr>
        <w:t xml:space="preserve">(e)    A Collateral Coverage Ratio Certificate, as and when required under </w:t>
      </w:r>
      <w:r>
        <w:rPr>
          <w:rFonts w:ascii="Times New Roman;serif" w:hAnsi="Times New Roman;serif"/>
          <w:b w:val="false"/>
          <w:color w:val="000000"/>
          <w:sz w:val="24"/>
          <w:u w:val="single"/>
        </w:rPr>
        <w:t>Sections 6.04(ii)(C)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6.09(a)</w:t>
      </w:r>
      <w:r>
        <w:rPr>
          <w:rFonts w:ascii="Times New Roman;serif" w:hAnsi="Times New Roman;serif"/>
          <w:b w:val="false"/>
          <w:color w:val="000000"/>
          <w:sz w:val="24"/>
        </w:rPr>
        <w:t xml:space="preserve">, or </w:t>
      </w:r>
      <w:r>
        <w:rPr>
          <w:rFonts w:ascii="Times New Roman;serif" w:hAnsi="Times New Roman;serif"/>
          <w:b w:val="false"/>
          <w:color w:val="000000"/>
          <w:sz w:val="24"/>
          <w:u w:val="single"/>
        </w:rPr>
        <w:t>6.09(c)</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40" w:name="ifd1788f19b0442249bd3d1f88393e159"/>
      <w:bookmarkEnd w:id="240"/>
      <w:r>
        <w:rPr>
          <w:rFonts w:ascii="Times New Roman;serif" w:hAnsi="Times New Roman;serif"/>
          <w:b w:val="false"/>
          <w:color w:val="000000"/>
          <w:sz w:val="24"/>
        </w:rPr>
        <w:t xml:space="preserve">(f)    Promptly after the occurrence thereof, written notice of the termination of a Plan of the Borrower pursuant to Section 4042 of ERISA to the extent such termination would constitute an Event of Default;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41" w:name="i052aca7bebb74339a195ab15ad191e6b"/>
      <w:bookmarkEnd w:id="241"/>
      <w:r>
        <w:rPr>
          <w:rFonts w:ascii="Times New Roman;serif" w:hAnsi="Times New Roman;serif"/>
          <w:b w:val="false"/>
          <w:color w:val="000000"/>
          <w:sz w:val="24"/>
        </w:rPr>
        <w:t>(g)    So long as any Commitment, Loan or Letter of Credit is outstanding, promptly after the Chief Financial Officer or the Treasurer of the Parent becoming aware of the occurrence of a Default or an Event of Default that is continuing, an Officer’s Certificate specifying such Default or Event of Default and what action the Parent and its Subsidiaries are taking or propose to take with respect thereto; and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42" w:name="i0f03f999937c489eae300222a7ccc6eb"/>
      <w:bookmarkEnd w:id="242"/>
      <w:r>
        <w:rPr>
          <w:rFonts w:ascii="Times New Roman;serif" w:hAnsi="Times New Roman;serif"/>
          <w:b w:val="false"/>
          <w:color w:val="000000"/>
          <w:sz w:val="24"/>
        </w:rPr>
        <w:t>(h)    Promptly, from time to time, such other information regarding the Collateral and the operations, business affairs and financial condition of the Borrower or any Guarantor, in each case as the Administrative Agent or the Collateral Trustee, each at the request of any Lender, may reasonably request (it being understood that, so long as no Event of Default shall have occurred and be continuing, the Borrower shall not be obligated to provide utilization reports with respect to Pledged Slots or Pledged Routes).</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Subject to the next succeeding sentence, information delivered pursuant to this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 xml:space="preserve">to the Administrative Agent may be made available by the Administrative Agent to the Lenders by posting such information on the Intralinks website on the Internet at </w:t>
      </w:r>
      <w:r>
        <w:rPr>
          <w:rFonts w:ascii="Times New Roman;serif" w:hAnsi="Times New Roman;serif"/>
          <w:b w:val="false"/>
          <w:color w:val="0000FF"/>
          <w:sz w:val="24"/>
        </w:rPr>
        <w:t>http://www.intralinks.com</w:t>
      </w:r>
      <w:r>
        <w:rPr>
          <w:rFonts w:ascii="Times New Roman;serif" w:hAnsi="Times New Roman;serif"/>
          <w:b w:val="false"/>
          <w:color w:val="000000"/>
          <w:sz w:val="24"/>
        </w:rPr>
        <w:t xml:space="preserve">. Information required to be delivered pursuant to this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 xml:space="preserve">by the Borrower shall be delivered pursuant to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 xml:space="preserve">hereto. Information required to be delivered pursuant to this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 xml:space="preserve">(to the extent not made available as set forth above) shall be deemed to have been delivered to the Administrative Agent on the date on which the Borrower provides written notice to the Administrative Agent that such information has been posted on the Borrower’s general commercial website on the Internet (to the extent such information has been posted or is available as described in such notice), as such website may be specified by the Borrower to the Administrative Agent from time to time. Information required to be delivered pursuant to this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shall be in a format which is suitable for transmission.</w:t>
      </w:r>
    </w:p>
    <w:p>
      <w:pPr>
        <w:pStyle w:val="TextBody"/>
        <w:bidi w:val="0"/>
        <w:spacing w:before="0" w:after="0"/>
        <w:jc w:val="center"/>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25145"/>
                <wp:effectExtent l="0" t="0" r="0" b="0"/>
                <wp:wrapNone/>
                <wp:docPr id="137" name="Frame13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Any notice or other communication delivered pursuant to this </w:t>
      </w:r>
      <w:r>
        <w:rPr>
          <w:rFonts w:ascii="Times New Roman;serif" w:hAnsi="Times New Roman;serif"/>
          <w:b w:val="false"/>
          <w:color w:val="000000"/>
          <w:sz w:val="24"/>
          <w:u w:val="single"/>
        </w:rPr>
        <w:t>Section 5.01</w:t>
      </w:r>
      <w:r>
        <w:rPr>
          <w:rFonts w:ascii="Times New Roman;serif" w:hAnsi="Times New Roman;serif"/>
          <w:b w:val="false"/>
          <w:color w:val="000000"/>
          <w:sz w:val="24"/>
        </w:rPr>
        <w:t>, or otherwise pursuant to this Agreement, shall be deemed to contain material non-public information unless (i) expressly marked by the Borrower or a Guarantor as “PUBLIC”, (ii) such notice or communication consists of copies of the Borrower’s public filings with the SEC or (iii) such notice or communication has been posted on the Borrower’s general commercial website on the Internet, as such website may be specified by the Borrower to the Administrative Agent from time to time.</w:t>
      </w:r>
    </w:p>
    <w:p>
      <w:pPr>
        <w:pStyle w:val="TextBody"/>
        <w:bidi w:val="0"/>
        <w:spacing w:lineRule="auto" w:line="288" w:before="240" w:after="283"/>
        <w:ind w:left="0" w:right="0" w:firstLine="720"/>
        <w:jc w:val="left"/>
        <w:rPr/>
      </w:pPr>
      <w:bookmarkStart w:id="243" w:name="ie02a3203a4ce4e0fa184fc3ff0f8921e"/>
      <w:bookmarkEnd w:id="243"/>
      <w:r>
        <w:rPr>
          <w:rFonts w:ascii="Times New Roman;serif" w:hAnsi="Times New Roman;serif"/>
          <w:b w:val="false"/>
          <w:color w:val="000000"/>
          <w:sz w:val="24"/>
        </w:rPr>
        <w:t>Section 5.02.    </w:t>
      </w:r>
      <w:r>
        <w:rPr>
          <w:rFonts w:ascii="Times New Roman;serif" w:hAnsi="Times New Roman;serif"/>
          <w:b w:val="false"/>
          <w:color w:val="000000"/>
          <w:sz w:val="24"/>
          <w:u w:val="single"/>
        </w:rPr>
        <w:t>Taxes</w:t>
      </w:r>
      <w:r>
        <w:rPr>
          <w:rFonts w:ascii="Times New Roman;serif" w:hAnsi="Times New Roman;serif"/>
          <w:b w:val="false"/>
          <w:color w:val="000000"/>
          <w:sz w:val="24"/>
        </w:rPr>
        <w:t>. Parent shall pay, and cause each of its Subsidiaries to pay, all material taxes, assessments, and governmental levies before the same shall become more than 90 days delinquent, other than taxes, assessments and levies (i) being contested in good faith by appropriate proceedings and (ii) the failure to effect such payment of which are not reasonably be expected to have a Material Adverse Effect on Parent.</w:t>
      </w:r>
    </w:p>
    <w:p>
      <w:pPr>
        <w:pStyle w:val="TextBody"/>
        <w:bidi w:val="0"/>
        <w:spacing w:lineRule="auto" w:line="288" w:before="240" w:after="283"/>
        <w:ind w:left="0" w:right="0" w:firstLine="720"/>
        <w:jc w:val="left"/>
        <w:rPr/>
      </w:pPr>
      <w:bookmarkStart w:id="244" w:name="i886b3c22ffbb4648b4fa10b865b270e0"/>
      <w:bookmarkEnd w:id="244"/>
      <w:r>
        <w:rPr>
          <w:rFonts w:ascii="Times New Roman;serif" w:hAnsi="Times New Roman;serif"/>
          <w:b w:val="false"/>
          <w:color w:val="000000"/>
          <w:sz w:val="24"/>
        </w:rPr>
        <w:t>Section 5.03.    </w:t>
      </w:r>
      <w:r>
        <w:rPr>
          <w:rFonts w:ascii="Times New Roman;serif" w:hAnsi="Times New Roman;serif"/>
          <w:b w:val="false"/>
          <w:color w:val="000000"/>
          <w:sz w:val="24"/>
          <w:u w:val="single"/>
        </w:rPr>
        <w:t>Stay, Extension and Usury Laws</w:t>
      </w:r>
      <w:r>
        <w:rPr>
          <w:rFonts w:ascii="Times New Roman;serif" w:hAnsi="Times New Roman;serif"/>
          <w:b w:val="false"/>
          <w:color w:val="000000"/>
          <w:sz w:val="24"/>
        </w:rPr>
        <w:t>. The Borrower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Agreement; and the Borrower and each of the Guarantors (to the extent that it may lawfully do so) hereby expressly waives all benefit or advantage of any such law, and covenants that it will not, by resort to any such law, hinder, delay or impede the execution of any power herein granted to the Administrative Agent or the Collateral Trustee, but will suffer and permit the execution of every such power as though no such law has been enacted.</w:t>
      </w:r>
    </w:p>
    <w:p>
      <w:pPr>
        <w:pStyle w:val="TextBody"/>
        <w:bidi w:val="0"/>
        <w:spacing w:lineRule="auto" w:line="288" w:before="240" w:after="283"/>
        <w:ind w:left="0" w:right="0" w:firstLine="720"/>
        <w:jc w:val="left"/>
        <w:rPr/>
      </w:pPr>
      <w:bookmarkStart w:id="245" w:name="i2f958dfb13384580b4989ff5307c72b4"/>
      <w:bookmarkEnd w:id="245"/>
      <w:r>
        <w:rPr>
          <w:rFonts w:ascii="Times New Roman;serif" w:hAnsi="Times New Roman;serif"/>
          <w:b w:val="false"/>
          <w:color w:val="000000"/>
          <w:sz w:val="24"/>
        </w:rPr>
        <w:t>Section 5.04.    </w:t>
      </w:r>
      <w:r>
        <w:rPr>
          <w:rFonts w:ascii="Times New Roman;serif" w:hAnsi="Times New Roman;serif"/>
          <w:b w:val="false"/>
          <w:color w:val="000000"/>
          <w:sz w:val="24"/>
          <w:u w:val="single"/>
        </w:rPr>
        <w:t>Corporate Existence</w:t>
      </w:r>
      <w:r>
        <w:rPr>
          <w:rFonts w:ascii="Times New Roman;serif" w:hAnsi="Times New Roman;serif"/>
          <w:b w:val="false"/>
          <w:color w:val="000000"/>
          <w:sz w:val="24"/>
        </w:rPr>
        <w:t>. Parent shall do or cause to be done all things reasonably necessary to preserve and keep in full force and effect: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46" w:name="i42588c9e479843078ac1afa22b105669"/>
      <w:bookmarkEnd w:id="246"/>
      <w:r>
        <w:rPr>
          <w:rFonts w:ascii="Times New Roman;serif" w:hAnsi="Times New Roman;serif"/>
          <w:b w:val="false"/>
          <w:color w:val="000000"/>
          <w:sz w:val="24"/>
        </w:rPr>
        <w:t>(1)    its corporate existence, and the corporate, partnership or other existence of each of its Restricted Subsidiaries, in accordance with the respective organizational documents (as the same may be amended from time to time) of Parent or any such Restricted Subsidiary; and</w:t>
      </w:r>
    </w:p>
    <w:p>
      <w:pPr>
        <w:pStyle w:val="TextBody"/>
        <w:bidi w:val="0"/>
        <w:spacing w:lineRule="auto" w:line="288" w:before="240" w:after="283"/>
        <w:ind w:left="0" w:right="0" w:firstLine="720"/>
        <w:jc w:val="left"/>
        <w:rPr/>
      </w:pPr>
      <w:bookmarkStart w:id="247" w:name="id8defa2d7af3423dadafd634cd3da8dd"/>
      <w:bookmarkEnd w:id="247"/>
      <w:r>
        <w:rPr>
          <w:rFonts w:ascii="Times New Roman;serif" w:hAnsi="Times New Roman;serif"/>
          <w:b w:val="false"/>
          <w:color w:val="000000"/>
          <w:sz w:val="24"/>
        </w:rPr>
        <w:t xml:space="preserve">(2)    the rights (charter and statutory) and material franchises of Parent and its Restricted Subsidiaries; </w:t>
      </w:r>
      <w:r>
        <w:rPr>
          <w:rFonts w:ascii="Times New Roman;serif" w:hAnsi="Times New Roman;serif"/>
          <w:b w:val="false"/>
          <w:color w:val="000000"/>
          <w:sz w:val="24"/>
          <w:u w:val="single"/>
        </w:rPr>
        <w:t>provided</w:t>
      </w:r>
      <w:r>
        <w:rPr>
          <w:rFonts w:ascii="Times New Roman;serif" w:hAnsi="Times New Roman;serif"/>
          <w:b w:val="false"/>
          <w:color w:val="000000"/>
          <w:sz w:val="24"/>
        </w:rPr>
        <w:t>, however, that Parent shall not be required to preserve any such right or franchise, or the corporate, partnership or other existence of it or any of its Restricted Subsidiaries, if its Board of Directors shall determine that the preservation thereof is no longer desirable in the conduct of the business of Parent and its Subsidiaries, taken as a whole, and that the loss thereof would not, individually or in the aggregate, have a Material Adverse Effect.</w:t>
      </w:r>
    </w:p>
    <w:p>
      <w:pPr>
        <w:pStyle w:val="TextBody"/>
        <w:bidi w:val="0"/>
        <w:spacing w:lineRule="auto" w:line="288" w:before="240" w:after="283"/>
        <w:jc w:val="left"/>
        <w:rPr/>
      </w:pPr>
      <w:r>
        <w:rPr>
          <w:rFonts w:ascii="Times New Roman;serif" w:hAnsi="Times New Roman;serif"/>
          <w:b w:val="false"/>
          <w:color w:val="000000"/>
          <w:sz w:val="24"/>
        </w:rPr>
        <w:t xml:space="preserve">For the avoidance of doubt, this </w:t>
      </w:r>
      <w:r>
        <w:rPr>
          <w:rFonts w:ascii="Times New Roman;serif" w:hAnsi="Times New Roman;serif"/>
          <w:b w:val="false"/>
          <w:color w:val="000000"/>
          <w:sz w:val="24"/>
          <w:u w:val="single"/>
        </w:rPr>
        <w:t>Section 5.04</w:t>
      </w:r>
      <w:r>
        <w:rPr>
          <w:color w:val="000000"/>
        </w:rPr>
        <w:t xml:space="preserve"> </w:t>
      </w:r>
      <w:r>
        <w:rPr>
          <w:rFonts w:ascii="Times New Roman;serif" w:hAnsi="Times New Roman;serif"/>
          <w:b w:val="false"/>
          <w:color w:val="000000"/>
          <w:sz w:val="24"/>
        </w:rPr>
        <w:t xml:space="preserve">shall not prohibit any actions permitted by </w:t>
      </w:r>
      <w:r>
        <w:rPr>
          <w:rFonts w:ascii="Times New Roman;serif" w:hAnsi="Times New Roman;serif"/>
          <w:b w:val="false"/>
          <w:color w:val="000000"/>
          <w:sz w:val="24"/>
          <w:u w:val="single"/>
        </w:rPr>
        <w:t>Section 6.10</w:t>
      </w:r>
      <w:r>
        <w:rPr>
          <w:color w:val="000000"/>
        </w:rPr>
        <w:t xml:space="preserve"> </w:t>
      </w:r>
      <w:r>
        <w:rPr>
          <w:rFonts w:ascii="Times New Roman;serif" w:hAnsi="Times New Roman;serif"/>
          <w:b w:val="false"/>
          <w:color w:val="000000"/>
          <w:sz w:val="24"/>
        </w:rPr>
        <w:t xml:space="preserve">hereof or described in </w:t>
      </w:r>
      <w:r>
        <w:rPr>
          <w:rFonts w:ascii="Times New Roman;serif" w:hAnsi="Times New Roman;serif"/>
          <w:b w:val="false"/>
          <w:color w:val="000000"/>
          <w:sz w:val="24"/>
          <w:u w:val="single"/>
        </w:rPr>
        <w:t>Section 6.10(b)</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25145"/>
                <wp:effectExtent l="0" t="0" r="0" b="0"/>
                <wp:wrapNone/>
                <wp:docPr id="138" name="Frame13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248" w:name="ibdb418940ec2450e928ce3060187032f"/>
      <w:bookmarkEnd w:id="248"/>
      <w:r>
        <w:rPr>
          <w:rFonts w:ascii="Times New Roman;serif" w:hAnsi="Times New Roman;serif"/>
          <w:b w:val="false"/>
          <w:color w:val="000000"/>
          <w:sz w:val="24"/>
        </w:rPr>
        <w:t>Section 5.05.    </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Parent shall comply, and cause each of its Restricted Subsidiaries to comply, with all applicable laws, rules, regulations and orders of any Governmental Authority applicable to it or its property, except where such noncompliance, individually or in the aggregate, could not reasonably be expected to result in a Material Adverse Effect. Parent will maintain in effect policies and procedures intended to promote compliance by Parent, its Subsidiaries and, when acting in such capacity, their respective directors, officers, employees and agents with Anti-Corruption Laws and applicable Sanctions.</w:t>
      </w:r>
    </w:p>
    <w:p>
      <w:pPr>
        <w:pStyle w:val="TextBody"/>
        <w:bidi w:val="0"/>
        <w:spacing w:lineRule="auto" w:line="288" w:before="240" w:after="283"/>
        <w:ind w:left="0" w:right="0" w:firstLine="720"/>
        <w:jc w:val="left"/>
        <w:rPr/>
      </w:pPr>
      <w:bookmarkStart w:id="249" w:name="i813de5cffbfe457182adf4446e30acca"/>
      <w:bookmarkEnd w:id="249"/>
      <w:r>
        <w:rPr>
          <w:rFonts w:ascii="Times New Roman;serif" w:hAnsi="Times New Roman;serif"/>
          <w:b w:val="false"/>
          <w:color w:val="000000"/>
          <w:sz w:val="24"/>
        </w:rPr>
        <w:t>Section 5.06.    </w:t>
      </w:r>
      <w:r>
        <w:rPr>
          <w:rFonts w:ascii="Times New Roman;serif" w:hAnsi="Times New Roman;serif"/>
          <w:b w:val="false"/>
          <w:color w:val="000000"/>
          <w:sz w:val="24"/>
          <w:u w:val="single"/>
        </w:rPr>
        <w:t>Designation of Restricted and Unrestricted Subsidiaries</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50" w:name="ieb3e134f47e64f6ca29970b5f3752d76"/>
      <w:bookmarkEnd w:id="250"/>
      <w:r>
        <w:rPr>
          <w:rFonts w:ascii="Times New Roman;serif" w:hAnsi="Times New Roman;serif"/>
          <w:b w:val="false"/>
          <w:color w:val="000000"/>
          <w:sz w:val="24"/>
        </w:rPr>
        <w:t xml:space="preserve">(a)    The Board of Directors of Parent may designate any Restricted Subsidiary of it (other than the Borrower) to be an Unrestricted Subsidiary if that designation would not cause a Default. That designation will be permitted only if the Restricted Subsidiary otherwise meets the definition of an “Unrestricted Subsidiary.” </w:t>
      </w:r>
    </w:p>
    <w:p>
      <w:pPr>
        <w:pStyle w:val="TextBody"/>
        <w:bidi w:val="0"/>
        <w:spacing w:lineRule="auto" w:line="288" w:before="240" w:after="283"/>
        <w:ind w:left="0" w:right="0" w:firstLine="720"/>
        <w:jc w:val="left"/>
        <w:rPr/>
      </w:pPr>
      <w:bookmarkStart w:id="251" w:name="i123c8f7a7f234d78ba789913dce551c5"/>
      <w:bookmarkEnd w:id="251"/>
      <w:r>
        <w:rPr>
          <w:rFonts w:ascii="Times New Roman;serif" w:hAnsi="Times New Roman;serif"/>
          <w:b w:val="false"/>
          <w:color w:val="000000"/>
          <w:sz w:val="24"/>
        </w:rPr>
        <w:t xml:space="preserve">(b)    The Board of Directors of Parent may at any time designate any Unrestricted Subsidiary to be a Restricted Subsidiary of Parent;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designation will be permitted only if no Default or Event of Default would be in existence following such designation.</w:t>
      </w:r>
    </w:p>
    <w:p>
      <w:pPr>
        <w:pStyle w:val="TextBody"/>
        <w:bidi w:val="0"/>
        <w:spacing w:lineRule="auto" w:line="288" w:before="240" w:after="283"/>
        <w:ind w:left="0" w:right="0" w:firstLine="720"/>
        <w:jc w:val="left"/>
        <w:rPr/>
      </w:pPr>
      <w:bookmarkStart w:id="252" w:name="i156d1250a2424077a164a490beafe571"/>
      <w:bookmarkEnd w:id="252"/>
      <w:r>
        <w:rPr>
          <w:rFonts w:ascii="Times New Roman;serif" w:hAnsi="Times New Roman;serif"/>
          <w:b w:val="false"/>
          <w:color w:val="000000"/>
          <w:sz w:val="24"/>
        </w:rPr>
        <w:t>Section 5.07.    </w:t>
      </w:r>
      <w:r>
        <w:rPr>
          <w:rFonts w:ascii="Times New Roman;serif" w:hAnsi="Times New Roman;serif"/>
          <w:b w:val="false"/>
          <w:color w:val="000000"/>
          <w:sz w:val="24"/>
          <w:u w:val="single"/>
        </w:rPr>
        <w:t>Delivery of Appraisals</w:t>
      </w:r>
      <w:r>
        <w:rPr>
          <w:rFonts w:ascii="Times New Roman;serif" w:hAnsi="Times New Roman;serif"/>
          <w:b w:val="false"/>
          <w:color w:val="000000"/>
          <w:sz w:val="24"/>
        </w:rPr>
        <w:t>. The Borrower shall:</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53" w:name="i3e55bf07821b42b3ae844190b5002e04"/>
      <w:bookmarkEnd w:id="253"/>
      <w:r>
        <w:rPr>
          <w:rFonts w:ascii="Times New Roman;serif" w:hAnsi="Times New Roman;serif"/>
          <w:b w:val="false"/>
          <w:color w:val="000000"/>
          <w:sz w:val="24"/>
        </w:rPr>
        <w:t>(1)    Within twenty (20) Business Days of March 31st and September 30th of each year;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54" w:name="i986bdd861089452980b0c7078c8d42ae"/>
      <w:bookmarkEnd w:id="254"/>
      <w:r>
        <w:rPr>
          <w:rFonts w:ascii="Times New Roman;serif" w:hAnsi="Times New Roman;serif"/>
          <w:b w:val="false"/>
          <w:color w:val="000000"/>
          <w:sz w:val="24"/>
        </w:rPr>
        <w:t>(2)    on the date upon which any Cure Collateral is pledged as Collateral to the Collateral Trustee, but only with respect to such Cure Collateral; and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55" w:name="i23bc6a93726d48d0ae5f5e6f3aba451f"/>
      <w:bookmarkEnd w:id="255"/>
      <w:r>
        <w:rPr>
          <w:rFonts w:ascii="Times New Roman;serif" w:hAnsi="Times New Roman;serif"/>
          <w:b w:val="false"/>
          <w:color w:val="000000"/>
          <w:sz w:val="24"/>
        </w:rPr>
        <w:t xml:space="preserve">(3)    promptly (but in any event within 45 days) following a request by the Administrative Agent if an Event of Default has occurred and is continuing; </w:t>
      </w:r>
    </w:p>
    <w:p>
      <w:pPr>
        <w:pStyle w:val="TextBody"/>
        <w:bidi w:val="0"/>
        <w:spacing w:lineRule="auto" w:line="288" w:before="240" w:after="283"/>
        <w:jc w:val="left"/>
        <w:rPr/>
      </w:pPr>
      <w:r>
        <w:rPr>
          <w:rFonts w:ascii="Times New Roman;serif" w:hAnsi="Times New Roman;serif"/>
          <w:b w:val="false"/>
          <w:color w:val="000000"/>
          <w:sz w:val="24"/>
        </w:rPr>
        <w:t xml:space="preserve">deliver to the Administrative Agent and the Collateral Trustee one or more Appraisals establishing the Appraised Value of the Collateral;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 the case of </w:t>
      </w:r>
      <w:r>
        <w:rPr>
          <w:rFonts w:ascii="Times New Roman;serif" w:hAnsi="Times New Roman;serif"/>
          <w:b w:val="false"/>
          <w:color w:val="000000"/>
          <w:sz w:val="24"/>
          <w:u w:val="single"/>
        </w:rPr>
        <w:t>clause (2)</w:t>
      </w:r>
      <w:r>
        <w:rPr>
          <w:color w:val="000000"/>
        </w:rPr>
        <w:t xml:space="preserve"> </w:t>
      </w:r>
      <w:r>
        <w:rPr>
          <w:rFonts w:ascii="Times New Roman;serif" w:hAnsi="Times New Roman;serif"/>
          <w:b w:val="false"/>
          <w:color w:val="000000"/>
          <w:sz w:val="24"/>
        </w:rPr>
        <w:t xml:space="preserve">above, only an Appraisal with respect to the Cure Collateral shall be required to be delivered. The Borrower may from time to time cause subsequent Appraisals to be delivered to the Administrative Agent and the Collateral Trustee if it believes that any affected item of Collateral has a higher Appraised Value than that reflected in the most recent Appraisals delivered pursuant to this </w:t>
      </w:r>
      <w:r>
        <w:rPr>
          <w:rFonts w:ascii="Times New Roman;serif" w:hAnsi="Times New Roman;serif"/>
          <w:b w:val="false"/>
          <w:color w:val="000000"/>
          <w:sz w:val="24"/>
          <w:u w:val="single"/>
        </w:rPr>
        <w:t>Section 5.07</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256" w:name="ie58574a52ac8485a8ddc02042ce5842a"/>
      <w:bookmarkEnd w:id="256"/>
      <w:r>
        <w:rPr>
          <w:rFonts w:ascii="Times New Roman;serif" w:hAnsi="Times New Roman;serif"/>
          <w:b w:val="false"/>
          <w:color w:val="000000"/>
          <w:sz w:val="24"/>
        </w:rPr>
        <w:t>Section 5.08.    </w:t>
      </w:r>
      <w:r>
        <w:rPr>
          <w:rFonts w:ascii="Times New Roman;serif" w:hAnsi="Times New Roman;serif"/>
          <w:b w:val="false"/>
          <w:color w:val="000000"/>
          <w:sz w:val="24"/>
          <w:u w:val="single"/>
        </w:rPr>
        <w:t>Regulatory Cooperation</w:t>
      </w:r>
      <w:r>
        <w:rPr>
          <w:rFonts w:ascii="Times New Roman;serif" w:hAnsi="Times New Roman;serif"/>
          <w:b w:val="false"/>
          <w:color w:val="000000"/>
          <w:sz w:val="24"/>
        </w:rPr>
        <w:t xml:space="preserve">. In connection with any foreclosure, collection, sale or other enforcement of Liens granted to the Collateral Trustee in the Collateral Documents, Parent will, and will cause its Restricted Subsidiaries to, reasonably cooperate in good faith with the Collateral Trustee or its designee in obtaining all regulatory licenses, consents and other governmental approvals necessary or (in the reasonable opinion of the Collateral Trustee or its designee) reasonably advisable to conduct all aviation operations with respect to the Collateral </w:t>
      </w:r>
    </w:p>
    <w:p>
      <w:pPr>
        <w:pStyle w:val="TextBody"/>
        <w:bidi w:val="0"/>
        <w:spacing w:before="0" w:after="0"/>
        <w:jc w:val="center"/>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525145"/>
                <wp:effectExtent l="0" t="0" r="0" b="0"/>
                <wp:wrapNone/>
                <wp:docPr id="139" name="Frame13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and will, at the reasonable request of the Collateral Trustee and in good faith, continue to operate and manage the Collateral and maintain all applicable regulatory licenses with respect to the Collateral until such time as the Collateral Trustee or its designee obtain such licenses, consents and approvals, and at such time Parent will, and will cause its Restricted Subsidiaries to, cooperate in good faith with the transition of the aviation operations with respect to the Collateral to any new aviation operator (including, without limitation, the Collateral Trustee or its designee).</w:t>
      </w:r>
    </w:p>
    <w:p>
      <w:pPr>
        <w:pStyle w:val="TextBody"/>
        <w:bidi w:val="0"/>
        <w:spacing w:lineRule="auto" w:line="288" w:before="240" w:after="283"/>
        <w:ind w:left="0" w:right="0" w:firstLine="720"/>
        <w:jc w:val="left"/>
        <w:rPr/>
      </w:pPr>
      <w:bookmarkStart w:id="257" w:name="i76c5816bc0c2484a8a30e7da61913250"/>
      <w:bookmarkEnd w:id="257"/>
      <w:r>
        <w:rPr>
          <w:rFonts w:ascii="Times New Roman;serif" w:hAnsi="Times New Roman;serif"/>
          <w:b w:val="false"/>
          <w:color w:val="000000"/>
          <w:sz w:val="24"/>
        </w:rPr>
        <w:t>Section 5.09.    </w:t>
      </w:r>
      <w:r>
        <w:rPr>
          <w:rFonts w:ascii="Times New Roman;serif" w:hAnsi="Times New Roman;serif"/>
          <w:b w:val="false"/>
          <w:color w:val="000000"/>
          <w:sz w:val="24"/>
          <w:u w:val="single"/>
        </w:rPr>
        <w:t>Regulatory Matters; Citizenship; Utilization; Collateral Requirements</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58" w:name="i57f9343cd4c448f7a126cf2dfd9f9724"/>
      <w:bookmarkEnd w:id="258"/>
      <w:r>
        <w:rPr>
          <w:rFonts w:ascii="Times New Roman;serif" w:hAnsi="Times New Roman;serif"/>
          <w:b w:val="false"/>
          <w:color w:val="000000"/>
          <w:sz w:val="24"/>
        </w:rPr>
        <w:t>(a)    The Borrower will:</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59" w:name="i72848717e58b44bd862d6bb884a1d5f7"/>
      <w:bookmarkEnd w:id="259"/>
      <w:r>
        <w:rPr>
          <w:rFonts w:ascii="Times New Roman;serif" w:hAnsi="Times New Roman;serif"/>
          <w:b w:val="false"/>
          <w:color w:val="000000"/>
          <w:sz w:val="24"/>
        </w:rPr>
        <w:t>(1)    maintain at all times its status as an “air carrier” within the meaning of Section 40102(a)(2) of Title 49, and hold a certificate under Section 41102(a)(1) of Title 49;</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60" w:name="if176c9048ba749d4a5269a151a85f53d"/>
      <w:bookmarkEnd w:id="260"/>
      <w:r>
        <w:rPr>
          <w:rFonts w:ascii="Times New Roman;serif" w:hAnsi="Times New Roman;serif"/>
          <w:b w:val="false"/>
          <w:color w:val="000000"/>
          <w:sz w:val="24"/>
        </w:rPr>
        <w:t>(2)    be a United States Citizen;</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61" w:name="ia644f92e670443f48807eb887269bf04"/>
      <w:bookmarkEnd w:id="261"/>
      <w:r>
        <w:rPr>
          <w:rFonts w:ascii="Times New Roman;serif" w:hAnsi="Times New Roman;serif"/>
          <w:b w:val="false"/>
          <w:color w:val="000000"/>
          <w:sz w:val="24"/>
        </w:rPr>
        <w:t>(3)    maintain at all times its status at the FAA as an “air carrier” and hold an air carrier operating certificate under Section 44705 of Title 49 and operations specifications issued by the FAA pursuant to Parts 119 and 121 of Title 14 as currently in effect or as may be amended or recodified from time to time;</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62" w:name="i425ebc4b6186429f9208c1c290678873"/>
      <w:bookmarkEnd w:id="262"/>
      <w:r>
        <w:rPr>
          <w:rFonts w:ascii="Times New Roman;serif" w:hAnsi="Times New Roman;serif"/>
          <w:b w:val="false"/>
          <w:color w:val="000000"/>
          <w:sz w:val="24"/>
        </w:rPr>
        <w:t>(4)    possess and maintain all necessary certificates, exemptions, franchises, licenses, permits, designations, rights, concessions, authorizations, frequencies and consents that are material to the operation of the Pledged Slots or the Pledged Routes operated by it, and to the conduct of its business and operations as currently conducted, except to the extent that any failure to possess or maintain would not reasonably be expected to result in a Material Adverse Effect;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63" w:name="i6c4a429c756c4008a3719a1bf912bb9c"/>
      <w:bookmarkEnd w:id="263"/>
      <w:r>
        <w:rPr>
          <w:rFonts w:ascii="Times New Roman;serif" w:hAnsi="Times New Roman;serif"/>
          <w:b w:val="false"/>
          <w:color w:val="000000"/>
          <w:sz w:val="24"/>
        </w:rPr>
        <w:t>(5)    maintain Pledged Gate Leaseholds sufficient to ensure its ability to retain its right in and to the Pledged Routes and to preserve its right in and to its Pledged Slots, except to the extent that any failure to maintain would not reasonably be expected to result in a Material Adverse Effect;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64" w:name="ie3a94f51547449d89a1700581500bbb4"/>
      <w:bookmarkEnd w:id="264"/>
      <w:r>
        <w:rPr>
          <w:rFonts w:ascii="Times New Roman;serif" w:hAnsi="Times New Roman;serif"/>
          <w:b w:val="false"/>
          <w:color w:val="000000"/>
          <w:sz w:val="24"/>
        </w:rPr>
        <w:t>(6)    utilize its Pledged Slots in a manner consistent with applicable regulations, rules, foreign laws and contracts in order to preserve its right to hold and use its Pledged Slots, taking into account any waiver or other relief granted to it by any applicable Governmental Authority or Airport Authority, except to the extent that any failure to utilize would not reasonably be expected to result in a Material Adverse Effect;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65" w:name="idcc34daee56d47c2aad3ff802113e1c0"/>
      <w:bookmarkEnd w:id="265"/>
      <w:r>
        <w:rPr>
          <w:rFonts w:ascii="Times New Roman;serif" w:hAnsi="Times New Roman;serif"/>
          <w:b w:val="false"/>
          <w:color w:val="000000"/>
          <w:sz w:val="24"/>
        </w:rPr>
        <w:t xml:space="preserve">(7)    cause to be done all things reasonably necessary to preserve and keep in full force and effect its rights in and to use its Pledged Slots, including, </w:t>
      </w:r>
    </w:p>
    <w:p>
      <w:pPr>
        <w:pStyle w:val="TextBody"/>
        <w:bidi w:val="0"/>
        <w:spacing w:before="0" w:after="0"/>
        <w:jc w:val="center"/>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25145"/>
                <wp:effectExtent l="0" t="0" r="0" b="0"/>
                <wp:wrapNone/>
                <wp:docPr id="140" name="Frame13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without limitation, satisfying any applicable Use or Lose Rule (taking into account any exemptions or other relief granted by the relevant Governmental Authority), except to the extent that any failure to do so would not reasonably be expected to result in a Material Adverse Effect;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66" w:name="i874ef9d9b50543a48a89a6ee4e2fd64c"/>
      <w:bookmarkEnd w:id="266"/>
      <w:r>
        <w:rPr>
          <w:rFonts w:ascii="Times New Roman;serif" w:hAnsi="Times New Roman;serif"/>
          <w:b w:val="false"/>
          <w:color w:val="000000"/>
          <w:sz w:val="24"/>
        </w:rPr>
        <w:t>(8)    [Intentionally Omitted];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67" w:name="id3c2309df139474baa437681ea84effe"/>
      <w:bookmarkEnd w:id="267"/>
      <w:r>
        <w:rPr>
          <w:rFonts w:ascii="Times New Roman;serif" w:hAnsi="Times New Roman;serif"/>
          <w:b w:val="false"/>
          <w:color w:val="000000"/>
          <w:sz w:val="24"/>
        </w:rPr>
        <w:t>(9)    utilize its Pledged Routes in a manner consistent with Title 49, applicable foreign law, the applicable rules and regulations of the FAA, DOT and any applicable Foreign Aviation Authorities, and any applicable treaty in order to preserve its rights to hold and operate its Pledged Routes, except to the extent that any failure to utilize would not reasonably be expected to result in a Material Adverse Effect; and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68" w:name="i3661a815e3654f55861dfe11ced9eebe"/>
      <w:bookmarkEnd w:id="268"/>
      <w:r>
        <w:rPr>
          <w:rFonts w:ascii="Times New Roman;serif" w:hAnsi="Times New Roman;serif"/>
          <w:b w:val="false"/>
          <w:color w:val="000000"/>
          <w:sz w:val="24"/>
        </w:rPr>
        <w:t>(10)    cause to be done all things reasonably necessary to preserve and keep in full force and effect its authority to serve its Pledged Routes, except to the extent that any failure to do so would not reasonably be expected to result in a Material Adverse Effect.</w:t>
      </w:r>
    </w:p>
    <w:p>
      <w:pPr>
        <w:pStyle w:val="TextBody"/>
        <w:bidi w:val="0"/>
        <w:spacing w:lineRule="auto" w:line="288" w:before="240" w:after="283"/>
        <w:ind w:left="0" w:right="0" w:firstLine="720"/>
        <w:jc w:val="left"/>
        <w:rPr/>
      </w:pPr>
      <w:bookmarkStart w:id="269" w:name="ie5410c774b6a4469bef4957cd975f31e"/>
      <w:bookmarkEnd w:id="269"/>
      <w:r>
        <w:rPr>
          <w:rFonts w:ascii="Times New Roman;serif" w:hAnsi="Times New Roman;serif"/>
          <w:b w:val="false"/>
          <w:color w:val="000000"/>
          <w:sz w:val="24"/>
        </w:rPr>
        <w:t xml:space="preserve">(b)    Without in any way limiting </w:t>
      </w:r>
      <w:r>
        <w:rPr>
          <w:rFonts w:ascii="Times New Roman;serif" w:hAnsi="Times New Roman;serif"/>
          <w:b w:val="false"/>
          <w:color w:val="000000"/>
          <w:sz w:val="24"/>
          <w:u w:val="single"/>
        </w:rPr>
        <w:t>Section 5.09(a)</w:t>
      </w:r>
      <w:r>
        <w:rPr>
          <w:color w:val="000000"/>
        </w:rPr>
        <w:t xml:space="preserve"> </w:t>
      </w:r>
      <w:r>
        <w:rPr>
          <w:rFonts w:ascii="Times New Roman;serif" w:hAnsi="Times New Roman;serif"/>
          <w:b w:val="false"/>
          <w:color w:val="000000"/>
          <w:sz w:val="24"/>
        </w:rPr>
        <w:t xml:space="preserve">hereof, the Borrower will: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70" w:name="ie4889e677b2b4dbca0fa6a9dfde07480"/>
      <w:bookmarkEnd w:id="270"/>
      <w:r>
        <w:rPr>
          <w:rFonts w:ascii="Times New Roman;serif" w:hAnsi="Times New Roman;serif"/>
          <w:b w:val="false"/>
          <w:color w:val="000000"/>
          <w:sz w:val="24"/>
        </w:rPr>
        <w:t xml:space="preserve">(1)    promptly take all such steps as may be reasonably necessary to obtain renewal of its authority to serve its Pledged Routes from the DOT and any applicable Foreign Aviation Authorities within a reasonable time prior to the expiration of such authority (as prescribed by law or regulation, if any), and notify the Collateral Trustee of any material adverse development in the renewal of such authority;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71" w:name="i09e7ac42e21a40fbb8452e168c0f1428"/>
      <w:bookmarkEnd w:id="271"/>
      <w:r>
        <w:rPr>
          <w:rFonts w:ascii="Times New Roman;serif" w:hAnsi="Times New Roman;serif"/>
          <w:b w:val="false"/>
          <w:color w:val="000000"/>
          <w:sz w:val="24"/>
        </w:rPr>
        <w:t xml:space="preserve">(2)    promptly take all such steps as may be reasonably necessary to maintain, renew and obtain, or obtain the use of, Pledged Gate Leaseholds as needed for its continued and future operations over its Pledged Routes or using the Pledged FAA Slots;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72" w:name="i2d027fd88f034b78bdc4cb989a924c6c"/>
      <w:bookmarkEnd w:id="272"/>
      <w:r>
        <w:rPr>
          <w:rFonts w:ascii="Times New Roman;serif" w:hAnsi="Times New Roman;serif"/>
          <w:b w:val="false"/>
          <w:color w:val="000000"/>
          <w:sz w:val="24"/>
        </w:rPr>
        <w:t xml:space="preserve">(3)    take all actions reasonably necessary or advisable in order to maintain its material rights to use its Pledged Routes (including, without limitation, protecting its Pledged Routes from dormancy or withdrawal by the DOT or any applicable Foreign Aviation Authorities) and to have access to its Pledged Gate Leaseholds; and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73" w:name="ifa467551790146f888fdeb922827a1ec"/>
      <w:bookmarkEnd w:id="273"/>
      <w:r>
        <w:rPr>
          <w:rFonts w:ascii="Times New Roman;serif" w:hAnsi="Times New Roman;serif"/>
          <w:b w:val="false"/>
          <w:color w:val="000000"/>
          <w:sz w:val="24"/>
        </w:rPr>
        <w:t>(4)    pay any applicable filing fees and other expenses related to the submission of applications, renewal requests, and other filings as may be reasonably necessary to maintain or obtain its Pledged Routes and have access to its Pledged Gate Leaseholds;</w:t>
      </w:r>
    </w:p>
    <w:p>
      <w:pPr>
        <w:pStyle w:val="TextBody"/>
        <w:bidi w:val="0"/>
        <w:spacing w:lineRule="auto" w:line="288" w:before="240" w:after="283"/>
        <w:jc w:val="left"/>
        <w:rPr>
          <w:rFonts w:ascii="Times New Roman;serif" w:hAnsi="Times New Roman;serif"/>
          <w:b w:val="false"/>
          <w:color w:val="000000"/>
          <w:sz w:val="24"/>
        </w:rPr>
      </w:pPr>
      <w:bookmarkStart w:id="274" w:name="i4c37bf344c7340aca6b56b636c8a36f8"/>
      <w:bookmarkEnd w:id="274"/>
      <w:r>
        <w:rPr>
          <w:rFonts w:ascii="Times New Roman;serif" w:hAnsi="Times New Roman;serif"/>
          <w:b w:val="false"/>
          <w:color w:val="000000"/>
          <w:sz w:val="24"/>
        </w:rPr>
        <w:t>in each case, except to the extent as would not reasonably be expected to result in a Material Adverse Effect.</w:t>
      </w:r>
    </w:p>
    <w:p>
      <w:pPr>
        <w:pStyle w:val="TextBody"/>
        <w:bidi w:val="0"/>
        <w:spacing w:before="0" w:after="0"/>
        <w:jc w:val="center"/>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525145"/>
                <wp:effectExtent l="0" t="0" r="0" b="0"/>
                <wp:wrapNone/>
                <wp:docPr id="141" name="Frame14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275" w:name="i898e80f2c3c04657aa54bb9ed401db33"/>
      <w:bookmarkEnd w:id="275"/>
      <w:r>
        <w:rPr>
          <w:rFonts w:ascii="Times New Roman;serif" w:hAnsi="Times New Roman;serif"/>
          <w:b w:val="false"/>
          <w:color w:val="000000"/>
          <w:sz w:val="24"/>
        </w:rPr>
        <w:t>Section 5.10.    </w:t>
      </w:r>
      <w:r>
        <w:rPr>
          <w:rFonts w:ascii="Times New Roman;serif" w:hAnsi="Times New Roman;serif"/>
          <w:b w:val="false"/>
          <w:color w:val="000000"/>
          <w:sz w:val="24"/>
          <w:u w:val="single"/>
        </w:rPr>
        <w:t>Collateral Ownership</w:t>
      </w:r>
      <w:r>
        <w:rPr>
          <w:rFonts w:ascii="Times New Roman;serif" w:hAnsi="Times New Roman;serif"/>
          <w:b w:val="false"/>
          <w:color w:val="000000"/>
          <w:sz w:val="24"/>
        </w:rPr>
        <w:t xml:space="preserve">. Subject to the provisions described (including the actions permitted) under </w:t>
      </w:r>
      <w:r>
        <w:rPr>
          <w:rFonts w:ascii="Times New Roman;serif" w:hAnsi="Times New Roman;serif"/>
          <w:b w:val="false"/>
          <w:color w:val="000000"/>
          <w:sz w:val="24"/>
          <w:u w:val="single"/>
        </w:rPr>
        <w:t>Sections 6.04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6.10</w:t>
      </w:r>
      <w:r>
        <w:rPr>
          <w:color w:val="000000"/>
        </w:rPr>
        <w:t xml:space="preserve"> </w:t>
      </w:r>
      <w:r>
        <w:rPr>
          <w:rFonts w:ascii="Times New Roman;serif" w:hAnsi="Times New Roman;serif"/>
          <w:b w:val="false"/>
          <w:color w:val="000000"/>
          <w:sz w:val="24"/>
        </w:rPr>
        <w:t xml:space="preserve">hereof, each Grantor will continue to maintain its interest in and right to use all property and assets so long as such property and assets constitute Collateral, except as provided in </w:t>
      </w:r>
      <w:r>
        <w:rPr>
          <w:rFonts w:ascii="Times New Roman;serif" w:hAnsi="Times New Roman;serif"/>
          <w:b w:val="false"/>
          <w:color w:val="000000"/>
          <w:sz w:val="24"/>
          <w:u w:val="single"/>
        </w:rPr>
        <w:t>Section 5.09</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276" w:name="i44f9e94874b04024afc3b413078e2593"/>
      <w:bookmarkEnd w:id="276"/>
      <w:r>
        <w:rPr>
          <w:rFonts w:ascii="Times New Roman;serif" w:hAnsi="Times New Roman;serif"/>
          <w:b w:val="false"/>
          <w:color w:val="000000"/>
          <w:sz w:val="24"/>
        </w:rPr>
        <w:t>Section 5.11.    </w:t>
      </w:r>
      <w:r>
        <w:rPr>
          <w:rFonts w:ascii="Times New Roman;serif" w:hAnsi="Times New Roman;serif"/>
          <w:b w:val="false"/>
          <w:color w:val="000000"/>
          <w:sz w:val="24"/>
          <w:u w:val="single"/>
        </w:rPr>
        <w:t>Reserved</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left"/>
        <w:rPr/>
      </w:pPr>
      <w:bookmarkStart w:id="277" w:name="i926105b8abeb4ba4886a60ebeeb0dd0c"/>
      <w:bookmarkEnd w:id="277"/>
      <w:r>
        <w:rPr>
          <w:rFonts w:ascii="Times New Roman;serif" w:hAnsi="Times New Roman;serif"/>
          <w:b w:val="false"/>
          <w:color w:val="000000"/>
          <w:sz w:val="24"/>
        </w:rPr>
        <w:t>Section 5.12.    </w:t>
      </w:r>
      <w:r>
        <w:rPr>
          <w:rFonts w:ascii="Times New Roman;serif" w:hAnsi="Times New Roman;serif"/>
          <w:b w:val="false"/>
          <w:color w:val="000000"/>
          <w:sz w:val="24"/>
          <w:u w:val="single"/>
        </w:rPr>
        <w:t>Additional Guarantors; Grantors; Collateral</w:t>
      </w:r>
      <w:r>
        <w:rPr>
          <w:rFonts w:ascii="Times New Roman;serif" w:hAnsi="Times New Roman;serif"/>
          <w:b w:val="false"/>
          <w:color w:val="000000"/>
          <w:sz w:val="24"/>
        </w:rPr>
        <w:t xml:space="preserve">. If Parent or any Subsidiary of Parent (a) desires or is required pursuant to the terms of this Agreement to add Cure Collateral, Parent shall, or (b) acquires or holds any United SRG that is not Excluded Property (including by reason of any Excluded Property ceasing to constitute Excluded Property), Parent shall promptly (and in any event, within twenty (20) Business Days of such acquisition, termination, release or other applicable event), in each case at its own expense, (A) cause any such Subsidiary to become a party to the Guarantee contained in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hereof (to the extent such Subsidiary is not already a party thereto) and cause any such Grantor to become a party to each applicable Collateral Document and all other agreements, instruments or documents that create or purport to create and perfect a first priority Lien (subject to Permitted Liens) in favor of the Collateral Trustee for the benefit of the Secured Parties applicable to such Collateral, by executing and delivering to the Administrative Agent an Instrument of Assumption and Joinder substantially in the form attached hereto as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and/or by executing and delivering to the Collateral Trustee joinders or collateral supplements to all applicable Collateral Documents or pursuant to new Collateral Documents, as the case may be, in form and substance reasonably satisfactory to the Administrative Agent (</w:t>
      </w:r>
      <w:r>
        <w:rPr>
          <w:rFonts w:ascii="Times New Roman;serif" w:hAnsi="Times New Roman;serif"/>
          <w:b w:val="false"/>
          <w:i/>
          <w:color w:val="000000"/>
          <w:sz w:val="24"/>
        </w:rPr>
        <w:t>it being understood</w:t>
      </w:r>
      <w:r>
        <w:rPr>
          <w:rFonts w:ascii="Times New Roman;serif" w:hAnsi="Times New Roman;serif"/>
          <w:b w:val="false"/>
          <w:color w:val="000000"/>
          <w:sz w:val="24"/>
        </w:rPr>
        <w:t xml:space="preserve">, that in the case of Cure Collateral of a type that has not been theretofore included in the Collateral, such Cure Collateral may be subject to such additional terms and conditions as may be customarily required by lenders in similar financings of a similar size for similarly situated borrowers secured by the same type of Collateral, as agreed by the Borrower and the Administrative Agent in their reasonable discretion), (B) promptly execute and deliver (or cause such Subsidiary to execute and deliver) to the Collateral Trustee such documents and take such actions to create, grant, establish, preserve and perfect the first priority Liens (subject to Permitted Liens) (including to obtain any release or termination of Liens not permitted under the definition of “Cure Collateral” in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 xml:space="preserve">or under </w:t>
      </w:r>
      <w:r>
        <w:rPr>
          <w:rFonts w:ascii="Times New Roman;serif" w:hAnsi="Times New Roman;serif"/>
          <w:b w:val="false"/>
          <w:color w:val="000000"/>
          <w:sz w:val="24"/>
          <w:u w:val="single"/>
        </w:rPr>
        <w:t>Section 6.06</w:t>
      </w:r>
      <w:r>
        <w:rPr>
          <w:color w:val="000000"/>
        </w:rPr>
        <w:t xml:space="preserve"> </w:t>
      </w:r>
      <w:r>
        <w:rPr>
          <w:rFonts w:ascii="Times New Roman;serif" w:hAnsi="Times New Roman;serif"/>
          <w:b w:val="false"/>
          <w:color w:val="000000"/>
          <w:sz w:val="24"/>
        </w:rPr>
        <w:t xml:space="preserve">and the filing of UCC financing statements) in favor of the Collateral Trustee for the benefit of the Secured Parties on such assets of Parent or such Subsidiary, as applicable, to secure the Obligations to the extent required under the applicable Collateral Documents or reasonably requested by the Collateral Trustee (in accordance with </w:t>
      </w:r>
      <w:r>
        <w:rPr>
          <w:rFonts w:ascii="Times New Roman;serif" w:hAnsi="Times New Roman;serif"/>
          <w:b w:val="false"/>
          <w:color w:val="000000"/>
          <w:sz w:val="24"/>
          <w:u w:val="single"/>
        </w:rPr>
        <w:t>Section 5.14</w:t>
      </w:r>
      <w:r>
        <w:rPr>
          <w:rFonts w:ascii="Times New Roman;serif" w:hAnsi="Times New Roman;serif"/>
          <w:b w:val="false"/>
          <w:color w:val="000000"/>
          <w:sz w:val="24"/>
        </w:rPr>
        <w:t xml:space="preserve">), and to ensure that such Collateral shall be subject to no other Liens other than Permitted Liens and (C) if reasonably requested by the Collateral Trustee, deliver to the Collateral Trustee, for the benefit of the Secured Parties, a written opinion of counsel (which counsel shall be reasonably satisfactory to the Collateral Trustee) to Parent or such Subsidiary, as applicable, with respect to the matters described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hereof, in each case within twenty (20) Business Days after the addition of such Collateral and in form and substance reasonably satisfactory to the Collateral Trustee.</w:t>
      </w:r>
    </w:p>
    <w:p>
      <w:pPr>
        <w:pStyle w:val="TextBody"/>
        <w:bidi w:val="0"/>
        <w:spacing w:lineRule="auto" w:line="288" w:before="240" w:after="283"/>
        <w:ind w:left="0" w:right="0" w:firstLine="720"/>
        <w:jc w:val="left"/>
        <w:rPr/>
      </w:pPr>
      <w:bookmarkStart w:id="278" w:name="i42cabc51841b4195bff102372aee42b7"/>
      <w:bookmarkEnd w:id="278"/>
      <w:r>
        <w:rPr>
          <w:rFonts w:ascii="Times New Roman;serif" w:hAnsi="Times New Roman;serif"/>
          <w:b w:val="false"/>
          <w:color w:val="000000"/>
          <w:sz w:val="24"/>
        </w:rPr>
        <w:t>Section 5.13.    </w:t>
      </w:r>
      <w:r>
        <w:rPr>
          <w:rFonts w:ascii="Times New Roman;serif" w:hAnsi="Times New Roman;serif"/>
          <w:b w:val="false"/>
          <w:color w:val="000000"/>
          <w:sz w:val="24"/>
          <w:u w:val="single"/>
        </w:rPr>
        <w:t>Access to Books and Records</w:t>
      </w:r>
      <w:r>
        <w:rPr>
          <w:rFonts w:ascii="Times New Roman;serif" w:hAnsi="Times New Roman;serif"/>
          <w:b w:val="false"/>
          <w:color w:val="000000"/>
          <w:sz w:val="24"/>
        </w:rPr>
        <w:t xml:space="preserve">. </w:t>
      </w:r>
    </w:p>
    <w:p>
      <w:pPr>
        <w:pStyle w:val="TextBody"/>
        <w:bidi w:val="0"/>
        <w:spacing w:before="0" w:after="0"/>
        <w:jc w:val="center"/>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25145"/>
                <wp:effectExtent l="0" t="0" r="0" b="0"/>
                <wp:wrapNone/>
                <wp:docPr id="142" name="Frame14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279" w:name="i1bce88959e0d4b2fbfb792e19b82d9e9"/>
      <w:bookmarkEnd w:id="279"/>
      <w:r>
        <w:rPr>
          <w:rFonts w:ascii="Times New Roman;serif" w:hAnsi="Times New Roman;serif"/>
          <w:b w:val="false"/>
          <w:color w:val="000000"/>
          <w:sz w:val="24"/>
        </w:rPr>
        <w:t>(a)    The Borrower and the Guarantors will make and keep books, records and accounts in which full, true and correct entries in conformity with GAAP are made of all financial dealings and transactions in relation to its business and activities, including, without limitation, an accurate and fair reflection of the transactions and dispositions of the assets of the Borrower and the Guarantors.</w:t>
      </w:r>
    </w:p>
    <w:p>
      <w:pPr>
        <w:pStyle w:val="TextBody"/>
        <w:bidi w:val="0"/>
        <w:spacing w:lineRule="auto" w:line="288" w:before="240" w:after="283"/>
        <w:ind w:left="0" w:right="0" w:firstLine="720"/>
        <w:jc w:val="left"/>
        <w:rPr/>
      </w:pPr>
      <w:bookmarkStart w:id="280" w:name="i0adc1aaa440e48958a70802e428b2b7b"/>
      <w:bookmarkEnd w:id="280"/>
      <w:r>
        <w:rPr>
          <w:rFonts w:ascii="Times New Roman;serif" w:hAnsi="Times New Roman;serif"/>
          <w:b w:val="false"/>
          <w:color w:val="000000"/>
          <w:sz w:val="24"/>
        </w:rPr>
        <w:t xml:space="preserve">(b)    The Borrower and the Guarantors will permit, to the extent not prohibited by applicable law or contractual obligations, any representatives designated by the Administrative Agent or the Collateral Trustee or any Governmental Authority that is authorized to supervise or regulate the operations of a Lender, as designated by such Lender, upon reasonable prior written notice and, so long as no Event of Default has occurred and is continuing, at no out-of-pocket cost to the Borrower and the Guarantors, to (x) visit and inspect the Collateral and the properties of the Borrower and the Guarantors, (y) examine its books and records, and (z) discuss its affairs, finances and condition with its officers and independent accountants, all at such reasonable times during normal business hours and as often as reasonably requested (it being understood that a representative of the Borrower will be present) subject to any restrictions in any applicable Collateral Document;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an Event of Default has occurred and is continuing, the Borrower and the Guarantors shall be responsible for the reasonable costs and expenses of any visits of the Administrative Agent, the Collateral Trustee and the Lenders, acting together (but not separately);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with respect to Collateral and matters relating thereto, the rights of Administrative Agent, the Collateral Trustee and the Lenders under this </w:t>
      </w:r>
      <w:r>
        <w:rPr>
          <w:rFonts w:ascii="Times New Roman;serif" w:hAnsi="Times New Roman;serif"/>
          <w:b w:val="false"/>
          <w:color w:val="000000"/>
          <w:sz w:val="24"/>
          <w:u w:val="single"/>
        </w:rPr>
        <w:t>Section 5.13</w:t>
      </w:r>
      <w:r>
        <w:rPr>
          <w:color w:val="000000"/>
        </w:rPr>
        <w:t xml:space="preserve"> </w:t>
      </w:r>
      <w:r>
        <w:rPr>
          <w:rFonts w:ascii="Times New Roman;serif" w:hAnsi="Times New Roman;serif"/>
          <w:b w:val="false"/>
          <w:color w:val="000000"/>
          <w:sz w:val="24"/>
        </w:rPr>
        <w:t>shall, subject to the inspection provisions of the applicable Collateral Documents, be limited to the following: upon the request of the Administrative Agent or the Collateral Trustee, the applicable Grantor will permit the Administrative Agent and/or the Collateral Trustee or any of its agents or representatives, at reasonable times and intervals upon reasonable prior notice, to (x) visit during normal business hours its offices, sites and properties and (y) inspect any documents relating to (i) the existence of such Collateral, (ii) with respect to Collateral other than Pledged Routes, Pledged Slots and Pledged Gate Leaseholds, the condition of such Collateral, and (iii) the validity, perfection and priority of the Liens on such Collateral, and to discuss such matters with its officers, except to the extent the disclosure of any such document or any such discussion would result in the applicable Grantor’s violation of its contractual or legal obligations. All confidential or proprietary information obtained in connection with any such visit, inspection or discussion shall be held confidential by the Administrative Agent, the Collateral Trustee and each of their respective agents and representatives and shall not be furnished or disclosed by any of them to anyone other than their respective bank examiners, auditors, accountants, agents and legal counsel, and except as may be required by any court or administrative agency or by any statute, rule, regulation or order of any Governmental Authority.</w:t>
      </w:r>
    </w:p>
    <w:p>
      <w:pPr>
        <w:pStyle w:val="TextBody"/>
        <w:bidi w:val="0"/>
        <w:spacing w:lineRule="auto" w:line="288" w:before="240" w:after="283"/>
        <w:ind w:left="0" w:right="0" w:firstLine="720"/>
        <w:jc w:val="left"/>
        <w:rPr/>
      </w:pPr>
      <w:bookmarkStart w:id="281" w:name="i2acab1a8ebb14faa8635ae6e1e757f1b"/>
      <w:bookmarkEnd w:id="281"/>
      <w:r>
        <w:rPr>
          <w:rFonts w:ascii="Times New Roman;serif" w:hAnsi="Times New Roman;serif"/>
          <w:b w:val="false"/>
          <w:color w:val="000000"/>
          <w:sz w:val="24"/>
        </w:rPr>
        <w:t>Section 5.14.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xml:space="preserve">. The Borrower and each Guarantor shall execute any and all further documents and instruments, and take all further actions, that may be required or advisable under applicable law, or by the FAA, or that the Administrative Agent or the Collateral Trustee may reasonably request, in order to create, grant, establish, preserve, protect and perfect the validity, perfection and priority of the Liens and security interests created or intended to be created by the Collateral Documents, to the extent required under this Agreement or the Collateral Documents. Notwithstanding anything to the contrary in any Loan Document, (A) no </w:t>
      </w:r>
    </w:p>
    <w:p>
      <w:pPr>
        <w:pStyle w:val="TextBody"/>
        <w:bidi w:val="0"/>
        <w:spacing w:before="0" w:after="0"/>
        <w:jc w:val="center"/>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525145"/>
                <wp:effectExtent l="0" t="0" r="0" b="0"/>
                <wp:wrapNone/>
                <wp:docPr id="143" name="Frame14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perfection actions or steps will be required to be taken (i) in any jurisdiction other than the United States (or any state thereof), except in connection with the UK Debenture, or (ii) under or in connection with any Collateral Document governed by the laws of a jurisdiction other than the United States (or any state thereof), except the UK Debenture, and (B) the Grantors shall not be required to record any leasehold interests, make any fixture filings, or make any other real property recordings or filings, or other actions in connection with the perfection of real property interests in any jurisdiction, in connection with the Lien on any Gate Leasehold (to the extent characterized as interests in real property) that are included in the Collateral.</w:t>
      </w:r>
    </w:p>
    <w:p>
      <w:pPr>
        <w:pStyle w:val="TextBody"/>
        <w:bidi w:val="0"/>
        <w:spacing w:lineRule="auto" w:line="288" w:before="240" w:after="283"/>
        <w:jc w:val="center"/>
        <w:rPr>
          <w:rFonts w:ascii="Times New Roman;serif" w:hAnsi="Times New Roman;serif"/>
          <w:b/>
          <w:color w:val="000000"/>
          <w:sz w:val="24"/>
        </w:rPr>
      </w:pPr>
      <w:bookmarkStart w:id="282" w:name="ifa4a821a4d634c7b906fb06fd219d9dd"/>
      <w:bookmarkEnd w:id="282"/>
      <w:r>
        <w:rPr>
          <w:rFonts w:ascii="Times New Roman;serif" w:hAnsi="Times New Roman;serif"/>
          <w:b/>
          <w:color w:val="000000"/>
          <w:sz w:val="24"/>
        </w:rPr>
        <w:t>SECTION 6.</w:t>
        <w:br/>
        <w:br/>
        <w:t>NEGATIVE COVENANTS</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w:t>
      </w:r>
      <w:r>
        <w:rPr>
          <w:rFonts w:ascii="Times New Roman;serif" w:hAnsi="Times New Roman;serif"/>
          <w:b w:val="false"/>
          <w:color w:val="000000"/>
          <w:sz w:val="24"/>
          <w:u w:val="single"/>
        </w:rPr>
        <w:t>Section 2.02(j)</w:t>
      </w:r>
      <w:r>
        <w:rPr>
          <w:rFonts w:ascii="Times New Roman;serif" w:hAnsi="Times New Roman;serif"/>
          <w:b w:val="false"/>
          <w:color w:val="000000"/>
          <w:sz w:val="24"/>
        </w:rPr>
        <w:t>) or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w:t>
      </w:r>
    </w:p>
    <w:p>
      <w:pPr>
        <w:pStyle w:val="TextBody"/>
        <w:bidi w:val="0"/>
        <w:spacing w:lineRule="auto" w:line="288" w:before="240" w:after="283"/>
        <w:ind w:left="0" w:right="0" w:firstLine="720"/>
        <w:jc w:val="left"/>
        <w:rPr/>
      </w:pPr>
      <w:bookmarkStart w:id="283" w:name="ic1e92c00a07f45828e94a1532ad5d014"/>
      <w:bookmarkEnd w:id="283"/>
      <w:r>
        <w:rPr>
          <w:rFonts w:ascii="Times New Roman;serif" w:hAnsi="Times New Roman;serif"/>
          <w:b w:val="false"/>
          <w:color w:val="000000"/>
          <w:sz w:val="24"/>
        </w:rPr>
        <w:t>Section 6.01.    [</w:t>
      </w:r>
      <w:r>
        <w:rPr>
          <w:rFonts w:ascii="Times New Roman;serif" w:hAnsi="Times New Roman;serif"/>
          <w:b w:val="false"/>
          <w:color w:val="000000"/>
          <w:sz w:val="24"/>
          <w:u w:val="single"/>
        </w:rPr>
        <w:t>Intentionally Omitted</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284" w:name="ifec734f0e7454dbba5d9c8c414758d81"/>
      <w:bookmarkEnd w:id="284"/>
      <w:r>
        <w:rPr>
          <w:rFonts w:ascii="Times New Roman;serif" w:hAnsi="Times New Roman;serif"/>
          <w:b w:val="false"/>
          <w:color w:val="000000"/>
          <w:sz w:val="24"/>
        </w:rPr>
        <w:t>Section 6.02.    [</w:t>
      </w:r>
      <w:r>
        <w:rPr>
          <w:rFonts w:ascii="Times New Roman;serif" w:hAnsi="Times New Roman;serif"/>
          <w:b w:val="false"/>
          <w:color w:val="000000"/>
          <w:sz w:val="24"/>
          <w:u w:val="single"/>
        </w:rPr>
        <w:t>Intentionally Omitted</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285" w:name="i6fe3c1dbfd774e1ea8252b341c309210"/>
      <w:bookmarkEnd w:id="285"/>
      <w:r>
        <w:rPr>
          <w:rFonts w:ascii="Times New Roman;serif" w:hAnsi="Times New Roman;serif"/>
          <w:b w:val="false"/>
          <w:color w:val="000000"/>
          <w:sz w:val="24"/>
        </w:rPr>
        <w:t>Section 6.03.    [</w:t>
      </w:r>
      <w:r>
        <w:rPr>
          <w:rFonts w:ascii="Times New Roman;serif" w:hAnsi="Times New Roman;serif"/>
          <w:b w:val="false"/>
          <w:color w:val="000000"/>
          <w:sz w:val="24"/>
          <w:u w:val="single"/>
        </w:rPr>
        <w:t>Intentionally Omitted</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286" w:name="id86659bab2264fe7a8fd08397a2bfdad"/>
      <w:bookmarkEnd w:id="286"/>
      <w:r>
        <w:rPr>
          <w:rFonts w:ascii="Times New Roman;serif" w:hAnsi="Times New Roman;serif"/>
          <w:b w:val="false"/>
          <w:color w:val="000000"/>
          <w:sz w:val="24"/>
        </w:rPr>
        <w:t>Section 6.04.    </w:t>
      </w:r>
      <w:r>
        <w:rPr>
          <w:rFonts w:ascii="Times New Roman;serif" w:hAnsi="Times New Roman;serif"/>
          <w:b w:val="false"/>
          <w:color w:val="000000"/>
          <w:sz w:val="24"/>
          <w:u w:val="single"/>
        </w:rPr>
        <w:t>Disposition of Collateral</w:t>
      </w:r>
      <w:r>
        <w:rPr>
          <w:rFonts w:ascii="Times New Roman;serif" w:hAnsi="Times New Roman;serif"/>
          <w:b w:val="false"/>
          <w:color w:val="000000"/>
          <w:sz w:val="24"/>
        </w:rPr>
        <w:t xml:space="preserve">. Neither the Borrower nor any Grantor shall sell or otherwise Dispose of any Collateral (including, without limitation, by way of any Sale of a Grantor) except that such sale or other Disposition shall be permitted in the case of (i) a Permitted Disposition or (ii) any other sale or Disposition,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the case of this </w:t>
      </w:r>
      <w:r>
        <w:rPr>
          <w:rFonts w:ascii="Times New Roman;serif" w:hAnsi="Times New Roman;serif"/>
          <w:b w:val="false"/>
          <w:color w:val="000000"/>
          <w:sz w:val="24"/>
          <w:u w:val="single"/>
        </w:rPr>
        <w:t>clause (ii)</w:t>
      </w:r>
      <w:r>
        <w:rPr>
          <w:rFonts w:ascii="Times New Roman;serif" w:hAnsi="Times New Roman;serif"/>
          <w:b w:val="false"/>
          <w:color w:val="000000"/>
          <w:sz w:val="24"/>
        </w:rPr>
        <w:t xml:space="preserve">, (A) no Event of Default shall have occurred and be continuing, (B) the Collateral Coverage Test is satisfied on a </w:t>
      </w:r>
      <w:r>
        <w:rPr>
          <w:rFonts w:ascii="Times New Roman;serif" w:hAnsi="Times New Roman;serif"/>
          <w:b w:val="false"/>
          <w:i/>
          <w:color w:val="000000"/>
          <w:sz w:val="24"/>
        </w:rPr>
        <w:t xml:space="preserve">pro forma </w:t>
      </w:r>
      <w:r>
        <w:rPr>
          <w:rFonts w:ascii="Times New Roman;serif" w:hAnsi="Times New Roman;serif"/>
          <w:b w:val="false"/>
          <w:color w:val="000000"/>
          <w:sz w:val="24"/>
        </w:rPr>
        <w:t xml:space="preserve">basis after giving effect to such sale or other Disposition (including any deposit of any Net Proceeds received upon consummation thereof in an account pledged to the Collateral Trustee (for the benefit of the Secured Parties) and subject to an Account Control Agreement and any concurrent pledge of Cure Collateral), (C) the Borrower shall promptly provide to the Administrative Agent a Collateral Coverage Ratio Certificate calculating the Collateral Coverage Ratio on a </w:t>
      </w:r>
      <w:r>
        <w:rPr>
          <w:rFonts w:ascii="Times New Roman;serif" w:hAnsi="Times New Roman;serif"/>
          <w:b w:val="false"/>
          <w:i/>
          <w:color w:val="000000"/>
          <w:sz w:val="24"/>
        </w:rPr>
        <w:t xml:space="preserve">pro forma </w:t>
      </w:r>
      <w:r>
        <w:rPr>
          <w:rFonts w:ascii="Times New Roman;serif" w:hAnsi="Times New Roman;serif"/>
          <w:b w:val="false"/>
          <w:color w:val="000000"/>
          <w:sz w:val="24"/>
        </w:rPr>
        <w:t xml:space="preserve">basis after giving effect to such sale or other Disposition (including any pledge of Cure Collateral and/or prepayment of Loans, if any), (D) such sale or other Disposition, if to any other Person, is an arms’ length Disposition to a third party (other than any Affiliate of the Borrower) and (E) to the extent that the Borrower receives any Net Proceeds from such sale or other Disposition, such Net Proceeds shall be applied as provided under </w:t>
      </w:r>
      <w:r>
        <w:rPr>
          <w:rFonts w:ascii="Times New Roman;serif" w:hAnsi="Times New Roman;serif"/>
          <w:b w:val="false"/>
          <w:color w:val="000000"/>
          <w:sz w:val="24"/>
          <w:u w:val="single"/>
        </w:rPr>
        <w:t>Section 2.12(b)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nothing contained in this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is intended to excuse performance by the Borrower or any Guarantor of any requirement of any Collateral Document that would be applicable to a Disposition permitted hereunder. A Disposition of Collateral referred to in </w:t>
      </w:r>
      <w:r>
        <w:rPr>
          <w:rFonts w:ascii="Times New Roman;serif" w:hAnsi="Times New Roman;serif"/>
          <w:b w:val="false"/>
          <w:color w:val="000000"/>
          <w:sz w:val="24"/>
          <w:u w:val="single"/>
        </w:rPr>
        <w:t>clause (d)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(e)(iv)</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(f)</w:t>
      </w:r>
      <w:r>
        <w:rPr>
          <w:color w:val="000000"/>
        </w:rPr>
        <w:t xml:space="preserve"> </w:t>
      </w:r>
      <w:r>
        <w:rPr>
          <w:rFonts w:ascii="Times New Roman;serif" w:hAnsi="Times New Roman;serif"/>
          <w:b w:val="false"/>
          <w:color w:val="000000"/>
          <w:sz w:val="24"/>
        </w:rPr>
        <w:t xml:space="preserve">of the definition of </w:t>
      </w:r>
    </w:p>
    <w:p>
      <w:pPr>
        <w:pStyle w:val="TextBody"/>
        <w:bidi w:val="0"/>
        <w:spacing w:before="0" w:after="0"/>
        <w:jc w:val="center"/>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525145"/>
                <wp:effectExtent l="0" t="0" r="0" b="0"/>
                <wp:wrapNone/>
                <wp:docPr id="144" name="Frame14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color w:val="000000"/>
        </w:rPr>
        <w:t>“</w:t>
      </w:r>
      <w:r>
        <w:rPr>
          <w:rFonts w:ascii="Times New Roman;serif" w:hAnsi="Times New Roman;serif"/>
          <w:b w:val="false"/>
          <w:color w:val="000000"/>
          <w:sz w:val="24"/>
        </w:rPr>
        <w:t xml:space="preserve">Permitted Disposition” shall not result in the automatic release of such Collateral from the security interest of the applicable Collateral Document, and the Collateral subject to such Disposition shall continue to constitute Collateral for all purposes of the Loan Documents (without prejudice to the rights of the Borrower to release any such Collateral pursuant to </w:t>
      </w:r>
      <w:r>
        <w:rPr>
          <w:rFonts w:ascii="Times New Roman;serif" w:hAnsi="Times New Roman;serif"/>
          <w:b w:val="false"/>
          <w:color w:val="000000"/>
          <w:sz w:val="24"/>
          <w:u w:val="single"/>
        </w:rPr>
        <w:t>Section 6.09(c)</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287" w:name="i47c88dcae0a94be48398aca21c7506f2"/>
      <w:bookmarkEnd w:id="287"/>
      <w:r>
        <w:rPr>
          <w:rFonts w:ascii="Times New Roman;serif" w:hAnsi="Times New Roman;serif"/>
          <w:b w:val="false"/>
          <w:color w:val="000000"/>
          <w:sz w:val="24"/>
        </w:rPr>
        <w:t>Section 6.05.    [</w:t>
      </w:r>
      <w:r>
        <w:rPr>
          <w:rFonts w:ascii="Times New Roman;serif" w:hAnsi="Times New Roman;serif"/>
          <w:b w:val="false"/>
          <w:color w:val="000000"/>
          <w:sz w:val="24"/>
          <w:u w:val="single"/>
        </w:rPr>
        <w:t>Intentionally Omitted</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288" w:name="i8f3cc395d6564f2283c1c275ffd49fbe"/>
      <w:bookmarkEnd w:id="288"/>
      <w:r>
        <w:rPr>
          <w:rFonts w:ascii="Times New Roman;serif" w:hAnsi="Times New Roman;serif"/>
          <w:b w:val="false"/>
          <w:color w:val="000000"/>
          <w:sz w:val="24"/>
        </w:rPr>
        <w:t>Section 6.06.    </w:t>
      </w:r>
      <w:r>
        <w:rPr>
          <w:rFonts w:ascii="Times New Roman;serif" w:hAnsi="Times New Roman;serif"/>
          <w:b w:val="false"/>
          <w:color w:val="000000"/>
          <w:sz w:val="24"/>
          <w:u w:val="single"/>
        </w:rPr>
        <w:t>Liens</w:t>
      </w:r>
      <w:r>
        <w:rPr>
          <w:rFonts w:ascii="Times New Roman;serif" w:hAnsi="Times New Roman;serif"/>
          <w:b w:val="false"/>
          <w:color w:val="000000"/>
          <w:sz w:val="24"/>
        </w:rPr>
        <w:t>. Parent will not, and will not permit any of its Restricted Subsidiaries to, directly or indirectly, create, incur, assume or suffer to exist any Lien of any kind on any property or asset that constitutes Collateral, except Permitted Liens.</w:t>
      </w:r>
    </w:p>
    <w:p>
      <w:pPr>
        <w:pStyle w:val="TextBody"/>
        <w:bidi w:val="0"/>
        <w:spacing w:lineRule="auto" w:line="288" w:before="240" w:after="283"/>
        <w:ind w:left="0" w:right="0" w:firstLine="720"/>
        <w:jc w:val="left"/>
        <w:rPr/>
      </w:pPr>
      <w:bookmarkStart w:id="289" w:name="i4017b9de4b5e4ce792a31e20fb28bd64"/>
      <w:bookmarkEnd w:id="289"/>
      <w:r>
        <w:rPr>
          <w:rFonts w:ascii="Times New Roman;serif" w:hAnsi="Times New Roman;serif"/>
          <w:b w:val="false"/>
          <w:color w:val="000000"/>
          <w:sz w:val="24"/>
        </w:rPr>
        <w:t>Section 6.07.    </w:t>
      </w:r>
      <w:r>
        <w:rPr>
          <w:rFonts w:ascii="Times New Roman;serif" w:hAnsi="Times New Roman;serif"/>
          <w:b w:val="false"/>
          <w:color w:val="000000"/>
          <w:sz w:val="24"/>
          <w:u w:val="single"/>
        </w:rPr>
        <w:t>Business Activities</w:t>
      </w:r>
      <w:r>
        <w:rPr>
          <w:rFonts w:ascii="Times New Roman;serif" w:hAnsi="Times New Roman;serif"/>
          <w:b w:val="false"/>
          <w:color w:val="000000"/>
          <w:sz w:val="24"/>
        </w:rPr>
        <w:t>. Parent will not, and will not permit any of its Restricted Subsidiaries to, engage in any business other than Permitted Businesses, except to such extent as would not be material to Parent and its Restricted Subsidiaries taken as a whole.</w:t>
      </w:r>
    </w:p>
    <w:p>
      <w:pPr>
        <w:pStyle w:val="TextBody"/>
        <w:bidi w:val="0"/>
        <w:spacing w:lineRule="auto" w:line="288" w:before="240" w:after="283"/>
        <w:ind w:left="0" w:right="0" w:firstLine="720"/>
        <w:jc w:val="left"/>
        <w:rPr/>
      </w:pPr>
      <w:bookmarkStart w:id="290" w:name="i374bb1e8badc427a9a572d8e50622ccd"/>
      <w:bookmarkEnd w:id="290"/>
      <w:r>
        <w:rPr>
          <w:rFonts w:ascii="Times New Roman;serif" w:hAnsi="Times New Roman;serif"/>
          <w:b w:val="false"/>
          <w:color w:val="000000"/>
          <w:sz w:val="24"/>
        </w:rPr>
        <w:t>Section 6.08.    </w:t>
      </w:r>
      <w:r>
        <w:rPr>
          <w:rFonts w:ascii="Times New Roman;serif" w:hAnsi="Times New Roman;serif"/>
          <w:b w:val="false"/>
          <w:color w:val="000000"/>
          <w:sz w:val="24"/>
          <w:u w:val="single"/>
        </w:rPr>
        <w:t>Liquidity</w:t>
      </w:r>
      <w:r>
        <w:rPr>
          <w:rFonts w:ascii="Times New Roman;serif" w:hAnsi="Times New Roman;serif"/>
          <w:b w:val="false"/>
          <w:color w:val="000000"/>
          <w:sz w:val="24"/>
        </w:rPr>
        <w:t>. Parent will not permit the aggregate amount of Liquidity at the close of any Business Day to be less than $2,000,000,000.</w:t>
      </w:r>
    </w:p>
    <w:p>
      <w:pPr>
        <w:pStyle w:val="TextBody"/>
        <w:bidi w:val="0"/>
        <w:spacing w:lineRule="auto" w:line="288" w:before="240" w:after="283"/>
        <w:ind w:left="0" w:right="0" w:firstLine="720"/>
        <w:jc w:val="left"/>
        <w:rPr/>
      </w:pPr>
      <w:bookmarkStart w:id="291" w:name="idc1523056c304a4e925ea3ac596a07ae"/>
      <w:bookmarkEnd w:id="291"/>
      <w:r>
        <w:rPr>
          <w:rFonts w:ascii="Times New Roman;serif" w:hAnsi="Times New Roman;serif"/>
          <w:b w:val="false"/>
          <w:color w:val="000000"/>
          <w:sz w:val="24"/>
        </w:rPr>
        <w:t>Section 6.09.    </w:t>
      </w:r>
      <w:r>
        <w:rPr>
          <w:rFonts w:ascii="Times New Roman;serif" w:hAnsi="Times New Roman;serif"/>
          <w:b w:val="false"/>
          <w:color w:val="000000"/>
          <w:sz w:val="24"/>
          <w:u w:val="single"/>
        </w:rPr>
        <w:t>Collateral Coverage Ratio</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left"/>
        <w:rPr/>
      </w:pPr>
      <w:bookmarkStart w:id="292" w:name="i34017cfdfab946ff960e20e949a52838"/>
      <w:bookmarkEnd w:id="292"/>
      <w:r>
        <w:rPr>
          <w:rFonts w:ascii="Times New Roman;serif" w:hAnsi="Times New Roman;serif"/>
          <w:b w:val="false"/>
          <w:color w:val="000000"/>
          <w:sz w:val="24"/>
        </w:rPr>
        <w:t xml:space="preserve">(a)    Within ten (10) Business Days after delivery of each Appraisal that is required to be delivered pursuant to </w:t>
      </w:r>
      <w:r>
        <w:rPr>
          <w:rFonts w:ascii="Times New Roman;serif" w:hAnsi="Times New Roman;serif"/>
          <w:b w:val="false"/>
          <w:color w:val="000000"/>
          <w:sz w:val="24"/>
          <w:u w:val="single"/>
        </w:rPr>
        <w:t>Section 5.07(1)</w:t>
      </w:r>
      <w:r>
        <w:rPr>
          <w:color w:val="000000"/>
        </w:rPr>
        <w:t xml:space="preserve"> </w:t>
      </w:r>
      <w:r>
        <w:rPr>
          <w:rFonts w:ascii="Times New Roman;serif" w:hAnsi="Times New Roman;serif"/>
          <w:b w:val="false"/>
          <w:color w:val="000000"/>
          <w:sz w:val="24"/>
        </w:rPr>
        <w:t>(such date of delivery, a “</w:t>
      </w:r>
      <w:r>
        <w:rPr>
          <w:rFonts w:ascii="Times New Roman;serif" w:hAnsi="Times New Roman;serif"/>
          <w:b w:val="false"/>
          <w:color w:val="000000"/>
          <w:sz w:val="24"/>
          <w:u w:val="single"/>
        </w:rPr>
        <w:t>Reference Date</w:t>
      </w:r>
      <w:r>
        <w:rPr>
          <w:rFonts w:ascii="Times New Roman;serif" w:hAnsi="Times New Roman;serif"/>
          <w:b w:val="false"/>
          <w:color w:val="000000"/>
          <w:sz w:val="24"/>
        </w:rPr>
        <w:t>,” and the tenth (10th) Business Day after a Reference Date, the “</w:t>
      </w:r>
      <w:r>
        <w:rPr>
          <w:rFonts w:ascii="Times New Roman;serif" w:hAnsi="Times New Roman;serif"/>
          <w:b w:val="false"/>
          <w:color w:val="000000"/>
          <w:sz w:val="24"/>
          <w:u w:val="single"/>
        </w:rPr>
        <w:t>Certificate Delivery Date</w:t>
      </w:r>
      <w:r>
        <w:rPr>
          <w:color w:val="000000"/>
        </w:rPr>
        <w:t>”</w:t>
      </w:r>
      <w:r>
        <w:rPr>
          <w:rFonts w:ascii="Times New Roman;serif" w:hAnsi="Times New Roman;serif"/>
          <w:b w:val="false"/>
          <w:color w:val="000000"/>
          <w:sz w:val="24"/>
        </w:rPr>
        <w:t>), the Borrower will deliver to the Administrative Agent a Collateral Coverage Ratio Certificate containing a calculation of the Collateral Coverage Ratio with respect to such Reference Date. If the Collateral Coverage Ratio with respect to the applicable Reference Date is less than 1.6 to 1.0 (the “</w:t>
      </w:r>
      <w:r>
        <w:rPr>
          <w:rFonts w:ascii="Times New Roman;serif" w:hAnsi="Times New Roman;serif"/>
          <w:b w:val="false"/>
          <w:color w:val="000000"/>
          <w:sz w:val="24"/>
          <w:u w:val="single"/>
        </w:rPr>
        <w:t>Collateral Coverage Test</w:t>
      </w:r>
      <w:r>
        <w:rPr>
          <w:color w:val="000000"/>
        </w:rPr>
        <w:t>”</w:t>
      </w:r>
      <w:r>
        <w:rPr>
          <w:rFonts w:ascii="Times New Roman;serif" w:hAnsi="Times New Roman;serif"/>
          <w:b w:val="false"/>
          <w:color w:val="000000"/>
          <w:sz w:val="24"/>
        </w:rPr>
        <w:t xml:space="preserve">), the Parent shall, no later than forty-five (45) days after the Certificate Delivery Date, designate Cure Collateral as additional Eligible Collateral and comply with </w:t>
      </w:r>
      <w:r>
        <w:rPr>
          <w:rFonts w:ascii="Times New Roman;serif" w:hAnsi="Times New Roman;serif"/>
          <w:b w:val="false"/>
          <w:color w:val="000000"/>
          <w:sz w:val="24"/>
          <w:u w:val="single"/>
        </w:rPr>
        <w:t>Section 5.12</w:t>
      </w:r>
      <w:r>
        <w:rPr>
          <w:color w:val="000000"/>
        </w:rPr>
        <w:t xml:space="preserve"> </w:t>
      </w:r>
      <w:r>
        <w:rPr>
          <w:rFonts w:ascii="Times New Roman;serif" w:hAnsi="Times New Roman;serif"/>
          <w:b w:val="false"/>
          <w:color w:val="000000"/>
          <w:sz w:val="24"/>
        </w:rPr>
        <w:t>and/or prepay or redeem or cause to be prepaid or redeemed Priority Lien Debt (as selected by the Borrower in its sole discretion), such that, following such actions, the Collateral Coverage Test shall be satisfied.</w:t>
      </w:r>
    </w:p>
    <w:p>
      <w:pPr>
        <w:pStyle w:val="TextBody"/>
        <w:bidi w:val="0"/>
        <w:spacing w:lineRule="auto" w:line="288" w:before="240" w:after="283"/>
        <w:ind w:left="0" w:right="0" w:firstLine="720"/>
        <w:jc w:val="left"/>
        <w:rPr/>
      </w:pPr>
      <w:bookmarkStart w:id="293" w:name="i11e811a1e89e40e48b925cf036b6410f"/>
      <w:bookmarkEnd w:id="293"/>
      <w:r>
        <w:rPr>
          <w:rFonts w:ascii="Times New Roman;serif" w:hAnsi="Times New Roman;serif"/>
          <w:b w:val="false"/>
          <w:color w:val="000000"/>
          <w:sz w:val="24"/>
        </w:rPr>
        <w:t>(b)    Notwithstanding anything to the contrary contained herein, if the Collateral Coverage Test shall not be satisfied solely as a result of damage to or loss of any Collateral covered by insurance (pursuant to which the Collateral Trustee is named as loss payee and with respect to which payments are to be delivered directly to the Collateral Trustee or the Administrative Agent) for which the insurer thereof has been notified of the relevant claim and has not challenged such coverage, any calculation of the Collateral Coverage Ratio (and Total Collateral Coverage Ratio) made pursuant to this Agreement shall deem the relevant Grantor to have received</w:t>
      </w:r>
      <w:r>
        <w:rPr>
          <w:color w:val="000000"/>
        </w:rPr>
        <w:t xml:space="preserve"> </w:t>
      </w:r>
      <w:r>
        <w:rPr>
          <w:rFonts w:ascii="Times New Roman;serif" w:hAnsi="Times New Roman;serif"/>
          <w:b w:val="false"/>
          <w:color w:val="000000"/>
          <w:sz w:val="24"/>
        </w:rPr>
        <w:t xml:space="preserve">Net Proceeds (and to have taken all steps necessary to have pledged such Net Proceeds as Cure Collateral) in an amount equal to the expected coverage amount (as determined by Parent in good faith and updated from time to time to reflect any agreements reached with the applicable insurer) and net of any amounts required to be paid out of such proceeds and secured by a Lien until the earliest of (i) the date any such Net Proceeds are actually first received by the Collateral Trustee or the Administrative Agent, (ii) the date that is 270 days after such damage </w:t>
      </w:r>
    </w:p>
    <w:p>
      <w:pPr>
        <w:pStyle w:val="TextBody"/>
        <w:bidi w:val="0"/>
        <w:spacing w:before="0" w:after="0"/>
        <w:jc w:val="center"/>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525145"/>
                <wp:effectExtent l="0" t="0" r="0" b="0"/>
                <wp:wrapNone/>
                <wp:docPr id="145" name="Frame14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and (iii) the date on which any such insurer denies such claim;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that, prior to giving effect to this </w:t>
      </w:r>
      <w:r>
        <w:rPr>
          <w:rFonts w:ascii="Times New Roman;serif" w:hAnsi="Times New Roman;serif"/>
          <w:b w:val="false"/>
          <w:color w:val="000000"/>
          <w:sz w:val="24"/>
          <w:u w:val="single"/>
        </w:rPr>
        <w:t>clause (b)</w:t>
      </w:r>
      <w:r>
        <w:rPr>
          <w:rFonts w:ascii="Times New Roman;serif" w:hAnsi="Times New Roman;serif"/>
          <w:b w:val="false"/>
          <w:color w:val="000000"/>
          <w:sz w:val="24"/>
        </w:rPr>
        <w:t xml:space="preserve">, the Appraised Value of the Collateral shall be no less than 150% of the Total Priority Lien Principal Amount at such time. It is understood and agreed that if the Administrative Agent or the Collateral Trustee should receive any Net Proceeds directly from the insurer in respect of a Recovery Event, the Administrative Agent or the Collateral Trustee, as applicable, shall promptly cause such proceeds to be paid to the Parent or the applicable Grantor, or to be applied, as applicable, in accordance with </w:t>
      </w:r>
      <w:r>
        <w:rPr>
          <w:rFonts w:ascii="Times New Roman;serif" w:hAnsi="Times New Roman;serif"/>
          <w:b w:val="false"/>
          <w:color w:val="000000"/>
          <w:sz w:val="24"/>
          <w:u w:val="single"/>
        </w:rPr>
        <w:t>Section 2.12(a)</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294" w:name="i89be62f019534b0c8155ef9a46be7d45"/>
      <w:bookmarkEnd w:id="294"/>
      <w:r>
        <w:rPr>
          <w:rFonts w:ascii="Times New Roman;serif" w:hAnsi="Times New Roman;serif"/>
          <w:b w:val="false"/>
          <w:color w:val="000000"/>
          <w:sz w:val="24"/>
        </w:rPr>
        <w:t xml:space="preserve">(c)    At the Parent’s request, the Lien on any asset or type or category of asset (including after-acquired assets of that type or category) that (i) has been Disposed in accordance with this Agreement to a Person other than the Borrower or a Subsidiary of the Borrower who has pledged such asset as Collateral, (ii) is or has become Excluded Property (as defined in any Collateral Document) or (iii) constitutes Cure Collateral (other than United SRG), will, in each case, be promptly released, provided, in each case, that the following conditions are satisfied or waived: (A) no Event of Default shall have occurred and be continuing, (B) either (x) after giving effect to such release, the Appraised Value of the Collateral shall satisfy the Collateral Coverage Test on a </w:t>
      </w:r>
      <w:r>
        <w:rPr>
          <w:rFonts w:ascii="Times New Roman;serif" w:hAnsi="Times New Roman;serif"/>
          <w:b w:val="false"/>
          <w:i/>
          <w:color w:val="000000"/>
          <w:sz w:val="24"/>
        </w:rPr>
        <w:t xml:space="preserve">pro forma </w:t>
      </w:r>
      <w:r>
        <w:rPr>
          <w:rFonts w:ascii="Times New Roman;serif" w:hAnsi="Times New Roman;serif"/>
          <w:b w:val="false"/>
          <w:color w:val="000000"/>
          <w:sz w:val="24"/>
        </w:rPr>
        <w:t xml:space="preserve">basis or (y) the Borrower shall designate Cure Collateral as additional Eligible Collateral and comply with </w:t>
      </w:r>
      <w:r>
        <w:rPr>
          <w:rFonts w:ascii="Times New Roman;serif" w:hAnsi="Times New Roman;serif"/>
          <w:b w:val="false"/>
          <w:color w:val="000000"/>
          <w:sz w:val="24"/>
          <w:u w:val="single"/>
        </w:rPr>
        <w:t>Section 5.12</w:t>
      </w:r>
      <w:r>
        <w:rPr>
          <w:color w:val="000000"/>
        </w:rPr>
        <w:t xml:space="preserve"> </w:t>
      </w:r>
      <w:r>
        <w:rPr>
          <w:rFonts w:ascii="Times New Roman;serif" w:hAnsi="Times New Roman;serif"/>
          <w:b w:val="false"/>
          <w:color w:val="000000"/>
          <w:sz w:val="24"/>
        </w:rPr>
        <w:t xml:space="preserve">and/or prepay or redeem or cause to be prepaid or redeemed Priority Lien Debt (as selected by the Borrower in its sole discretion), such that, following such actions and such release, the Collateral Coverage Test shall be satisfied on a </w:t>
      </w:r>
      <w:r>
        <w:rPr>
          <w:rFonts w:ascii="Times New Roman;serif" w:hAnsi="Times New Roman;serif"/>
          <w:b w:val="false"/>
          <w:i/>
          <w:color w:val="000000"/>
          <w:sz w:val="24"/>
        </w:rPr>
        <w:t xml:space="preserve">pro forma </w:t>
      </w:r>
      <w:r>
        <w:rPr>
          <w:rFonts w:ascii="Times New Roman;serif" w:hAnsi="Times New Roman;serif"/>
          <w:b w:val="false"/>
          <w:color w:val="000000"/>
          <w:sz w:val="24"/>
        </w:rPr>
        <w:t xml:space="preserve">basis, and (C) the Borrower shall deliver to the Administrative Agent a Collateral Coverage Ratio Certificate demonstrating </w:t>
      </w:r>
      <w:r>
        <w:rPr>
          <w:rFonts w:ascii="Times New Roman;serif" w:hAnsi="Times New Roman;serif"/>
          <w:b w:val="false"/>
          <w:i/>
          <w:color w:val="000000"/>
          <w:sz w:val="24"/>
        </w:rPr>
        <w:t xml:space="preserve">pro forma </w:t>
      </w:r>
      <w:r>
        <w:rPr>
          <w:rFonts w:ascii="Times New Roman;serif" w:hAnsi="Times New Roman;serif"/>
          <w:b w:val="false"/>
          <w:color w:val="000000"/>
          <w:sz w:val="24"/>
        </w:rPr>
        <w:t xml:space="preserve">compliance with the Collateral Coverage Test after giving effect to such release (including after giving effect to any action taken pursuant to the foregoing </w:t>
      </w:r>
      <w:r>
        <w:rPr>
          <w:rFonts w:ascii="Times New Roman;serif" w:hAnsi="Times New Roman;serif"/>
          <w:b w:val="false"/>
          <w:color w:val="000000"/>
          <w:sz w:val="24"/>
          <w:u w:val="single"/>
        </w:rPr>
        <w:t>clause (B)(y)</w:t>
      </w:r>
      <w:r>
        <w:rPr>
          <w:rFonts w:ascii="Times New Roman;serif" w:hAnsi="Times New Roman;serif"/>
          <w:b w:val="false"/>
          <w:color w:val="000000"/>
          <w:sz w:val="24"/>
        </w:rPr>
        <w:t xml:space="preserve">). Each of the Administrative Agent and the Collateral Trustee agrees to promptly provide any documents or releases reasonably requested by the Borrower to evidence any such release. For the avoidance of doubt, (aa) nothing contained in the foregoing shall prohibit any substitution of any item of Cure Collateral (other than Routes, Slots or Gate Leaseholds, but such as engines or other parts on an aircraft) if such substitution and related release of the Cure Collateral being replaced are permitted or required under the applicable Collateral Document, and such permitted or required release of such replaced Cure Collateral pursuant to such Collateral Document shall not be subject to (and shall be deemed to satisfy) the release conditions in the first sentence of this </w:t>
      </w:r>
      <w:r>
        <w:rPr>
          <w:rFonts w:ascii="Times New Roman;serif" w:hAnsi="Times New Roman;serif"/>
          <w:b w:val="false"/>
          <w:color w:val="000000"/>
          <w:sz w:val="24"/>
          <w:u w:val="single"/>
        </w:rPr>
        <w:t>Section 6.09(c)</w:t>
      </w:r>
      <w:r>
        <w:rPr>
          <w:color w:val="000000"/>
        </w:rPr>
        <w:t xml:space="preserve"> </w:t>
      </w:r>
      <w:r>
        <w:rPr>
          <w:rFonts w:ascii="Times New Roman;serif" w:hAnsi="Times New Roman;serif"/>
          <w:b w:val="false"/>
          <w:color w:val="000000"/>
          <w:sz w:val="24"/>
        </w:rPr>
        <w:t xml:space="preserve">and (bb) if a Grantor releases (in accordance with this </w:t>
      </w:r>
      <w:r>
        <w:rPr>
          <w:rFonts w:ascii="Times New Roman;serif" w:hAnsi="Times New Roman;serif"/>
          <w:b w:val="false"/>
          <w:color w:val="000000"/>
          <w:sz w:val="24"/>
          <w:u w:val="single"/>
        </w:rPr>
        <w:t>Section 6.09(c)</w:t>
      </w:r>
      <w:r>
        <w:rPr>
          <w:rFonts w:ascii="Times New Roman;serif" w:hAnsi="Times New Roman;serif"/>
          <w:b w:val="false"/>
          <w:color w:val="000000"/>
          <w:sz w:val="24"/>
        </w:rPr>
        <w:t xml:space="preserve">) any Cure Collateral that has suffered (or corresponding to an asset that suffered) a Recovery Event, the applicable Grantor shall be deemed to have complied with any provisions in the corresponding Collateral Documents requiring that such Grantor take specific actions in respect of such Recovery Event. </w:t>
      </w:r>
    </w:p>
    <w:p>
      <w:pPr>
        <w:pStyle w:val="TextBody"/>
        <w:bidi w:val="0"/>
        <w:spacing w:lineRule="auto" w:line="288" w:before="240" w:after="283"/>
        <w:ind w:left="0" w:right="0" w:firstLine="720"/>
        <w:jc w:val="left"/>
        <w:rPr/>
      </w:pPr>
      <w:bookmarkStart w:id="295" w:name="id392796c89944074bbbe8e29b8d07c0a"/>
      <w:bookmarkEnd w:id="295"/>
      <w:r>
        <w:rPr>
          <w:rFonts w:ascii="Times New Roman;serif" w:hAnsi="Times New Roman;serif"/>
          <w:b w:val="false"/>
          <w:color w:val="000000"/>
          <w:sz w:val="24"/>
        </w:rPr>
        <w:t>Section 6.10.    </w:t>
      </w:r>
      <w:r>
        <w:rPr>
          <w:rFonts w:ascii="Times New Roman;serif" w:hAnsi="Times New Roman;serif"/>
          <w:b w:val="false"/>
          <w:color w:val="000000"/>
          <w:sz w:val="24"/>
          <w:u w:val="single"/>
        </w:rPr>
        <w:t>Merger, Consolidation, or Sale of Assets</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296" w:name="ie8c2a1daf3f44da7bc4ca3a21379bb16"/>
      <w:bookmarkEnd w:id="296"/>
      <w:r>
        <w:rPr>
          <w:rFonts w:ascii="Times New Roman;serif" w:hAnsi="Times New Roman;serif"/>
          <w:b w:val="false"/>
          <w:color w:val="000000"/>
          <w:sz w:val="24"/>
        </w:rPr>
        <w:t>(a)    Neither Parent nor the Borrower (whichever is applicable, the “</w:t>
      </w:r>
      <w:r>
        <w:rPr>
          <w:rFonts w:ascii="Times New Roman;serif" w:hAnsi="Times New Roman;serif"/>
          <w:b w:val="false"/>
          <w:color w:val="000000"/>
          <w:sz w:val="24"/>
          <w:u w:val="single"/>
        </w:rPr>
        <w:t>Subject Company</w:t>
      </w:r>
      <w:r>
        <w:rPr>
          <w:color w:val="000000"/>
        </w:rPr>
        <w:t>”</w:t>
      </w:r>
      <w:r>
        <w:rPr>
          <w:rFonts w:ascii="Times New Roman;serif" w:hAnsi="Times New Roman;serif"/>
          <w:b w:val="false"/>
          <w:color w:val="000000"/>
          <w:sz w:val="24"/>
        </w:rPr>
        <w:t>) shall directly or indirectly: (i) consolidate or merge with or into another Person (whether or not such Subject Company is the surviving corporation) or (ii) sell, assign, transfer, convey or otherwise dispose of all or substantially all of the properties or assets of the Subject Company and its Restricted Subsidiaries taken as a whole, in one or more related transactions, to another Person, unless:</w:t>
      </w:r>
    </w:p>
    <w:p>
      <w:pPr>
        <w:pStyle w:val="TextBody"/>
        <w:bidi w:val="0"/>
        <w:spacing w:before="0" w:after="0"/>
        <w:jc w:val="center"/>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25145"/>
                <wp:effectExtent l="0" t="0" r="0" b="0"/>
                <wp:wrapNone/>
                <wp:docPr id="146" name="Frame14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bookmarkStart w:id="297" w:name="i22f6d87d8701450c90697af1109d50e6"/>
      <w:bookmarkEnd w:id="297"/>
      <w:r>
        <w:rPr>
          <w:rFonts w:ascii="Times New Roman;serif" w:hAnsi="Times New Roman;serif"/>
          <w:b w:val="false"/>
          <w:color w:val="000000"/>
          <w:sz w:val="24"/>
        </w:rPr>
        <w:t>(1)    either:</w:t>
      </w:r>
    </w:p>
    <w:p>
      <w:pPr>
        <w:pStyle w:val="TextBody"/>
        <w:bidi w:val="0"/>
        <w:spacing w:lineRule="auto" w:line="288" w:before="240" w:after="283"/>
        <w:jc w:val="left"/>
        <w:rPr>
          <w:rFonts w:ascii="Times New Roman;serif" w:hAnsi="Times New Roman;serif"/>
          <w:b w:val="false"/>
          <w:color w:val="000000"/>
          <w:sz w:val="24"/>
        </w:rPr>
      </w:pPr>
      <w:bookmarkStart w:id="298" w:name="ifaffa48fc8fa4b0bba8787e8a2f6f4bd"/>
      <w:bookmarkEnd w:id="298"/>
      <w:r>
        <w:rPr>
          <w:rFonts w:ascii="Times New Roman;serif" w:hAnsi="Times New Roman;serif"/>
          <w:b w:val="false"/>
          <w:color w:val="000000"/>
          <w:sz w:val="24"/>
        </w:rPr>
        <w:t xml:space="preserve">(A)    the Subject Company is the surviving corporation; or </w:t>
      </w:r>
    </w:p>
    <w:p>
      <w:pPr>
        <w:pStyle w:val="TextBody"/>
        <w:bidi w:val="0"/>
        <w:spacing w:lineRule="auto" w:line="288" w:before="240" w:after="283"/>
        <w:jc w:val="left"/>
        <w:rPr>
          <w:rFonts w:ascii="Times New Roman;serif" w:hAnsi="Times New Roman;serif"/>
          <w:b w:val="false"/>
          <w:color w:val="000000"/>
          <w:sz w:val="24"/>
        </w:rPr>
      </w:pPr>
      <w:bookmarkStart w:id="299" w:name="i5aa0972c0820472eb1bce95840b20ece"/>
      <w:bookmarkEnd w:id="299"/>
      <w:r>
        <w:rPr>
          <w:rFonts w:ascii="Times New Roman;serif" w:hAnsi="Times New Roman;serif"/>
          <w:b w:val="false"/>
          <w:color w:val="000000"/>
          <w:sz w:val="24"/>
        </w:rPr>
        <w:t>(B)    the Person formed by or surviving any such consolidation or merger (if other than the Subject Company) or to which such sale, assignment, transfer, conveyance or other disposition has been made is an entity organized or existing under the laws of the United States, any state of the United States or the District of Columbia; and, if such entity is not a corporation, a co-obligor of the Loans is a corporation organized or existing under any such laws;</w:t>
      </w:r>
    </w:p>
    <w:p>
      <w:pPr>
        <w:pStyle w:val="TextBody"/>
        <w:bidi w:val="0"/>
        <w:spacing w:lineRule="auto" w:line="288" w:before="240" w:after="283"/>
        <w:jc w:val="left"/>
        <w:rPr>
          <w:rFonts w:ascii="Times New Roman;serif" w:hAnsi="Times New Roman;serif"/>
          <w:b w:val="false"/>
          <w:color w:val="000000"/>
          <w:sz w:val="24"/>
        </w:rPr>
      </w:pPr>
      <w:bookmarkStart w:id="300" w:name="idcb099f6aae54d4a89a9d69cc5c3b80a"/>
      <w:bookmarkEnd w:id="300"/>
      <w:r>
        <w:rPr>
          <w:rFonts w:ascii="Times New Roman;serif" w:hAnsi="Times New Roman;serif"/>
          <w:b w:val="false"/>
          <w:color w:val="000000"/>
          <w:sz w:val="24"/>
        </w:rPr>
        <w:t xml:space="preserve">(2)    the Person formed by or surviving any such consolidation or merger (if other than the Subject Company) or the Person to which such sale, assignment, transfer, conveyance or other disposition has been made assumes all the obligations of the Subject Company under the Loan Documents by operation of law (if the surviving Person is the Borrower) or pursuant to agreements reasonably satisfactory to the Administrative Agent; </w:t>
      </w:r>
    </w:p>
    <w:p>
      <w:pPr>
        <w:pStyle w:val="TextBody"/>
        <w:bidi w:val="0"/>
        <w:spacing w:lineRule="auto" w:line="288" w:before="240" w:after="283"/>
        <w:jc w:val="left"/>
        <w:rPr>
          <w:rFonts w:ascii="Times New Roman;serif" w:hAnsi="Times New Roman;serif"/>
          <w:b w:val="false"/>
          <w:color w:val="000000"/>
          <w:sz w:val="24"/>
        </w:rPr>
      </w:pPr>
      <w:bookmarkStart w:id="301" w:name="ifa619ea6c9864cb6a8941c72e677e256"/>
      <w:bookmarkEnd w:id="301"/>
      <w:r>
        <w:rPr>
          <w:rFonts w:ascii="Times New Roman;serif" w:hAnsi="Times New Roman;serif"/>
          <w:b w:val="false"/>
          <w:color w:val="000000"/>
          <w:sz w:val="24"/>
        </w:rPr>
        <w:t>(3)    immediately after such transaction, no Event of Default exists; and</w:t>
      </w:r>
    </w:p>
    <w:p>
      <w:pPr>
        <w:pStyle w:val="TextBody"/>
        <w:bidi w:val="0"/>
        <w:spacing w:lineRule="auto" w:line="288" w:before="240" w:after="283"/>
        <w:jc w:val="left"/>
        <w:rPr>
          <w:rFonts w:ascii="Times New Roman;serif" w:hAnsi="Times New Roman;serif"/>
          <w:b w:val="false"/>
          <w:color w:val="000000"/>
          <w:sz w:val="24"/>
        </w:rPr>
      </w:pPr>
      <w:bookmarkStart w:id="302" w:name="ib88076d2968148519fd04581aeeb21ea"/>
      <w:bookmarkEnd w:id="302"/>
      <w:r>
        <w:rPr>
          <w:rFonts w:ascii="Times New Roman;serif" w:hAnsi="Times New Roman;serif"/>
          <w:b w:val="false"/>
          <w:color w:val="000000"/>
          <w:sz w:val="24"/>
        </w:rPr>
        <w:t>(4)    the Subject Company shall have delivered to the Administrative Agent an Officer’s Certificate stating that such consolidation, merger or transfer complies with this Agreement.</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a Subject Company will not, directly or indirectly, lease all or substantially all of the properties and assets of such Subject Company and its Restricted Subsidiaries taken as a whole, in one or more related transactions, to any other Person. </w:t>
      </w:r>
    </w:p>
    <w:p>
      <w:pPr>
        <w:pStyle w:val="TextBody"/>
        <w:bidi w:val="0"/>
        <w:spacing w:lineRule="auto" w:line="288" w:before="240" w:after="283"/>
        <w:ind w:left="0" w:right="0" w:firstLine="720"/>
        <w:jc w:val="left"/>
        <w:rPr/>
      </w:pPr>
      <w:bookmarkStart w:id="303" w:name="i8437dadaad124cb2914ec5cad99fe199"/>
      <w:bookmarkEnd w:id="303"/>
      <w:r>
        <w:rPr>
          <w:rFonts w:ascii="Times New Roman;serif" w:hAnsi="Times New Roman;serif"/>
          <w:b w:val="false"/>
          <w:color w:val="000000"/>
          <w:sz w:val="24"/>
        </w:rPr>
        <w:t>(b)    </w:t>
      </w:r>
      <w:r>
        <w:rPr>
          <w:rFonts w:ascii="Times New Roman;serif" w:hAnsi="Times New Roman;serif"/>
          <w:b w:val="false"/>
          <w:color w:val="000000"/>
          <w:sz w:val="24"/>
          <w:u w:val="single"/>
        </w:rPr>
        <w:t>Section 6.10(a)</w:t>
      </w:r>
      <w:r>
        <w:rPr>
          <w:color w:val="000000"/>
        </w:rPr>
        <w:t xml:space="preserve"> </w:t>
      </w:r>
      <w:r>
        <w:rPr>
          <w:rFonts w:ascii="Times New Roman;serif" w:hAnsi="Times New Roman;serif"/>
          <w:b w:val="false"/>
          <w:color w:val="000000"/>
          <w:sz w:val="24"/>
        </w:rPr>
        <w:t xml:space="preserve">will not apply to any sale, assignment, transfer, conveyance, lease or other disposition of assets between or among Parent and/or any Grantor. </w:t>
      </w:r>
      <w:r>
        <w:rPr>
          <w:rFonts w:ascii="Times New Roman;serif" w:hAnsi="Times New Roman;serif"/>
          <w:b w:val="false"/>
          <w:color w:val="000000"/>
          <w:sz w:val="24"/>
          <w:u w:val="single"/>
        </w:rPr>
        <w:t>Clauses (3)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6.10(a)</w:t>
      </w:r>
      <w:r>
        <w:rPr>
          <w:color w:val="000000"/>
        </w:rPr>
        <w:t xml:space="preserve"> </w:t>
      </w:r>
      <w:r>
        <w:rPr>
          <w:rFonts w:ascii="Times New Roman;serif" w:hAnsi="Times New Roman;serif"/>
          <w:b w:val="false"/>
          <w:color w:val="000000"/>
          <w:sz w:val="24"/>
        </w:rPr>
        <w:t>will not apply to the Airline/Parent Merger or any merger, consolidation or transfer of assets:</w:t>
      </w:r>
    </w:p>
    <w:p>
      <w:pPr>
        <w:pStyle w:val="TextBody"/>
        <w:bidi w:val="0"/>
        <w:spacing w:lineRule="auto" w:line="288" w:before="240" w:after="283"/>
        <w:jc w:val="left"/>
        <w:rPr>
          <w:rFonts w:ascii="Times New Roman;serif" w:hAnsi="Times New Roman;serif"/>
          <w:b w:val="false"/>
          <w:color w:val="000000"/>
          <w:sz w:val="24"/>
        </w:rPr>
      </w:pPr>
      <w:bookmarkStart w:id="304" w:name="ib20c99e3052b4eb39682a673233875d1"/>
      <w:bookmarkEnd w:id="304"/>
      <w:r>
        <w:rPr>
          <w:rFonts w:ascii="Times New Roman;serif" w:hAnsi="Times New Roman;serif"/>
          <w:b w:val="false"/>
          <w:color w:val="000000"/>
          <w:sz w:val="24"/>
        </w:rPr>
        <w:t xml:space="preserve">(1)    between or among Parent and any of Parent’s Restricted Subsidiaries; </w:t>
      </w:r>
    </w:p>
    <w:p>
      <w:pPr>
        <w:pStyle w:val="TextBody"/>
        <w:bidi w:val="0"/>
        <w:spacing w:lineRule="auto" w:line="288" w:before="240" w:after="283"/>
        <w:jc w:val="left"/>
        <w:rPr>
          <w:rFonts w:ascii="Times New Roman;serif" w:hAnsi="Times New Roman;serif"/>
          <w:b w:val="false"/>
          <w:color w:val="000000"/>
          <w:sz w:val="24"/>
        </w:rPr>
      </w:pPr>
      <w:bookmarkStart w:id="305" w:name="i87ed3f5f1a1e4153b0fead063e053544"/>
      <w:bookmarkEnd w:id="305"/>
      <w:r>
        <w:rPr>
          <w:rFonts w:ascii="Times New Roman;serif" w:hAnsi="Times New Roman;serif"/>
          <w:b w:val="false"/>
          <w:color w:val="000000"/>
          <w:sz w:val="24"/>
        </w:rPr>
        <w:t>(2)    between or among any of Parent’s Restricted Subsidiaries; or</w:t>
      </w:r>
    </w:p>
    <w:p>
      <w:pPr>
        <w:pStyle w:val="TextBody"/>
        <w:bidi w:val="0"/>
        <w:spacing w:lineRule="auto" w:line="288" w:before="240" w:after="283"/>
        <w:jc w:val="left"/>
        <w:rPr>
          <w:rFonts w:ascii="Times New Roman;serif" w:hAnsi="Times New Roman;serif"/>
          <w:b w:val="false"/>
          <w:color w:val="000000"/>
          <w:sz w:val="24"/>
        </w:rPr>
      </w:pPr>
      <w:bookmarkStart w:id="306" w:name="i1929a9302e5244c0bb3172669fd03b15"/>
      <w:bookmarkEnd w:id="306"/>
      <w:r>
        <w:rPr>
          <w:rFonts w:ascii="Times New Roman;serif" w:hAnsi="Times New Roman;serif"/>
          <w:b w:val="false"/>
          <w:color w:val="000000"/>
          <w:sz w:val="24"/>
        </w:rPr>
        <w:t>(3)    with or into an Affiliate solely for the purpose of reincorporating a Subject Company in another jurisdiction.</w:t>
      </w:r>
    </w:p>
    <w:p>
      <w:pPr>
        <w:pStyle w:val="TextBody"/>
        <w:bidi w:val="0"/>
        <w:spacing w:lineRule="auto" w:line="288" w:before="240" w:after="283"/>
        <w:ind w:left="0" w:right="0" w:firstLine="720"/>
        <w:jc w:val="left"/>
        <w:rPr/>
      </w:pPr>
      <w:bookmarkStart w:id="307" w:name="iadb634e61b144e6085cf0b8263729640"/>
      <w:bookmarkEnd w:id="307"/>
      <w:r>
        <w:rPr>
          <w:rFonts w:ascii="Times New Roman;serif" w:hAnsi="Times New Roman;serif"/>
          <w:b w:val="false"/>
          <w:color w:val="000000"/>
          <w:sz w:val="24"/>
        </w:rPr>
        <w:t xml:space="preserve">(c)    Upon any consolidation or merger, or any sale, assignment, transfer, lease, conveyance or other disposition of all or substantially all of the properties or assets of any Subject Company in a transaction that is subject to, and that complies with the provisions of, </w:t>
      </w:r>
      <w:r>
        <w:rPr>
          <w:rFonts w:ascii="Times New Roman;serif" w:hAnsi="Times New Roman;serif"/>
          <w:b w:val="false"/>
          <w:color w:val="000000"/>
          <w:sz w:val="24"/>
          <w:u w:val="single"/>
        </w:rPr>
        <w:t>Section 6.10(a)</w:t>
      </w:r>
      <w:r>
        <w:rPr>
          <w:rFonts w:ascii="Times New Roman;serif" w:hAnsi="Times New Roman;serif"/>
          <w:b w:val="false"/>
          <w:color w:val="000000"/>
          <w:sz w:val="24"/>
        </w:rPr>
        <w:t xml:space="preserve">, the successor Person formed by such consolidation or into or with which such Subject Company is merged or to which such sale, assignment, transfer, lease, conveyance or other disposition is made shall succeed to, and be substituted for (so that from and after the date </w:t>
      </w:r>
    </w:p>
    <w:p>
      <w:pPr>
        <w:pStyle w:val="TextBody"/>
        <w:bidi w:val="0"/>
        <w:spacing w:before="0" w:after="0"/>
        <w:jc w:val="center"/>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525145"/>
                <wp:effectExtent l="0" t="0" r="0" b="0"/>
                <wp:wrapNone/>
                <wp:docPr id="147" name="Frame14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of such consolidation, merger, sale, assignment, transfer, lease, conveyance or other disposition, the provisions of this Agreement referring to such Subject Company shall refer instead to the successor Person and not to such Subject Company), and may exercise every right and power of such Subject Company under this Agreement with the same effect as if such successor Person had been named as such Subject Company herein;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predecessor Subject Company, if applicable, shall not be relieved from the obligation to pay the principal of, and interest, if any, on the Loan except in the case of a sale of all of such Subject Company’s assets in a transaction that is subject to, and that complies with the provisions of, </w:t>
      </w:r>
      <w:r>
        <w:rPr>
          <w:rFonts w:ascii="Times New Roman;serif" w:hAnsi="Times New Roman;serif"/>
          <w:b w:val="false"/>
          <w:color w:val="000000"/>
          <w:sz w:val="24"/>
          <w:u w:val="single"/>
        </w:rPr>
        <w:t>Section 6.10(a)</w:t>
      </w:r>
      <w:r>
        <w:rPr>
          <w:color w:val="000000"/>
        </w:rPr>
        <w:t xml:space="preserve"> </w:t>
      </w:r>
      <w:r>
        <w:rPr>
          <w:rFonts w:ascii="Times New Roman;serif" w:hAnsi="Times New Roman;serif"/>
          <w:b w:val="false"/>
          <w:color w:val="000000"/>
          <w:sz w:val="24"/>
        </w:rPr>
        <w:t>hereof.</w:t>
      </w:r>
    </w:p>
    <w:p>
      <w:pPr>
        <w:pStyle w:val="TextBody"/>
        <w:bidi w:val="0"/>
        <w:spacing w:lineRule="auto" w:line="288" w:before="240" w:after="283"/>
        <w:ind w:left="0" w:right="0" w:firstLine="720"/>
        <w:jc w:val="left"/>
        <w:rPr/>
      </w:pPr>
      <w:bookmarkStart w:id="308" w:name="icb2816b64ddd404190f3e55b04454be6"/>
      <w:bookmarkEnd w:id="308"/>
      <w:r>
        <w:rPr>
          <w:rFonts w:ascii="Times New Roman;serif" w:hAnsi="Times New Roman;serif"/>
          <w:b w:val="false"/>
          <w:color w:val="000000"/>
          <w:sz w:val="24"/>
        </w:rPr>
        <w:t>Section 6.11.    </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Parent will not use, and will not permit any of its Subsidiaries to use,</w:t>
      </w:r>
      <w:r>
        <w:rPr>
          <w:color w:val="000000"/>
        </w:rPr>
        <w:t xml:space="preserve"> </w:t>
      </w:r>
      <w:r>
        <w:rPr>
          <w:rFonts w:ascii="Times New Roman;serif" w:hAnsi="Times New Roman;serif"/>
          <w:b w:val="false"/>
          <w:color w:val="000000"/>
          <w:sz w:val="24"/>
        </w:rPr>
        <w:t>lend, make payments of, contribute or otherwise make available, all or any part of the proceeds of any Borrowing or any Letter of Credit (A) in violation of any Anti-Corruption Laws, (B) for the purpose of funding, financing or facilitating any activities, business or transaction of or with any Sanctioned Person, or in any Sanctioned Country (except to the extent permitted by applicable law), or (C) in any manner that would result in the violation of any Sanctions applicable to Parent or any of its Subsidiaries.</w:t>
      </w:r>
    </w:p>
    <w:p>
      <w:pPr>
        <w:pStyle w:val="TextBody"/>
        <w:bidi w:val="0"/>
        <w:spacing w:lineRule="auto" w:line="288" w:before="240" w:after="283"/>
        <w:jc w:val="center"/>
        <w:rPr>
          <w:rFonts w:ascii="Times New Roman;serif" w:hAnsi="Times New Roman;serif"/>
          <w:b/>
          <w:color w:val="000000"/>
          <w:sz w:val="24"/>
        </w:rPr>
      </w:pPr>
      <w:bookmarkStart w:id="309" w:name="ib64eda53decd4cb2a2e19d189489deae"/>
      <w:bookmarkEnd w:id="309"/>
      <w:r>
        <w:rPr>
          <w:rFonts w:ascii="Times New Roman;serif" w:hAnsi="Times New Roman;serif"/>
          <w:b/>
          <w:color w:val="000000"/>
          <w:sz w:val="24"/>
        </w:rPr>
        <w:t>SECTION 7.</w:t>
        <w:br/>
        <w:br/>
        <w:t>EVENTS OF DEFAULT</w:t>
      </w:r>
    </w:p>
    <w:p>
      <w:pPr>
        <w:pStyle w:val="TextBody"/>
        <w:bidi w:val="0"/>
        <w:spacing w:lineRule="auto" w:line="288" w:before="240" w:after="283"/>
        <w:ind w:left="0" w:right="0" w:firstLine="720"/>
        <w:jc w:val="left"/>
        <w:rPr/>
      </w:pPr>
      <w:bookmarkStart w:id="310" w:name="ia1f6c7dcd3ff45e9ac9dbc91f6e1d8b0"/>
      <w:bookmarkEnd w:id="310"/>
      <w:r>
        <w:rPr>
          <w:rFonts w:ascii="Times New Roman;serif" w:hAnsi="Times New Roman;serif"/>
          <w:b w:val="false"/>
          <w:color w:val="000000"/>
          <w:sz w:val="24"/>
        </w:rPr>
        <w:t>Section 7.01.    </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 In the case of the happening of any of the following events and the continuance thereof beyond the applicable grace period if any (each, an “</w:t>
      </w:r>
      <w:r>
        <w:rPr>
          <w:rFonts w:ascii="Times New Roman;serif" w:hAnsi="Times New Roman;serif"/>
          <w:b w:val="false"/>
          <w:color w:val="000000"/>
          <w:sz w:val="24"/>
          <w:u w:val="single"/>
        </w:rPr>
        <w:t>Event of Default</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11" w:name="ia62485c406c14fd5bfc0697b55cf4aa9"/>
      <w:bookmarkEnd w:id="311"/>
      <w:r>
        <w:rPr>
          <w:rFonts w:ascii="Times New Roman;serif" w:hAnsi="Times New Roman;serif"/>
          <w:b w:val="false"/>
          <w:color w:val="000000"/>
          <w:sz w:val="24"/>
        </w:rPr>
        <w:t>(a)    any representation or warranty made by the Borrower or any Guarantor in this Agreement or in any other Loan Document shall prove to have been false or incorrect in any material respect when made, and such representation or warranty, to the extent capable of being corrected, is not corrected within ten (10) Business Days after the earlier of (A) a Responsible Officer of the Borrower obtaining knowledge of such default or (B) receipt by the Borrower of notice from the Administrative Agent of such default; or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12" w:name="ie53d94db71e243fca48c22455cf53088"/>
      <w:bookmarkEnd w:id="312"/>
      <w:r>
        <w:rPr>
          <w:rFonts w:ascii="Times New Roman;serif" w:hAnsi="Times New Roman;serif"/>
          <w:b w:val="false"/>
          <w:color w:val="000000"/>
          <w:sz w:val="24"/>
        </w:rPr>
        <w:t>(b)    default shall be made in the payment of (i) any principal of the Loans or reimbursement obligations or cash collateralization in respect of Letters of Credit, when and as the same shall become due and payable; (ii) any interest on the Loans and such default shall continue unremedied for more than five (5) Business Days; or (iii) any other amount payable hereunder when due and such default shall continue unremedied for more than ten (10) Business Days after receipt of written notice by the Borrower from the Administrative Agent of the default in making such payment when due; or</w:t>
      </w:r>
    </w:p>
    <w:p>
      <w:pPr>
        <w:pStyle w:val="TextBody"/>
        <w:bidi w:val="0"/>
        <w:spacing w:lineRule="auto" w:line="288" w:before="240" w:after="283"/>
        <w:ind w:left="0" w:right="0" w:firstLine="720"/>
        <w:jc w:val="left"/>
        <w:rPr/>
      </w:pPr>
      <w:bookmarkStart w:id="313" w:name="i8f1cc80deb6a46bd8956e502d059c24c"/>
      <w:bookmarkEnd w:id="313"/>
      <w:r>
        <w:rPr>
          <w:rFonts w:ascii="Times New Roman;serif" w:hAnsi="Times New Roman;serif"/>
          <w:b w:val="false"/>
          <w:color w:val="000000"/>
          <w:sz w:val="24"/>
        </w:rPr>
        <w:t xml:space="preserve">(c)    (i) default shall be made by Parent in the due observance of the covenant contained in </w:t>
      </w:r>
      <w:r>
        <w:rPr>
          <w:rFonts w:ascii="Times New Roman;serif" w:hAnsi="Times New Roman;serif"/>
          <w:b w:val="false"/>
          <w:color w:val="000000"/>
          <w:sz w:val="24"/>
          <w:u w:val="single"/>
        </w:rPr>
        <w:t>Section 6.09(a)</w:t>
      </w:r>
      <w:r>
        <w:rPr>
          <w:color w:val="000000"/>
        </w:rPr>
        <w:t xml:space="preserve"> </w:t>
      </w:r>
      <w:r>
        <w:rPr>
          <w:rFonts w:ascii="Times New Roman;serif" w:hAnsi="Times New Roman;serif"/>
          <w:b w:val="false"/>
          <w:color w:val="000000"/>
          <w:sz w:val="24"/>
        </w:rPr>
        <w:t xml:space="preserve">hereof or (ii) default shall be made by Parent in the due observance of the covenant in </w:t>
      </w:r>
      <w:r>
        <w:rPr>
          <w:rFonts w:ascii="Times New Roman;serif" w:hAnsi="Times New Roman;serif"/>
          <w:b w:val="false"/>
          <w:color w:val="000000"/>
          <w:sz w:val="24"/>
          <w:u w:val="single"/>
        </w:rPr>
        <w:t>Section 6.08</w:t>
      </w:r>
      <w:r>
        <w:rPr>
          <w:color w:val="000000"/>
        </w:rPr>
        <w:t xml:space="preserve"> </w:t>
      </w:r>
      <w:r>
        <w:rPr>
          <w:rFonts w:ascii="Times New Roman;serif" w:hAnsi="Times New Roman;serif"/>
          <w:b w:val="false"/>
          <w:color w:val="000000"/>
          <w:sz w:val="24"/>
        </w:rPr>
        <w:t>and such default shall continue unremedied for more than ten (10) Business Days after receipt of written notice by the Borrower from the Administrative Agent of such default; or</w:t>
      </w:r>
    </w:p>
    <w:p>
      <w:pPr>
        <w:pStyle w:val="TextBody"/>
        <w:bidi w:val="0"/>
        <w:spacing w:before="0" w:after="0"/>
        <w:jc w:val="center"/>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525145"/>
                <wp:effectExtent l="0" t="0" r="0" b="0"/>
                <wp:wrapNone/>
                <wp:docPr id="148" name="Frame14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14" w:name="iec67524662a7403a9bdc87fa9fa8e52b"/>
      <w:bookmarkEnd w:id="314"/>
      <w:r>
        <w:rPr>
          <w:rFonts w:ascii="Times New Roman;serif" w:hAnsi="Times New Roman;serif"/>
          <w:b w:val="false"/>
          <w:color w:val="000000"/>
          <w:sz w:val="24"/>
        </w:rPr>
        <w:t>(d)    default shall be made by the Borrower, Parent or any Restricted Subsidiary of Parent in the due observance or performance of any other covenant, condition or agreement to be observed or performed by it pursuant to the terms of this Agreement or any of the other Loan Documents and such default shall continue unremedied for more than sixty (60) days after receipt of written notice by the Borrower from the Administrative Agent of such default; or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15" w:name="i6eb274c3ff744350b12fbbf98a1654e4"/>
      <w:bookmarkEnd w:id="315"/>
      <w:r>
        <w:rPr>
          <w:rFonts w:ascii="Times New Roman;serif" w:hAnsi="Times New Roman;serif"/>
          <w:b w:val="false"/>
          <w:color w:val="000000"/>
          <w:sz w:val="24"/>
        </w:rPr>
        <w:t>(e)    (A) any material provision of any Loan Document to which the Borrower or a Guarantor is a party ceases to be a valid and binding obligation of the Borrower or Guarantor for a period of sixty (60) consecutive days after the Borrower receives written notice thereof from the Administrative Agent, or (B) the Lien on any material portion of the Collateral (having an Appraised Value in excess of $100,000,000 in the aggregate) intended to be created by the Loan Documents shall cease to be or shall not be a valid and perfected (to the extent required hereunder or under such Collateral Documents) Lien having the priorities contemplated hereby or thereby (subject to Permitted Liens and except as permitted by the terms of this Agreement or the Collateral Documents or other than as a result of the action, delay or inaction of the Administrative Agent or the Collateral Trustee) for a period of sixty (60) consecutive days after the Borrower receives written notice thereof from the Administrative Agent; or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16" w:name="ifc5fc710b29f4a3898610869379eb86d"/>
      <w:bookmarkEnd w:id="316"/>
      <w:r>
        <w:rPr>
          <w:rFonts w:ascii="Times New Roman;serif" w:hAnsi="Times New Roman;serif"/>
          <w:b w:val="false"/>
          <w:color w:val="000000"/>
          <w:sz w:val="24"/>
        </w:rPr>
        <w:t>(f)    Parent, the Borrower, any Significant Subsidiary or any group of Restricted Subsidiaries of Parent that, taken together, would constitute a Significant Subsidiary pursuant to or within the meaning of Bankruptcy Law:</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17" w:name="i4919bc3e25fc41d88c3e3a96470d3059"/>
      <w:bookmarkEnd w:id="317"/>
      <w:r>
        <w:rPr>
          <w:rFonts w:ascii="Times New Roman;serif" w:hAnsi="Times New Roman;serif"/>
          <w:b w:val="false"/>
          <w:color w:val="000000"/>
          <w:sz w:val="24"/>
        </w:rPr>
        <w:t>(1)    commences a voluntary case,</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18" w:name="i856f5b4c80c848379404a13927546226"/>
      <w:bookmarkEnd w:id="318"/>
      <w:r>
        <w:rPr>
          <w:rFonts w:ascii="Times New Roman;serif" w:hAnsi="Times New Roman;serif"/>
          <w:b w:val="false"/>
          <w:color w:val="000000"/>
          <w:sz w:val="24"/>
        </w:rPr>
        <w:t>(2)    consents to the entry of an order for relief against it in an involuntary case,</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19" w:name="i85029866cb36460c92c6e0d4986cd559"/>
      <w:bookmarkEnd w:id="319"/>
      <w:r>
        <w:rPr>
          <w:rFonts w:ascii="Times New Roman;serif" w:hAnsi="Times New Roman;serif"/>
          <w:b w:val="false"/>
          <w:color w:val="000000"/>
          <w:sz w:val="24"/>
        </w:rPr>
        <w:t>(3)    consents to the appointment of a custodian of it or for all or substantially all of its property,</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20" w:name="ie8755efff76a44de98034cbba42cabdc"/>
      <w:bookmarkEnd w:id="320"/>
      <w:r>
        <w:rPr>
          <w:rFonts w:ascii="Times New Roman;serif" w:hAnsi="Times New Roman;serif"/>
          <w:b w:val="false"/>
          <w:color w:val="000000"/>
          <w:sz w:val="24"/>
        </w:rPr>
        <w:t>(4)    makes a general assignment for the benefit of its creditors, or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21" w:name="i089181160f7244c6b67b518db2093381"/>
      <w:bookmarkEnd w:id="321"/>
      <w:r>
        <w:rPr>
          <w:rFonts w:ascii="Times New Roman;serif" w:hAnsi="Times New Roman;serif"/>
          <w:b w:val="false"/>
          <w:color w:val="000000"/>
          <w:sz w:val="24"/>
        </w:rPr>
        <w:t>(5)    admits in writing its inability generally to pay its debts; or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22" w:name="i0593aa9359984d42a8364a6b7729dea9"/>
      <w:bookmarkEnd w:id="322"/>
      <w:r>
        <w:rPr>
          <w:rFonts w:ascii="Times New Roman;serif" w:hAnsi="Times New Roman;serif"/>
          <w:b w:val="false"/>
          <w:color w:val="000000"/>
          <w:sz w:val="24"/>
        </w:rPr>
        <w:t>(g)    a court of competent jurisdiction enters an order or decree under any Bankruptcy Law that: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23" w:name="i1a277231689440678f6f21f9ed99a1bb"/>
      <w:bookmarkEnd w:id="323"/>
      <w:r>
        <w:rPr>
          <w:rFonts w:ascii="Times New Roman;serif" w:hAnsi="Times New Roman;serif"/>
          <w:b w:val="false"/>
          <w:color w:val="000000"/>
          <w:sz w:val="24"/>
        </w:rPr>
        <w:t>(1)    is for relief against Parent, the Borrower, any Significant Subsidiary or any group of Restricted Subsidiaries of Parent that, taken together, would constitute a Significant Subsidiary in an involuntary case;</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24" w:name="if06d9e71874944c582ac7200f2de6957"/>
      <w:bookmarkEnd w:id="324"/>
      <w:r>
        <w:rPr>
          <w:rFonts w:ascii="Times New Roman;serif" w:hAnsi="Times New Roman;serif"/>
          <w:b w:val="false"/>
          <w:color w:val="000000"/>
          <w:sz w:val="24"/>
        </w:rPr>
        <w:t xml:space="preserve">(2)    appoints a custodian of Parent, the Borrower, any Significant Subsidiary or any group of Restricted Subsidiaries of Parent that, taken together, would constitute a Significant Subsidiary or for all or substantially all of the property of Parent, the Borrower, any Significant Subsidiary or any group of </w:t>
      </w:r>
    </w:p>
    <w:p>
      <w:pPr>
        <w:pStyle w:val="TextBody"/>
        <w:bidi w:val="0"/>
        <w:spacing w:before="0" w:after="0"/>
        <w:jc w:val="center"/>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25145"/>
                <wp:effectExtent l="0" t="0" r="0" b="0"/>
                <wp:wrapNone/>
                <wp:docPr id="149" name="Frame14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Restricted Subsidiaries of Parent that, taken together, would constitute a Significant Subsidiary; or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25" w:name="iad0f2a77975842b19320802ad3c865e8"/>
      <w:bookmarkEnd w:id="325"/>
      <w:r>
        <w:rPr>
          <w:rFonts w:ascii="Times New Roman;serif" w:hAnsi="Times New Roman;serif"/>
          <w:b w:val="false"/>
          <w:color w:val="000000"/>
          <w:sz w:val="24"/>
        </w:rPr>
        <w:t>(3)    orders the liquidation of Parent, the Borrower, any Significant Subsidiary or any group of Restricted Subsidiaries of Parent that, taken together, would constitute a Significant Subsidiary;</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and in each case the order or decree remains unstayed and in effect for sixty (60) consecutive days; or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26" w:name="ib44832ab68374e5fb9d2575ef87408b1"/>
      <w:bookmarkEnd w:id="326"/>
      <w:r>
        <w:rPr>
          <w:rFonts w:ascii="Times New Roman;serif" w:hAnsi="Times New Roman;serif"/>
          <w:b w:val="false"/>
          <w:color w:val="000000"/>
          <w:sz w:val="24"/>
        </w:rPr>
        <w:t>(h)    failure by Parent, the Borrower or any of Parent’s Restricted Subsidiaries to pay final judgments entered by a court or courts of competent jurisdiction aggregating in excess of $250,000,000 (determined net of amounts covered by insurance policies issued by creditworthy insurance companies or by third party indemnities or a combination thereof), which judgments are not paid, discharged, bonded, satisfied or stayed for a period of sixty (60) days; or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27" w:name="i705417dcf3d740c5bdad1cb75ebf75de"/>
      <w:bookmarkEnd w:id="327"/>
      <w:r>
        <w:rPr>
          <w:rFonts w:ascii="Times New Roman;serif" w:hAnsi="Times New Roman;serif"/>
          <w:b w:val="false"/>
          <w:color w:val="000000"/>
          <w:sz w:val="24"/>
        </w:rPr>
        <w:t>(i)    (1) the Borrower or any Guarantor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shall have caused such Material Indebtedness to become due prior to its scheduled final maturity date or (2) the Borrower or any Guarantor shall default in the payment of the outstanding principal amount due on the scheduled final maturity date of any Indebtedness outstanding under one or more agreements of the Borrower or a Guarantor,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thereunder, in an aggregate principal amount at any single time unpaid exceeding $250,000,000; or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28" w:name="i0f33c0c69da14a5b9fb472a6cd157dfa"/>
      <w:bookmarkEnd w:id="328"/>
      <w:r>
        <w:rPr>
          <w:rFonts w:ascii="Times New Roman;serif" w:hAnsi="Times New Roman;serif"/>
          <w:b w:val="false"/>
          <w:color w:val="000000"/>
          <w:sz w:val="24"/>
        </w:rPr>
        <w:t>(j)    a termination of a Plan of the Borrower pursuant to Section 4042 of ERISA that would reasonably be expected to result in a Material Adverse Effect;</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then, and in every such event and at any time thereafter during the continuance of such event, the Administrative Agent may, and at the request of the Required Lenders, the Administrative Agent shall, by written notice to the Borrower, take one or more of the following actions, at the same or different times: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29" w:name="i10962a6243f54eeba101c36a05a537c0"/>
      <w:bookmarkEnd w:id="329"/>
      <w:r>
        <w:rPr>
          <w:rFonts w:ascii="Times New Roman;serif" w:hAnsi="Times New Roman;serif"/>
          <w:b w:val="false"/>
          <w:color w:val="000000"/>
          <w:sz w:val="24"/>
        </w:rPr>
        <w:t xml:space="preserve">(i)    terminate forthwith the Commitments;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30" w:name="i66b9918c3f56437199213101c66d3676"/>
      <w:bookmarkEnd w:id="330"/>
      <w:r>
        <w:rPr>
          <w:rFonts w:ascii="Times New Roman;serif" w:hAnsi="Times New Roman;serif"/>
          <w:b w:val="false"/>
          <w:color w:val="000000"/>
          <w:sz w:val="24"/>
        </w:rPr>
        <w:t xml:space="preserve">(ii)    declare the Loans or any portion thereof then outstanding to be forthwith due and payable, whereupon the principal of the Loans and other Obligations (other than Designated Hedging Obligations)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w:t>
      </w:r>
    </w:p>
    <w:p>
      <w:pPr>
        <w:pStyle w:val="TextBody"/>
        <w:bidi w:val="0"/>
        <w:spacing w:before="0" w:after="0"/>
        <w:jc w:val="center"/>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525145"/>
                <wp:effectExtent l="0" t="0" r="0" b="0"/>
                <wp:wrapNone/>
                <wp:docPr id="150" name="Frame14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by the Borrower and the Guarantors, anything contained herein or in any other Loan Document to the contrary notwithstanding;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31" w:name="id0f1d48836e54878bf8d934308507430"/>
      <w:bookmarkEnd w:id="331"/>
      <w:r>
        <w:rPr>
          <w:rFonts w:ascii="Times New Roman;serif" w:hAnsi="Times New Roman;serif"/>
          <w:b w:val="false"/>
          <w:color w:val="000000"/>
          <w:sz w:val="24"/>
        </w:rPr>
        <w:t xml:space="preserve">(iii)    require the Borrower and the Guarantors promptly upon written demand to deposit in the Letter of Credit Account Cash Collateralization for the LC Exposure (and to the extent the Borrower and the Guarantors shall fail to furnish such funds as demanded by the Administrative Agent, the Administrative Agent shall be authorized to debit the accounts of the Borrower and the Guarantors (other than Escrow Accounts, Payroll Accounts or other accounts held in trust for an identified beneficiary) maintained with the Administrative Agent in such amounts);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32" w:name="if10dca13bb034e8d9e3883ece3f2d65b"/>
      <w:bookmarkEnd w:id="332"/>
      <w:r>
        <w:rPr>
          <w:rFonts w:ascii="Times New Roman;serif" w:hAnsi="Times New Roman;serif"/>
          <w:b w:val="false"/>
          <w:color w:val="000000"/>
          <w:sz w:val="24"/>
        </w:rPr>
        <w:t xml:space="preserve">(iv)    set-off amounts in the Letter of Credit Account or any other accounts (other than accounts pledged to secure other Indebtedness of the Borrower or any Guarantor, Escrow Accounts, Payroll Accounts or other accounts held in trust for an identified beneficiary) maintained with the Administrative Agent (or any of its affiliates) and apply such amounts to the obligations of the Borrower and the Guarantors hereunder and in the other Loan Documents; and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33" w:name="ic4d374c116f2457ca71359a0826f0954"/>
      <w:bookmarkEnd w:id="333"/>
      <w:r>
        <w:rPr>
          <w:rFonts w:ascii="Times New Roman;serif" w:hAnsi="Times New Roman;serif"/>
          <w:b w:val="false"/>
          <w:color w:val="000000"/>
          <w:sz w:val="24"/>
        </w:rPr>
        <w:t xml:space="preserve">(v)    exercise any and all remedies under the Loan Documents and under applicable law available to the Administrative Agent, the Collateral Trustee and the Lenders. </w:t>
      </w:r>
    </w:p>
    <w:p>
      <w:pPr>
        <w:pStyle w:val="TextBody"/>
        <w:bidi w:val="0"/>
        <w:spacing w:lineRule="auto" w:line="288" w:before="240" w:after="283"/>
        <w:jc w:val="left"/>
        <w:rPr/>
      </w:pPr>
      <w:r>
        <w:rPr>
          <w:rFonts w:ascii="Times New Roman;serif" w:hAnsi="Times New Roman;serif"/>
          <w:b w:val="false"/>
          <w:color w:val="000000"/>
          <w:sz w:val="24"/>
        </w:rPr>
        <w:t xml:space="preserve">In case of any event with respect to Parent, the Borrower, any Significant Subsidiary or any group of Restricted Subsidiaries that, taken together, would constitute a Significant Subsidiary described in </w:t>
      </w:r>
      <w:r>
        <w:rPr>
          <w:rFonts w:ascii="Times New Roman;serif" w:hAnsi="Times New Roman;serif"/>
          <w:b w:val="false"/>
          <w:color w:val="000000"/>
          <w:sz w:val="24"/>
          <w:u w:val="single"/>
        </w:rPr>
        <w:t>clause (f)</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7.01</w:t>
      </w:r>
      <w:r>
        <w:rPr>
          <w:rFonts w:ascii="Times New Roman;serif" w:hAnsi="Times New Roman;serif"/>
          <w:b w:val="false"/>
          <w:color w:val="000000"/>
          <w:sz w:val="24"/>
        </w:rPr>
        <w:t xml:space="preserve">, the actions and events described in </w:t>
      </w:r>
      <w:r>
        <w:rPr>
          <w:rFonts w:ascii="Times New Roman;serif" w:hAnsi="Times New Roman;serif"/>
          <w:b w:val="false"/>
          <w:color w:val="000000"/>
          <w:sz w:val="24"/>
          <w:u w:val="single"/>
        </w:rPr>
        <w:t>clauses (i)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above shall be required or taken automatically, without presentment, demand, protest or other notice of any kind, all of which are hereby waived by the Borrower. Any payment received as a result of the exercise of remedies hereunder shall be applied in accordance with </w:t>
      </w:r>
      <w:r>
        <w:rPr>
          <w:rFonts w:ascii="Times New Roman;serif" w:hAnsi="Times New Roman;serif"/>
          <w:b w:val="false"/>
          <w:color w:val="000000"/>
          <w:sz w:val="24"/>
          <w:u w:val="single"/>
        </w:rPr>
        <w:t>Section 2.17(b)</w:t>
      </w:r>
      <w:r>
        <w:rPr>
          <w:rFonts w:ascii="Times New Roman;serif" w:hAnsi="Times New Roman;serif"/>
          <w:b w:val="false"/>
          <w:color w:val="000000"/>
          <w:sz w:val="24"/>
        </w:rPr>
        <w:t>.</w:t>
      </w:r>
    </w:p>
    <w:p>
      <w:pPr>
        <w:pStyle w:val="TextBody"/>
        <w:bidi w:val="0"/>
        <w:spacing w:lineRule="auto" w:line="288" w:before="240" w:after="283"/>
        <w:jc w:val="center"/>
        <w:rPr>
          <w:rFonts w:ascii="Times New Roman;serif" w:hAnsi="Times New Roman;serif"/>
          <w:b/>
          <w:color w:val="000000"/>
          <w:sz w:val="24"/>
        </w:rPr>
      </w:pPr>
      <w:bookmarkStart w:id="334" w:name="i33440b70188a4c289f40abf053b89bc4"/>
      <w:bookmarkEnd w:id="334"/>
      <w:r>
        <w:rPr>
          <w:rFonts w:ascii="Times New Roman;serif" w:hAnsi="Times New Roman;serif"/>
          <w:b/>
          <w:color w:val="000000"/>
          <w:sz w:val="24"/>
        </w:rPr>
        <w:t>SECTION 8.</w:t>
        <w:br/>
        <w:br/>
        <w:t>THE AGENTS</w:t>
      </w:r>
    </w:p>
    <w:p>
      <w:pPr>
        <w:pStyle w:val="TextBody"/>
        <w:bidi w:val="0"/>
        <w:spacing w:lineRule="auto" w:line="288" w:before="240" w:after="283"/>
        <w:ind w:left="0" w:right="0" w:firstLine="720"/>
        <w:jc w:val="left"/>
        <w:rPr/>
      </w:pPr>
      <w:bookmarkStart w:id="335" w:name="i80d31636420249aeb5beeed88bd05e49"/>
      <w:bookmarkEnd w:id="335"/>
      <w:r>
        <w:rPr>
          <w:rFonts w:ascii="Times New Roman;serif" w:hAnsi="Times New Roman;serif"/>
          <w:b w:val="false"/>
          <w:color w:val="000000"/>
          <w:sz w:val="24"/>
        </w:rPr>
        <w:t>Section 8.01.    </w:t>
      </w:r>
      <w:r>
        <w:rPr>
          <w:rFonts w:ascii="Times New Roman;serif" w:hAnsi="Times New Roman;serif"/>
          <w:b w:val="false"/>
          <w:color w:val="000000"/>
          <w:sz w:val="24"/>
          <w:u w:val="single"/>
        </w:rPr>
        <w:t>Administration by Agents</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36" w:name="ief1267d50b2449bab5dedad6ba2ffb54"/>
      <w:bookmarkEnd w:id="336"/>
      <w:r>
        <w:rPr>
          <w:rFonts w:ascii="Times New Roman;serif" w:hAnsi="Times New Roman;serif"/>
          <w:b w:val="false"/>
          <w:color w:val="000000"/>
          <w:sz w:val="24"/>
        </w:rPr>
        <w:t>(a)    Each of the Lenders and each Issuing Lender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 Each of the Lenders and each Issuing Lender hereby irrevocably appoints the Collateral Trustee as its collateral trustee hereunder and under the Collateral Documents and authorizes the Collateral Trustee to take such actions on its behalf and to exercise such powers as are delegated to the Collateral Trustee by the terms hereof or thereof, together with such actions and powers as are reasonably incidental thereto.</w:t>
      </w:r>
    </w:p>
    <w:p>
      <w:pPr>
        <w:pStyle w:val="TextBody"/>
        <w:bidi w:val="0"/>
        <w:spacing w:before="0" w:after="0"/>
        <w:jc w:val="center"/>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525145"/>
                <wp:effectExtent l="0" t="0" r="0" b="0"/>
                <wp:wrapNone/>
                <wp:docPr id="151" name="Frame15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37" w:name="i114a3afd69c9414491c6d8314ef05606"/>
      <w:bookmarkEnd w:id="337"/>
      <w:r>
        <w:rPr>
          <w:rFonts w:ascii="Times New Roman;serif" w:hAnsi="Times New Roman;serif"/>
          <w:b w:val="false"/>
          <w:color w:val="000000"/>
          <w:sz w:val="24"/>
        </w:rPr>
        <w:t>(b)    Each of the Lenders and each Issuing Lender hereby authorizes the Administrative Agent and the Collateral Trustee, as applicable, and in their sole discretion:</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38" w:name="i3870b8e5fd6043c183590f48461c2c26"/>
      <w:bookmarkEnd w:id="338"/>
      <w:r>
        <w:rPr>
          <w:rFonts w:ascii="Times New Roman;serif" w:hAnsi="Times New Roman;serif"/>
          <w:b w:val="false"/>
          <w:color w:val="000000"/>
          <w:sz w:val="24"/>
        </w:rPr>
        <w:t>(i)    in connection with the sale or other disposition of any asset that is part of the Collateral of the Borrower or any other Grantor, as the case may be, to the extent permitted by the terms of this Agreement and the Collateral Trust Agreement, to release a Lien granted to the Collateral Trustee, for the benefit of the Secured Parties, on such asset;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39" w:name="i0d85a7b8cdcc45c6a3846daa335893e9"/>
      <w:bookmarkEnd w:id="339"/>
      <w:r>
        <w:rPr>
          <w:rFonts w:ascii="Times New Roman;serif" w:hAnsi="Times New Roman;serif"/>
          <w:b w:val="false"/>
          <w:color w:val="000000"/>
          <w:sz w:val="24"/>
        </w:rPr>
        <w:t>(ii)    with respect to the Administrative Agent only, to determine that the cost to the Borrower or any other Grantor, as the case may be, is disproportionate to the benefit to be realized by the Secured Parties by perfecting a Lien in a given asset or group of assets included in the Collateral and that the Borrower or such other Grantor, as the case may be, should not be required to perfect such Lien in favor of the Collateral Trustee, for the benefit of the Secured Parties;</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40" w:name="i0fd4df6f74e34806b83de3250a62591d"/>
      <w:bookmarkEnd w:id="340"/>
      <w:r>
        <w:rPr>
          <w:rFonts w:ascii="Times New Roman;serif" w:hAnsi="Times New Roman;serif"/>
          <w:b w:val="false"/>
          <w:color w:val="000000"/>
          <w:sz w:val="24"/>
        </w:rPr>
        <w:t>(iii)    to enter into the other Loan Documents on terms acceptable to the Administrative Agent and to perform its respective obligations thereunder;</w:t>
      </w:r>
    </w:p>
    <w:p>
      <w:pPr>
        <w:pStyle w:val="TextBody"/>
        <w:bidi w:val="0"/>
        <w:spacing w:lineRule="auto" w:line="288" w:before="240" w:after="283"/>
        <w:ind w:left="0" w:right="0" w:firstLine="720"/>
        <w:jc w:val="left"/>
        <w:rPr/>
      </w:pPr>
      <w:bookmarkStart w:id="341" w:name="i5179e722953743bdbf38aaa98ea8e06b"/>
      <w:bookmarkEnd w:id="341"/>
      <w:r>
        <w:rPr>
          <w:rFonts w:ascii="Times New Roman;serif" w:hAnsi="Times New Roman;serif"/>
          <w:b w:val="false"/>
          <w:color w:val="000000"/>
          <w:sz w:val="24"/>
        </w:rPr>
        <w:t xml:space="preserve">(iv)    to execute any documents or instruments necessary to release any Guarantor from the guarantees provided herein pursuant to </w:t>
      </w:r>
      <w:r>
        <w:rPr>
          <w:rFonts w:ascii="Times New Roman;serif" w:hAnsi="Times New Roman;serif"/>
          <w:b w:val="false"/>
          <w:color w:val="000000"/>
          <w:sz w:val="24"/>
          <w:u w:val="single"/>
        </w:rPr>
        <w:t>Section 9.05</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342" w:name="i1380571db7284c1095f39ecebee05a21"/>
      <w:bookmarkEnd w:id="342"/>
      <w:r>
        <w:rPr>
          <w:rFonts w:ascii="Times New Roman;serif" w:hAnsi="Times New Roman;serif"/>
          <w:b w:val="false"/>
          <w:color w:val="000000"/>
          <w:sz w:val="24"/>
        </w:rPr>
        <w:t xml:space="preserve">(v)    to enter into (i) the Collateral Trust Agreement and (ii) any other intercreditor and/or subordination agreements in accordance with </w:t>
      </w:r>
      <w:r>
        <w:rPr>
          <w:rFonts w:ascii="Times New Roman;serif" w:hAnsi="Times New Roman;serif"/>
          <w:b w:val="false"/>
          <w:color w:val="000000"/>
          <w:sz w:val="24"/>
          <w:u w:val="single"/>
        </w:rPr>
        <w:t>Sections 6.06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10.18</w:t>
      </w:r>
      <w:r>
        <w:rPr>
          <w:color w:val="000000"/>
        </w:rPr>
        <w:t xml:space="preserve"> </w:t>
      </w:r>
      <w:r>
        <w:rPr>
          <w:rFonts w:ascii="Times New Roman;serif" w:hAnsi="Times New Roman;serif"/>
          <w:b w:val="false"/>
          <w:color w:val="000000"/>
          <w:sz w:val="24"/>
        </w:rPr>
        <w:t>on terms reasonably acceptable to the Collateral Trustee and the Administrative Agent, and in each case to perform its obligations thereunder and to take such action and to exercise the powers, rights and remedies granted to it thereunder and with respect thereto; and</w:t>
      </w:r>
    </w:p>
    <w:p>
      <w:pPr>
        <w:pStyle w:val="TextBody"/>
        <w:bidi w:val="0"/>
        <w:spacing w:lineRule="auto" w:line="288" w:before="240" w:after="283"/>
        <w:ind w:left="0" w:right="0" w:firstLine="720"/>
        <w:jc w:val="left"/>
        <w:rPr/>
      </w:pPr>
      <w:bookmarkStart w:id="343" w:name="i8e7335cfff1742db883d90a55904edf8"/>
      <w:bookmarkEnd w:id="343"/>
      <w:r>
        <w:rPr>
          <w:rFonts w:ascii="Times New Roman;serif" w:hAnsi="Times New Roman;serif"/>
          <w:b w:val="false"/>
          <w:color w:val="000000"/>
          <w:sz w:val="24"/>
        </w:rPr>
        <w:t xml:space="preserve">(vi)    to enter into any other agreements reasonably satisfactory to the Administrative Agent granting Liens to the Collateral Trustee, for the benefit of the Secured Parties, on any assets of the Borrower or any other Grantor to secure the Obligations and into any amendments in accordance with </w:t>
      </w:r>
      <w:r>
        <w:rPr>
          <w:rFonts w:ascii="Times New Roman;serif" w:hAnsi="Times New Roman;serif"/>
          <w:b w:val="false"/>
          <w:color w:val="000000"/>
          <w:sz w:val="24"/>
          <w:u w:val="single"/>
        </w:rPr>
        <w:t>Section 10.08(a)</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44" w:name="i1a3dea23b1104a038d27ac19989ea048"/>
      <w:bookmarkEnd w:id="344"/>
      <w:r>
        <w:rPr>
          <w:rFonts w:ascii="Times New Roman;serif" w:hAnsi="Times New Roman;serif"/>
          <w:b w:val="false"/>
          <w:color w:val="000000"/>
          <w:sz w:val="24"/>
        </w:rPr>
        <w:t>(c)    Each of the parties hereto agrees that at such time as the Obligations (other than (x) contingent indemnification obligations not due and payable and (y) obligations and liabilities under any Designated Banking Product Agreement or Designated Hedging Agreement) shall have been irrevocably paid in full in cash, each of the Liens granted to the Collateral Trustee, for the benefit of the Secured Parties, hereunder shall automatically be discharged and released without any further action by any Person.</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45" w:name="i724de8f3ccb84ebf99f61ca71f336ffd"/>
      <w:bookmarkEnd w:id="345"/>
      <w:r>
        <w:rPr>
          <w:rFonts w:ascii="Times New Roman;serif" w:hAnsi="Times New Roman;serif"/>
          <w:b w:val="false"/>
          <w:color w:val="000000"/>
          <w:sz w:val="24"/>
        </w:rPr>
        <w:t>(d)    Each Lender irrevocably authorizes the Collateral Trustee to take such action and to exercise the powers, rights and remedies granted to the Collateral Trustee under the Collateral Trust Agreement and with respect thereto. In addition, each Lender hereby agrees to be bound by, and consents to, the terms and provisions of the Collateral Trust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25145"/>
                <wp:effectExtent l="0" t="0" r="0" b="0"/>
                <wp:wrapNone/>
                <wp:docPr id="152" name="Frame15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346" w:name="i0f07eb6bc2e84e66bfc5550cd34882aa"/>
      <w:bookmarkEnd w:id="346"/>
      <w:r>
        <w:rPr>
          <w:rFonts w:ascii="Times New Roman;serif" w:hAnsi="Times New Roman;serif"/>
          <w:b w:val="false"/>
          <w:color w:val="000000"/>
          <w:sz w:val="24"/>
        </w:rPr>
        <w:t>Section 8.02.    </w:t>
      </w:r>
      <w:r>
        <w:rPr>
          <w:rFonts w:ascii="Times New Roman;serif" w:hAnsi="Times New Roman;serif"/>
          <w:b w:val="false"/>
          <w:color w:val="000000"/>
          <w:sz w:val="24"/>
          <w:u w:val="single"/>
        </w:rPr>
        <w:t>Rights of Administrative Agent and Collateral Trustee</w:t>
      </w:r>
      <w:r>
        <w:rPr>
          <w:rFonts w:ascii="Times New Roman;serif" w:hAnsi="Times New Roman;serif"/>
          <w:b w:val="false"/>
          <w:color w:val="000000"/>
          <w:sz w:val="24"/>
        </w:rPr>
        <w:t>. Any institution serving as the Administrative Agent or the Collateral Trustee hereunder shall have the same rights and powers in their respective capacities as a Lender as any other Lender and may exercise the same as though it were not an Administrative Agent or Collateral Trustee and the term “Lender” or “Lenders” shall, unless otherwise expressly indicated or unless the context otherwise requires, include the institution serving as the Administrative Agent or Collateral Trustee hereunder in its individual capacity. Such institution and its Affiliates may accept deposits from, lend money to, own securities of, act as the financial advisor or in any other advisory capacity for and generally engage in any kind of business with the Borrower or any Subsidiary or other Affiliate thereof as if such institution were not the Administrative Agent or Collateral Trustee hereunder and without any duty to account therefor to the Lenders.</w:t>
      </w:r>
    </w:p>
    <w:p>
      <w:pPr>
        <w:pStyle w:val="TextBody"/>
        <w:bidi w:val="0"/>
        <w:spacing w:lineRule="auto" w:line="288" w:before="240" w:after="283"/>
        <w:ind w:left="0" w:right="0" w:firstLine="720"/>
        <w:jc w:val="left"/>
        <w:rPr/>
      </w:pPr>
      <w:bookmarkStart w:id="347" w:name="i85ff648494f64e3caa14459c50972764"/>
      <w:bookmarkEnd w:id="347"/>
      <w:r>
        <w:rPr>
          <w:rFonts w:ascii="Times New Roman;serif" w:hAnsi="Times New Roman;serif"/>
          <w:b w:val="false"/>
          <w:color w:val="000000"/>
          <w:sz w:val="24"/>
        </w:rPr>
        <w:t>Section 8.03.    </w:t>
      </w:r>
      <w:r>
        <w:rPr>
          <w:rFonts w:ascii="Times New Roman;serif" w:hAnsi="Times New Roman;serif"/>
          <w:b w:val="false"/>
          <w:color w:val="000000"/>
          <w:sz w:val="24"/>
          <w:u w:val="single"/>
        </w:rPr>
        <w:t>Liability of Agents</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348" w:name="i9b8251e80c4645c69f2fa7f4be5a7213"/>
      <w:bookmarkEnd w:id="348"/>
      <w:r>
        <w:rPr>
          <w:rFonts w:ascii="Times New Roman;serif" w:hAnsi="Times New Roman;serif"/>
          <w:b w:val="false"/>
          <w:color w:val="000000"/>
          <w:sz w:val="24"/>
        </w:rPr>
        <w:t xml:space="preserve">(a)    Each of the Administrative Agent and the Collateral Trustee shall not have any duties or obligations except those expressly set forth herein and in the other Loan Documents, and its duties hereunder and thereunder shall be administrative in nature. Without limiting the generality of the foregoing, (i) the Administrative Agent and the Collateral Trustee shall not be subject to any fiduciary or other implied duties, regardless of whether an Event of Default has occurred and is continuing, (ii) the Administrative Agent and the Collateral Trustee shall not have any duty to take any discretionary action or exercise any discretionary powers, except discretionary rights and powers expressly contemplated hereby or by the other Loan Documents that each such agent is required to exercise in writing as directed by the Required Lenders (or such other number or percentage of the Lenders as shall be necessary under the circumstances as provided in </w:t>
      </w:r>
      <w:r>
        <w:rPr>
          <w:rFonts w:ascii="Times New Roman;serif" w:hAnsi="Times New Roman;serif"/>
          <w:b w:val="false"/>
          <w:color w:val="000000"/>
          <w:sz w:val="24"/>
          <w:u w:val="single"/>
        </w:rPr>
        <w:t>Section 10.08</w:t>
      </w:r>
      <w:r>
        <w:rPr>
          <w:color w:val="000000"/>
        </w:rPr>
        <w:t xml:space="preserve"> </w:t>
      </w:r>
      <w:r>
        <w:rPr>
          <w:rFonts w:ascii="Times New Roman;serif" w:hAnsi="Times New Roman;serif"/>
          <w:b w:val="false"/>
          <w:color w:val="000000"/>
          <w:sz w:val="24"/>
        </w:rPr>
        <w:t xml:space="preserve">or the Collateral Trust Agreement), (iii) except as expressly set forth herein and in the other Loan Documents, the Administrative Agent and the Collateral Trustee shall not have any duty to disclose, and shall not be liable for the failure to disclose, any information relating to the Borrower, Parent or any of Parent’s Subsidiaries that is communicated to or obtained by the institution serving as an Administrative Agent or any of its Affiliates in any capacity and (iv) neither the Administrative Agent nor the Collateral Trustee will be required to take any action that, in its opinion or the opinion of its counsel, may expose the Administrative Agent or the Collateral Trustee, as applicable, to liability or that is contrary to any Loan Document or applicable law, including for the avoidance of doubt, any action that may be in violation of the automatic stay under any Federal, state or foreign bankruptcy, insolvency, receivership or similar law now or hereafter in effect or that may effect a forfeiture, modification or termination of property of a Defaulting Lender in violation of any Federal, state or foreign bankruptcy, insolvency, receivership or similar law now or hereafter in effect.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Times New Roman;serif" w:hAnsi="Times New Roman;serif"/>
          <w:b w:val="false"/>
          <w:color w:val="000000"/>
          <w:sz w:val="24"/>
          <w:u w:val="single"/>
        </w:rPr>
        <w:t>Section 10.08</w:t>
      </w:r>
      <w:r>
        <w:rPr>
          <w:rFonts w:ascii="Times New Roman;serif" w:hAnsi="Times New Roman;serif"/>
          <w:b w:val="false"/>
          <w:color w:val="000000"/>
          <w:sz w:val="24"/>
        </w:rPr>
        <w:t xml:space="preserve">) or in the absence of its own gross negligence, bad faith or willful misconduct. The Administrative Agent shall be deemed not to have knowledge of any Event of Default unless and until written notice thereof is given to the Administrative Agent by the Borrower, Parent or a Lender, and the Administrative Agent shall not be responsible for, or have any duty to ascertain or inquire into, (A) any statement, warranty or representation made in or in connection with this Agreement, (B) the </w:t>
      </w:r>
    </w:p>
    <w:p>
      <w:pPr>
        <w:pStyle w:val="TextBody"/>
        <w:bidi w:val="0"/>
        <w:spacing w:before="0" w:after="0"/>
        <w:jc w:val="center"/>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525145"/>
                <wp:effectExtent l="0" t="0" r="0" b="0"/>
                <wp:wrapNone/>
                <wp:docPr id="153" name="Frame15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contents of any certificate, report or other document delivered hereunder or in connection herewith, (C) the performance or observance of any of the covenants, agreements or other terms or conditions set forth herein, (D) the validity, enforceability, effectiveness or genuineness of this Agreement or any other agreement, instrument or document, or (E) the satisfaction of any condition set forth in Section 4 or elsewhere herein, other than to confirm receipt of items expressly required to be delivered to the Administrative Agent.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49" w:name="i0a47ff843667447380ecfc37f8b1178b"/>
      <w:bookmarkEnd w:id="349"/>
      <w:r>
        <w:rPr>
          <w:rFonts w:ascii="Times New Roman;serif" w:hAnsi="Times New Roman;serif"/>
          <w:b w:val="false"/>
          <w:color w:val="000000"/>
          <w:sz w:val="24"/>
        </w:rPr>
        <w:t>(b)    The Administrative Agent and the Collateral Trustee shall be entitled to rely upon, and shall not incur any liability for relying upon, any notice, request, certificate, consent, statement, instrument, document or other writing believed by it to be genuine and to have been signed or sent by the proper Person. The Administrative Agent and the Collateral Trustee also may rely upon any statement made to it orally or by telephone and believed by it to be made by the proper Person, and shall not incur any liability for relying thereon. The Administrative Agent and the Collateral Trustee may consult with legal counsel (who may be counsel for the Borrower or Parent), independent accountants and other experts selected by it, and shall not be liable for any action taken or not taken by it in accordance with the advice of any such counsel, accountants or experts.</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50" w:name="i1678e665e64647028353493af4941e46"/>
      <w:bookmarkEnd w:id="350"/>
      <w:r>
        <w:rPr>
          <w:rFonts w:ascii="Times New Roman;serif" w:hAnsi="Times New Roman;serif"/>
          <w:b w:val="false"/>
          <w:color w:val="000000"/>
          <w:sz w:val="24"/>
        </w:rPr>
        <w:t xml:space="preserve">(c)    Each of the Administrative Agent and the Collateral Trustee may perform any and all of its respective duties and exercise its respective rights and powers hereunder or under any other Loan Document by or through any one or more sub-agents appointed by it. The Administrative Agent and the Collateral Trustee and any such sub-agent may perform any and all of its duties and exercise its rights and powers through its Related Parties. The exculpatory provisions of the preceding paragraphs shall apply to any such sub-agent and to the Related Parties of the Administrative Agent and the Collateral Trustee and any such sub-agent, and shall apply to their respective activities in connection with the syndication of the credit facilities provided for herein as well as activities as Administrative Agent and Collateral Trustee.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51" w:name="i032b61e36fc04d18a382dd51bddf715c"/>
      <w:bookmarkEnd w:id="351"/>
      <w:r>
        <w:rPr>
          <w:rFonts w:ascii="Times New Roman;serif" w:hAnsi="Times New Roman;serif"/>
          <w:b w:val="false"/>
          <w:color w:val="000000"/>
          <w:sz w:val="24"/>
        </w:rPr>
        <w:t>(d)    Anything herein to the contrary notwithstanding, none of the Arranger Parties listed on the cover page hereof shall have any powers, duties or responsibilities under this Agreement or any of the other Loan Documents, except in its capacity, as applicable, as the Administrative Agent, a Lender or the issuer of Letters of Credit hereunder.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52" w:name="ib900968fa54e4234b3ddd9c452513941"/>
      <w:bookmarkEnd w:id="352"/>
      <w:r>
        <w:rPr>
          <w:rFonts w:ascii="Times New Roman;serif" w:hAnsi="Times New Roman;serif"/>
          <w:b w:val="false"/>
          <w:color w:val="000000"/>
          <w:sz w:val="24"/>
        </w:rPr>
        <w:t>(e)    In performing its functions and duties hereunder and under the other Loan Documents, the Administrative Agent is acting solely on behalf of the Lenders and the Issuing Lenders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 Without limiting the generality of the foregoing:</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53" w:name="i0b9680b0c5ef419c8b7885b9558c04ab"/>
      <w:bookmarkEnd w:id="353"/>
      <w:r>
        <w:rPr>
          <w:rFonts w:ascii="Times New Roman;serif" w:hAnsi="Times New Roman;serif"/>
          <w:b w:val="false"/>
          <w:color w:val="000000"/>
          <w:sz w:val="24"/>
        </w:rPr>
        <w:t xml:space="preserve">(i)    the Administrative Agent does not assume and shall not be deemed to have assumed any obligation or duty or any other relationship as the agent, fiduciary or trustee of or for any Lender, Issuing Lender or holder of any other obligation other than as expressly set forth herein and in the other Loan Documents, regardless of whether a Default or an Event of Default has occurred and is continuing (and it is understood and </w:t>
      </w:r>
    </w:p>
    <w:p>
      <w:pPr>
        <w:pStyle w:val="TextBody"/>
        <w:bidi w:val="0"/>
        <w:spacing w:before="0" w:after="0"/>
        <w:jc w:val="center"/>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525145"/>
                <wp:effectExtent l="0" t="0" r="0" b="0"/>
                <wp:wrapNone/>
                <wp:docPr id="154" name="Frame15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54" w:name="i473613638b054d11903368c54ceaf170"/>
      <w:bookmarkEnd w:id="354"/>
      <w:r>
        <w:rPr>
          <w:rFonts w:ascii="Times New Roman;serif" w:hAnsi="Times New Roman;serif"/>
          <w:b w:val="false"/>
          <w:color w:val="000000"/>
          <w:sz w:val="24"/>
        </w:rPr>
        <w:t>(ii)    nothing in this Agreement or any Loan Document shall require the Administrative Agent to account to any Lender for any sum or the profit element of any sum received by the Administrative Agent for its own account.</w:t>
      </w:r>
    </w:p>
    <w:p>
      <w:pPr>
        <w:pStyle w:val="TextBody"/>
        <w:bidi w:val="0"/>
        <w:spacing w:lineRule="auto" w:line="288" w:before="240" w:after="283"/>
        <w:ind w:left="0" w:right="0" w:firstLine="720"/>
        <w:jc w:val="left"/>
        <w:rPr/>
      </w:pPr>
      <w:bookmarkStart w:id="355" w:name="ie7780fcb20324553b66e45279649c201"/>
      <w:bookmarkEnd w:id="355"/>
      <w:r>
        <w:rPr>
          <w:rFonts w:ascii="Times New Roman;serif" w:hAnsi="Times New Roman;serif"/>
          <w:b w:val="false"/>
          <w:color w:val="000000"/>
          <w:sz w:val="24"/>
        </w:rPr>
        <w:t>Section 8.04.    </w:t>
      </w:r>
      <w:r>
        <w:rPr>
          <w:rFonts w:ascii="Times New Roman;serif" w:hAnsi="Times New Roman;serif"/>
          <w:b w:val="false"/>
          <w:color w:val="000000"/>
          <w:sz w:val="24"/>
          <w:u w:val="single"/>
        </w:rPr>
        <w:t>Reimbursement and Indemnification</w:t>
      </w:r>
      <w:r>
        <w:rPr>
          <w:rFonts w:ascii="Times New Roman;serif" w:hAnsi="Times New Roman;serif"/>
          <w:b w:val="false"/>
          <w:color w:val="000000"/>
          <w:sz w:val="24"/>
        </w:rPr>
        <w:t>. Each Lender agrees (a) to reimburse on demand the Administrative Agent (and the Collateral Trustee) for such Lender’s Aggregate Exposure Percentage of any expenses and fees incurred for the benefit of the Lenders under this Agreement and any of the Loan Documents, including, without limitation, counsel fees and compensation of agents and employees paid for services rendered on behalf of the Lenders, and any other expense incurred in connection with the operations or enforcement thereof, not reimbursed by the Borrower or the Guarantors and (b) to indemnify and hold harmless the Administrative Agent and the Collateral Trustee and any of their Related Parties, on demand, in the amount equal to such Lender’s Aggregate Exposure Percentage, from and against any and all liabilities, obligations, losses, damages, penalties, actions, judgments, suits, costs, expenses, or disbursements of any kind or nature whatsoever which may be imposed on, incurred by, or asserted against it or any of them in any way relating to or arising out of this Agreement or any of the Loan Documents or any action taken or omitted by it or any of them under this Agreement or any of the Loan Documents to the extent not reimbursed by the Borrower or the Guarantors (except such as shall result from its gross negligence or willful misconduct).</w:t>
      </w:r>
    </w:p>
    <w:p>
      <w:pPr>
        <w:pStyle w:val="TextBody"/>
        <w:bidi w:val="0"/>
        <w:spacing w:lineRule="auto" w:line="288" w:before="240" w:after="283"/>
        <w:ind w:left="0" w:right="0" w:firstLine="720"/>
        <w:jc w:val="left"/>
        <w:rPr/>
      </w:pPr>
      <w:bookmarkStart w:id="356" w:name="i54acc7d4fd5147108c3ed247714142a8"/>
      <w:bookmarkEnd w:id="356"/>
      <w:r>
        <w:rPr>
          <w:rFonts w:ascii="Times New Roman;serif" w:hAnsi="Times New Roman;serif"/>
          <w:b w:val="false"/>
          <w:color w:val="000000"/>
          <w:sz w:val="24"/>
        </w:rPr>
        <w:t>Section 8.05.    </w:t>
      </w:r>
      <w:r>
        <w:rPr>
          <w:rFonts w:ascii="Times New Roman;serif" w:hAnsi="Times New Roman;serif"/>
          <w:b w:val="false"/>
          <w:color w:val="000000"/>
          <w:sz w:val="24"/>
          <w:u w:val="single"/>
        </w:rPr>
        <w:t>Successor Agents</w:t>
      </w:r>
      <w:r>
        <w:rPr>
          <w:rFonts w:ascii="Times New Roman;serif" w:hAnsi="Times New Roman;serif"/>
          <w:b w:val="false"/>
          <w:color w:val="000000"/>
          <w:sz w:val="24"/>
        </w:rPr>
        <w:t xml:space="preserve">. Subject to the appointment and acceptance of a successor agent as provided in this paragraph, the Administrative Agent may resign at any time by notifying the Lenders, the Issuing Lenders and the Borrower. Upon any such resignation by the Administrative Agent, the Required Lenders shall have the right, with the consent (provided no Event of Default or Default has occurred and is continuing) of the Borrower (such consent not to be unreasonably withheld or delayed), to appoint a successor. If no successor shall have been so appointed by the Required Lenders and shall have accepted such appointment within thirty (30) days after the retiring Administrative Agent gives notice of its resignation, then the retiring Administrative Agent may, with the consent (provided no Event of Default or Default has occurred or is continuing) of the Borrower (such consent not to be unreasonably withheld or delayed), appoint a successor Administrative Agent which shall be a bank institution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w:t>
      </w:r>
    </w:p>
    <w:p>
      <w:pPr>
        <w:pStyle w:val="TextBody"/>
        <w:bidi w:val="0"/>
        <w:spacing w:before="0" w:after="0"/>
        <w:jc w:val="center"/>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525145"/>
                <wp:effectExtent l="0" t="0" r="0" b="0"/>
                <wp:wrapNone/>
                <wp:docPr id="155" name="Frame15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and obligations hereunder. The fees payable by the Borrower to a successor Administrative Agent shall be the same as those payable to its predecessor unless otherwise agreed between the Borrower and such successor. After the retiring Administrative Agent’s resignation hereunder, the provisions of this Article and Section 10.04 shall continue in effect for the benefit of such retiring Administrative Agent, its sub-agents and their respective Related Parties in respect of any actions taken or omitted to be taken by any of them while it was acting as an Administrative Agent. The Collateral Trustee may resign, and in any such event shall be replaced, in accordance with the terms of the Collateral Trust Agreement.</w:t>
      </w:r>
    </w:p>
    <w:p>
      <w:pPr>
        <w:pStyle w:val="TextBody"/>
        <w:bidi w:val="0"/>
        <w:spacing w:lineRule="auto" w:line="288" w:before="240" w:after="283"/>
        <w:ind w:left="0" w:right="0" w:firstLine="720"/>
        <w:jc w:val="left"/>
        <w:rPr/>
      </w:pPr>
      <w:bookmarkStart w:id="357" w:name="ieb3731e1a6314bc6847637494af71822"/>
      <w:bookmarkEnd w:id="357"/>
      <w:r>
        <w:rPr>
          <w:rFonts w:ascii="Times New Roman;serif" w:hAnsi="Times New Roman;serif"/>
          <w:b w:val="false"/>
          <w:color w:val="000000"/>
          <w:sz w:val="24"/>
        </w:rPr>
        <w:t>Section 8.06.    </w:t>
      </w:r>
      <w:r>
        <w:rPr>
          <w:rFonts w:ascii="Times New Roman;serif" w:hAnsi="Times New Roman;serif"/>
          <w:b w:val="false"/>
          <w:color w:val="000000"/>
          <w:sz w:val="24"/>
          <w:u w:val="single"/>
        </w:rPr>
        <w:t>Independent Lenders</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58" w:name="ied3f62341f594268a70e5839afb12d62"/>
      <w:bookmarkEnd w:id="358"/>
      <w:r>
        <w:rPr>
          <w:rFonts w:ascii="Times New Roman;serif" w:hAnsi="Times New Roman;serif"/>
          <w:b w:val="false"/>
          <w:color w:val="000000"/>
          <w:sz w:val="24"/>
        </w:rPr>
        <w:t>(a)    Each Lender and each Issuing Lender represents and warrants that (1) the Loan Documents set forth the terms of a commercial lending facility, (2) in participating as a Lender, it is engaged in making, acquiring or holding commercial loans and in providing other facilities set forth herein as may be applicable to such Lender or Issuing Lender, in each case in the ordinary course of business, and not for the purpose of investing in the general performance or operations of the Borrower, or for the purpose of purchasing, acquiring or holding any other type of financial instrument such as a security (and each Lender and each Issuing Lender agrees not to assert a claim in contravention of the foregoing, such as a claim under the federal or state securities laws), (3) it has, independently and without reliance upon the Administrative Agent, any arranger, or any other Lender or Issuing Lender, or any of the Related Parties of any of the foregoing, and based on such documents and information as it has deemed appropriate, made its own credit analysis and decision to enter into this Agreement as a Lender, and to make, acquire or hold Loans hereunder and (4)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Lender also acknowledges that it will, independently and without reliance upon the Administrative Agent, any arranger or any other Lender or Issuing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59" w:name="i9ad42ece07d2421a9e1932c943aed0d4"/>
      <w:bookmarkEnd w:id="359"/>
      <w:r>
        <w:rPr>
          <w:rFonts w:ascii="Times New Roman;serif" w:hAnsi="Times New Roman;serif"/>
          <w:b w:val="false"/>
          <w:color w:val="000000"/>
          <w:sz w:val="24"/>
        </w:rPr>
        <w:t>(b)    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pStyle w:val="TextBody"/>
        <w:bidi w:val="0"/>
        <w:spacing w:lineRule="auto" w:line="288" w:before="240" w:after="283"/>
        <w:ind w:left="0" w:right="0" w:firstLine="720"/>
        <w:jc w:val="left"/>
        <w:rPr/>
      </w:pPr>
      <w:bookmarkStart w:id="360" w:name="i2794fd784a96424e8c64cd8942b99977"/>
      <w:bookmarkEnd w:id="360"/>
      <w:r>
        <w:rPr>
          <w:rFonts w:ascii="Times New Roman;serif" w:hAnsi="Times New Roman;serif"/>
          <w:b w:val="false"/>
          <w:color w:val="000000"/>
          <w:sz w:val="24"/>
        </w:rPr>
        <w:t>Section 8.07.    </w:t>
      </w:r>
      <w:r>
        <w:rPr>
          <w:rFonts w:ascii="Times New Roman;serif" w:hAnsi="Times New Roman;serif"/>
          <w:b w:val="false"/>
          <w:color w:val="000000"/>
          <w:sz w:val="24"/>
          <w:u w:val="single"/>
        </w:rPr>
        <w:t>Advances and Payments</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25145"/>
                <wp:effectExtent l="0" t="0" r="0" b="0"/>
                <wp:wrapNone/>
                <wp:docPr id="156" name="Frame15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61" w:name="idd0f361e82e349bba51998ec85923944"/>
      <w:bookmarkEnd w:id="361"/>
      <w:r>
        <w:rPr>
          <w:rFonts w:ascii="Times New Roman;serif" w:hAnsi="Times New Roman;serif"/>
          <w:b w:val="false"/>
          <w:color w:val="000000"/>
          <w:sz w:val="24"/>
        </w:rPr>
        <w:t>(a)    On the date of each Loan, the Administrative Agent shall be authorized (but not obligated) to advance, for the account of each of the Lenders, the amount of the Loan to be made by it in accordance with its Commitment hereunder. Should the Administrative Agent do so, each of the Lenders agrees forthwith to reimburse the Administrative Agent in immediately available funds for the amount so advanced on its behalf by the Administrative Agent, together with interest at the Federal Funds Effective Rate if not so reimbursed on the date due from and including such date but not including the date of reimbursement.</w:t>
      </w:r>
    </w:p>
    <w:p>
      <w:pPr>
        <w:pStyle w:val="TextBody"/>
        <w:bidi w:val="0"/>
        <w:spacing w:lineRule="auto" w:line="288" w:before="240" w:after="283"/>
        <w:ind w:left="0" w:right="0" w:firstLine="720"/>
        <w:jc w:val="left"/>
        <w:rPr/>
      </w:pPr>
      <w:bookmarkStart w:id="362" w:name="i6dfdbb706034431badbc8c15a3163e3e"/>
      <w:bookmarkEnd w:id="362"/>
      <w:r>
        <w:rPr>
          <w:rFonts w:ascii="Times New Roman;serif" w:hAnsi="Times New Roman;serif"/>
          <w:b w:val="false"/>
          <w:color w:val="000000"/>
          <w:sz w:val="24"/>
        </w:rPr>
        <w:t xml:space="preserve">(b)    Any amounts received by the Administrative Agent in connection with this Agreement (other than amounts to which the Administrative Agent is entitled pursuant to </w:t>
      </w:r>
      <w:r>
        <w:rPr>
          <w:rFonts w:ascii="Times New Roman;serif" w:hAnsi="Times New Roman;serif"/>
          <w:b w:val="false"/>
          <w:color w:val="000000"/>
          <w:sz w:val="24"/>
          <w:u w:val="single"/>
        </w:rPr>
        <w:t>Sections 2.19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2.20(a)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10.04</w:t>
      </w:r>
      <w:r>
        <w:rPr>
          <w:rFonts w:ascii="Times New Roman;serif" w:hAnsi="Times New Roman;serif"/>
          <w:b w:val="false"/>
          <w:color w:val="000000"/>
          <w:sz w:val="24"/>
        </w:rPr>
        <w:t xml:space="preserve">), the application of which is not otherwise provided for in this Agreement, shall be applied in accordance with </w:t>
      </w:r>
      <w:r>
        <w:rPr>
          <w:rFonts w:ascii="Times New Roman;serif" w:hAnsi="Times New Roman;serif"/>
          <w:b w:val="false"/>
          <w:color w:val="000000"/>
          <w:sz w:val="24"/>
          <w:u w:val="single"/>
        </w:rPr>
        <w:t>Section 2.17(b)</w:t>
      </w:r>
      <w:r>
        <w:rPr>
          <w:rFonts w:ascii="Times New Roman;serif" w:hAnsi="Times New Roman;serif"/>
          <w:b w:val="false"/>
          <w:color w:val="000000"/>
          <w:sz w:val="24"/>
        </w:rPr>
        <w:t>. All amounts to be paid to a Lender by the Administrative Agent shall be credited to that Lender, after collection by the Administrative Agent, in immediately available funds either by wire transfer or deposit in that Lender’s correspondent account with the Administrative Agent, as such Lender and the Administrative Agent shall from time to time agree.</w:t>
      </w:r>
    </w:p>
    <w:p>
      <w:pPr>
        <w:pStyle w:val="TextBody"/>
        <w:bidi w:val="0"/>
        <w:spacing w:lineRule="auto" w:line="288" w:before="240" w:after="283"/>
        <w:ind w:left="0" w:right="0" w:firstLine="720"/>
        <w:jc w:val="left"/>
        <w:rPr/>
      </w:pPr>
      <w:bookmarkStart w:id="363" w:name="ib5fb21794d404ef7a0d5659250091d34"/>
      <w:bookmarkEnd w:id="363"/>
      <w:r>
        <w:rPr>
          <w:rFonts w:ascii="Times New Roman;serif" w:hAnsi="Times New Roman;serif"/>
          <w:b w:val="false"/>
          <w:color w:val="000000"/>
          <w:sz w:val="24"/>
        </w:rPr>
        <w:t>(c)    Each Lender and each Issuing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serif" w:hAnsi="Times New Roman;serif"/>
          <w:b w:val="false"/>
          <w:color w:val="000000"/>
          <w:sz w:val="24"/>
          <w:u w:val="single"/>
        </w:rPr>
        <w:t>Payment</w:t>
      </w:r>
      <w:r>
        <w:rPr>
          <w:color w:val="000000"/>
        </w:rPr>
        <w:t>”</w:t>
      </w:r>
      <w:r>
        <w:rPr>
          <w:rFonts w:ascii="Times New Roman;serif" w:hAnsi="Times New Roman;serif"/>
          <w:b w:val="false"/>
          <w:color w:val="000000"/>
          <w:sz w:val="24"/>
        </w:rPr>
        <w:t xml:space="preserve">) were erroneously transmitted to such Lender or Issuing Lender (whether or not known to such Lender or Issuing Lender), and demands the return of such Payment (or a portion thereof), such Lender or Issuing Lender shall promptly, but in no event later than two Business Days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serif" w:hAnsi="Times New Roman;serif"/>
          <w:b w:val="false"/>
          <w:color w:val="000000"/>
          <w:sz w:val="24"/>
          <w:u w:val="single"/>
        </w:rPr>
        <w:t>Section 8.07(c)</w:t>
      </w:r>
      <w:r>
        <w:rPr>
          <w:color w:val="000000"/>
        </w:rPr>
        <w:t xml:space="preserve"> </w:t>
      </w:r>
      <w:r>
        <w:rPr>
          <w:rFonts w:ascii="Times New Roman;serif" w:hAnsi="Times New Roman;serif"/>
          <w:b w:val="false"/>
          <w:color w:val="000000"/>
          <w:sz w:val="24"/>
        </w:rPr>
        <w:t>shall be conclusive, absent manifest error.</w:t>
      </w:r>
    </w:p>
    <w:p>
      <w:pPr>
        <w:pStyle w:val="TextBody"/>
        <w:bidi w:val="0"/>
        <w:spacing w:lineRule="auto" w:line="288" w:before="240" w:after="283"/>
        <w:ind w:left="0" w:right="0" w:firstLine="720"/>
        <w:jc w:val="left"/>
        <w:rPr/>
      </w:pPr>
      <w:bookmarkStart w:id="364" w:name="i920d40a090e7498b98f14a0c5cc5d892"/>
      <w:bookmarkEnd w:id="364"/>
      <w:r>
        <w:rPr>
          <w:rFonts w:ascii="Times New Roman;serif" w:hAnsi="Times New Roman;serif"/>
          <w:b w:val="false"/>
          <w:color w:val="000000"/>
          <w:sz w:val="24"/>
        </w:rPr>
        <w:t>(i)    Each Lender and Issuing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serif" w:hAnsi="Times New Roman;serif"/>
          <w:b w:val="false"/>
          <w:color w:val="000000"/>
          <w:sz w:val="24"/>
          <w:u w:val="single"/>
        </w:rPr>
        <w:t>Payment Notice</w:t>
      </w:r>
      <w:r>
        <w:rPr>
          <w:color w:val="000000"/>
        </w:rPr>
        <w:t>”</w:t>
      </w:r>
      <w:r>
        <w:rPr>
          <w:rFonts w:ascii="Times New Roman;serif" w:hAnsi="Times New Roman;serif"/>
          <w:b w:val="false"/>
          <w:color w:val="000000"/>
          <w:sz w:val="24"/>
        </w:rPr>
        <w:t xml:space="preserve">) or (y) that was not preceded or accompanied by a Payment Notice, it shall be on notice, in each such case, that an error has been made with respect to such Payment.  Each Lender and Issuing Lender agrees that, in each such case, or if it otherwise becomes </w:t>
      </w:r>
    </w:p>
    <w:p>
      <w:pPr>
        <w:pStyle w:val="TextBody"/>
        <w:bidi w:val="0"/>
        <w:spacing w:before="0" w:after="0"/>
        <w:jc w:val="center"/>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525145"/>
                <wp:effectExtent l="0" t="0" r="0" b="0"/>
                <wp:wrapNone/>
                <wp:docPr id="157" name="Frame15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aware a Payment (or portion thereof) may have been sent in error, such Lender or Issuing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65" w:name="i18696d178f7e4adcbb2b0c9d46018ac5"/>
      <w:bookmarkEnd w:id="365"/>
      <w:r>
        <w:rPr>
          <w:rFonts w:ascii="Times New Roman;serif" w:hAnsi="Times New Roman;serif"/>
          <w:b w:val="false"/>
          <w:color w:val="000000"/>
          <w:sz w:val="24"/>
        </w:rPr>
        <w:t>(ii)    The Borrower and each Guarantor hereby agrees that an erroneous Payment shall not pay, prepay, repay, discharge or otherwise satisfy any Obligations owed by the Borrower or any Guarantor, except, in each case, to the extent such Payment is, and solely with respect to the amount of such Payment that is, comprised of funds received by the Administrative Agent from the Borrower or any Guarantor for the purpose of making such Payment.</w:t>
      </w:r>
    </w:p>
    <w:p>
      <w:pPr>
        <w:pStyle w:val="TextBody"/>
        <w:bidi w:val="0"/>
        <w:spacing w:lineRule="auto" w:line="288" w:before="240" w:after="283"/>
        <w:ind w:left="0" w:right="0" w:firstLine="720"/>
        <w:jc w:val="left"/>
        <w:rPr/>
      </w:pPr>
      <w:bookmarkStart w:id="366" w:name="i8ccc4ad07d174492ac9695576c2164b4"/>
      <w:bookmarkEnd w:id="366"/>
      <w:r>
        <w:rPr>
          <w:rFonts w:ascii="Times New Roman;serif" w:hAnsi="Times New Roman;serif"/>
          <w:b w:val="false"/>
          <w:color w:val="000000"/>
          <w:sz w:val="24"/>
        </w:rPr>
        <w:t xml:space="preserve">(iii)    Each party’s obligations under this </w:t>
      </w:r>
      <w:r>
        <w:rPr>
          <w:rFonts w:ascii="Times New Roman;serif" w:hAnsi="Times New Roman;serif"/>
          <w:b w:val="false"/>
          <w:color w:val="000000"/>
          <w:sz w:val="24"/>
          <w:u w:val="single"/>
        </w:rPr>
        <w:t>Section 8.07(c)</w:t>
      </w:r>
      <w:r>
        <w:rPr>
          <w:color w:val="000000"/>
        </w:rPr>
        <w:t xml:space="preserve"> </w:t>
      </w:r>
      <w:r>
        <w:rPr>
          <w:rFonts w:ascii="Times New Roman;serif" w:hAnsi="Times New Roman;serif"/>
          <w:b w:val="false"/>
          <w:color w:val="000000"/>
          <w:sz w:val="24"/>
        </w:rPr>
        <w:t>shall survive the resignation or replacement of the Administrative Agent or any transfer of rights or obligations by, or the replacement of, a Lender or Issuing Lender, the termination of the Commitments or the repayment, satisfaction or discharge of all Obligations under any Loan Document.</w:t>
      </w:r>
    </w:p>
    <w:p>
      <w:pPr>
        <w:pStyle w:val="TextBody"/>
        <w:bidi w:val="0"/>
        <w:spacing w:lineRule="auto" w:line="288" w:before="240" w:after="283"/>
        <w:jc w:val="left"/>
        <w:rPr>
          <w:rFonts w:ascii="Times New Roman;serif" w:hAnsi="Times New Roman;serif"/>
          <w:b w:val="false"/>
          <w:color w:val="000000"/>
          <w:sz w:val="24"/>
        </w:rPr>
      </w:pPr>
      <w:bookmarkStart w:id="367" w:name="i877b4a6867494f09904a47a7afde8efa"/>
      <w:bookmarkEnd w:id="367"/>
      <w:r>
        <w:rPr>
          <w:rFonts w:ascii="Times New Roman;serif" w:hAnsi="Times New Roman;serif"/>
          <w:b w:val="false"/>
          <w:color w:val="000000"/>
          <w:sz w:val="24"/>
        </w:rPr>
        <w:t>For the avoidance of doubt, nothing herein shall limit or waive any of the Borrower’s or any Guarantor’s rights or remedies to enforce return of any Payment.</w:t>
      </w:r>
    </w:p>
    <w:p>
      <w:pPr>
        <w:pStyle w:val="TextBody"/>
        <w:bidi w:val="0"/>
        <w:spacing w:lineRule="auto" w:line="288" w:before="240" w:after="283"/>
        <w:ind w:left="0" w:right="0" w:firstLine="720"/>
        <w:jc w:val="left"/>
        <w:rPr/>
      </w:pPr>
      <w:bookmarkStart w:id="368" w:name="i4b66fbde13854698ac6d232ac7de8fe6"/>
      <w:bookmarkEnd w:id="368"/>
      <w:r>
        <w:rPr>
          <w:rFonts w:ascii="Times New Roman;serif" w:hAnsi="Times New Roman;serif"/>
          <w:b w:val="false"/>
          <w:color w:val="000000"/>
          <w:sz w:val="24"/>
        </w:rPr>
        <w:t>Section 8.08.    </w:t>
      </w:r>
      <w:r>
        <w:rPr>
          <w:rFonts w:ascii="Times New Roman;serif" w:hAnsi="Times New Roman;serif"/>
          <w:b w:val="false"/>
          <w:color w:val="000000"/>
          <w:sz w:val="24"/>
          <w:u w:val="single"/>
        </w:rPr>
        <w:t>Sharing of Setoffs</w:t>
      </w:r>
      <w:r>
        <w:rPr>
          <w:rFonts w:ascii="Times New Roman;serif" w:hAnsi="Times New Roman;serif"/>
          <w:b w:val="false"/>
          <w:color w:val="000000"/>
          <w:sz w:val="24"/>
        </w:rPr>
        <w:t xml:space="preserve">. Each Lender agrees that, except to the extent this Agreement expressly provides for payments to be allocated to a particular Lender, if it shall, through the exercise either by it or any of its banking Affiliates of a right of banker’s lien, setoff or counterclaim against the Borrower or a Guarantor, including, but not limited to, a secured claim under Section 506 of the Bankruptcy Code or other security or interest arising from, or in lieu of, such secured claim and received by such Lender (or any of its banking Affiliates) under any applicable bankruptcy, insolvency or other similar law, or otherwise, obtain payment in respect of its Loans or LC Exposure as a result of which the unpaid portion of its Loans or LC Exposure is proportionately less than the unpaid portion of the Loans or LC Exposure of any other Lender (a) it shall promptly purchase at par (and shall be deemed to have thereupon purchased) from such other Lender a participation in the Loans or LC Exposure of such other Lender, so that the aggregate unpaid principal amount of each Lender’s Loans and LC Exposure and its participation in Loans and LC Exposure of the other Lenders shall be in the same proportion to the aggregate unpaid principal amount of all Loans then outstanding and LC Exposure as the principal amount of its Loans and LC Exposure prior to the obtaining of such payment was to the principal amount of all Loans outstanding and LC Exposure prior to the obtaining of such payment and (b) such other adjustments shall be made from time to time as shall be equitable to ensure that the Lenders share such payment pro-rata, provided that if any </w:t>
      </w:r>
    </w:p>
    <w:p>
      <w:pPr>
        <w:pStyle w:val="TextBody"/>
        <w:bidi w:val="0"/>
        <w:spacing w:before="0" w:after="0"/>
        <w:jc w:val="center"/>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525145"/>
                <wp:effectExtent l="0" t="0" r="0" b="0"/>
                <wp:wrapNone/>
                <wp:docPr id="158" name="Frame15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such non-pro-rata payment is thereafter recovered or otherwise set aside, such purchase of participations shall be rescinded (without interest). The Borrower expressly consents to the foregoing arrangements and agrees, to the fullest extent permitted by law, that any Lender holding (or deemed to be holding) a participation in a Loan or LC Exposure acquired pursuant to this Section or any of its banking Affiliates may exercise any and all rights of banker’s lien, setoff or counterclaim with respect to any and all moneys owing by the Borrower to such Lender as fully as if such Lender was the original obligee thereon, in the amount of such participation. The provisions of this </w:t>
      </w:r>
      <w:r>
        <w:rPr>
          <w:rFonts w:ascii="Times New Roman;serif" w:hAnsi="Times New Roman;serif"/>
          <w:b w:val="false"/>
          <w:color w:val="000000"/>
          <w:sz w:val="24"/>
          <w:u w:val="single"/>
        </w:rPr>
        <w:t>Section 8.08</w:t>
      </w:r>
      <w:r>
        <w:rPr>
          <w:color w:val="000000"/>
        </w:rPr>
        <w:t xml:space="preserve"> </w:t>
      </w:r>
      <w:r>
        <w:rPr>
          <w:rFonts w:ascii="Times New Roman;serif" w:hAnsi="Times New Roman;serif"/>
          <w:b w:val="false"/>
          <w:color w:val="000000"/>
          <w:sz w:val="24"/>
        </w:rPr>
        <w:t>shall not be construed to apply to (a) any payment made by the Borrower or a Guarantor pursuant to and in accordance with the express terms of this Agreement (including the application of funds arising from the existence of a Defaulting Lender) or (b) any payment obtained by any Lender as consideration for the assignment or sale of a participation in any of its Loans or other Obligations owed to it.</w:t>
      </w:r>
    </w:p>
    <w:p>
      <w:pPr>
        <w:pStyle w:val="TextBody"/>
        <w:bidi w:val="0"/>
        <w:spacing w:lineRule="auto" w:line="288" w:before="240" w:after="283"/>
        <w:ind w:left="0" w:right="0" w:firstLine="720"/>
        <w:jc w:val="left"/>
        <w:rPr/>
      </w:pPr>
      <w:bookmarkStart w:id="369" w:name="i7a376500acc44dc09254aac4090cfb1a"/>
      <w:bookmarkEnd w:id="369"/>
      <w:r>
        <w:rPr>
          <w:rFonts w:ascii="Times New Roman;serif" w:hAnsi="Times New Roman;serif"/>
          <w:b w:val="false"/>
          <w:color w:val="000000"/>
          <w:sz w:val="24"/>
        </w:rPr>
        <w:t>Section 8.09.    </w:t>
      </w:r>
      <w:r>
        <w:rPr>
          <w:rFonts w:ascii="Times New Roman;serif" w:hAnsi="Times New Roman;serif"/>
          <w:b w:val="false"/>
          <w:color w:val="000000"/>
          <w:sz w:val="24"/>
          <w:u w:val="single"/>
        </w:rPr>
        <w:t>Withholding Taxes</w:t>
      </w:r>
      <w:r>
        <w:rPr>
          <w:rFonts w:ascii="Times New Roman;serif" w:hAnsi="Times New Roman;serif"/>
          <w:b w:val="false"/>
          <w:color w:val="000000"/>
          <w:sz w:val="24"/>
        </w:rPr>
        <w:t xml:space="preserve">. To the extent required by any applicable law, the Administrative Agent may withhold from any payment to any Lender an amount equivalent to any withholding tax applicable to such payment. If the Internal Revenue Service or any other Governmental Authority asserts a claim that the Administrative Agent did not properly withhold tax from amounts paid to or for the account of any Lender for any reason, or the Administrative Agent has paid over to the Internal Revenue Service applicable withholding tax relating to a payment to a Lender but no deduction has been made from such payment, without duplication of any indemnification obligations set forth in </w:t>
      </w:r>
      <w:r>
        <w:rPr>
          <w:rFonts w:ascii="Times New Roman;serif" w:hAnsi="Times New Roman;serif"/>
          <w:b w:val="false"/>
          <w:color w:val="000000"/>
          <w:sz w:val="24"/>
          <w:u w:val="single"/>
        </w:rPr>
        <w:t>Section 8.04</w:t>
      </w:r>
      <w:r>
        <w:rPr>
          <w:rFonts w:ascii="Times New Roman;serif" w:hAnsi="Times New Roman;serif"/>
          <w:b w:val="false"/>
          <w:color w:val="000000"/>
          <w:sz w:val="24"/>
        </w:rPr>
        <w:t>, such Lender shall indemnify the Administrative Agent fully for all amounts paid, directly or indirectly, by the Administrative Agent as tax or otherwise, including any penalties or interest and together with any expenses incurred.</w:t>
      </w:r>
    </w:p>
    <w:p>
      <w:pPr>
        <w:pStyle w:val="TextBody"/>
        <w:bidi w:val="0"/>
        <w:spacing w:lineRule="auto" w:line="288" w:before="240" w:after="283"/>
        <w:ind w:left="0" w:right="0" w:firstLine="720"/>
        <w:jc w:val="left"/>
        <w:rPr/>
      </w:pPr>
      <w:bookmarkStart w:id="370" w:name="i5c7a4a71ad534ccba54f60d0a36d61c2"/>
      <w:bookmarkEnd w:id="370"/>
      <w:r>
        <w:rPr>
          <w:rFonts w:ascii="Times New Roman;serif" w:hAnsi="Times New Roman;serif"/>
          <w:b w:val="false"/>
          <w:color w:val="000000"/>
          <w:sz w:val="24"/>
        </w:rPr>
        <w:t>Section 8.10.    </w:t>
      </w:r>
      <w:r>
        <w:rPr>
          <w:rFonts w:ascii="Times New Roman;serif" w:hAnsi="Times New Roman;serif"/>
          <w:b w:val="false"/>
          <w:color w:val="000000"/>
          <w:sz w:val="24"/>
          <w:u w:val="single"/>
        </w:rPr>
        <w:t>Appointment by Secured Parties</w:t>
      </w:r>
      <w:r>
        <w:rPr>
          <w:rFonts w:ascii="Times New Roman;serif" w:hAnsi="Times New Roman;serif"/>
          <w:b w:val="false"/>
          <w:color w:val="000000"/>
          <w:sz w:val="24"/>
        </w:rPr>
        <w:t xml:space="preserve">. Each Secured Party that is not a party to this Agreement shall be deemed to have appointed the Administrative Agent as its agent and the Collateral Trustee as its collateral agent under the Loan Documents in accordance with the terms of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and to have acknowledged that the provisions of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apply to such Secured Party </w:t>
      </w:r>
      <w:r>
        <w:rPr>
          <w:rFonts w:ascii="Times New Roman;serif" w:hAnsi="Times New Roman;serif"/>
          <w:b w:val="false"/>
          <w:i/>
          <w:color w:val="000000"/>
          <w:sz w:val="24"/>
        </w:rPr>
        <w:t>mutatis mutandis</w:t>
      </w:r>
      <w:r>
        <w:rPr>
          <w:color w:val="000000"/>
        </w:rPr>
        <w:t xml:space="preserve"> </w:t>
      </w:r>
      <w:r>
        <w:rPr>
          <w:rFonts w:ascii="Times New Roman;serif" w:hAnsi="Times New Roman;serif"/>
          <w:b w:val="false"/>
          <w:color w:val="000000"/>
          <w:sz w:val="24"/>
        </w:rPr>
        <w:t>as though it were a party hereto (and any acceptance by such Secured Party of the benefits of this Agreement or any other Loan Document shall be deemed an acknowledgment of the foregoing).</w:t>
      </w:r>
    </w:p>
    <w:p>
      <w:pPr>
        <w:pStyle w:val="TextBody"/>
        <w:bidi w:val="0"/>
        <w:spacing w:lineRule="auto" w:line="276" w:before="240" w:after="283"/>
        <w:ind w:left="0" w:right="0" w:firstLine="1440"/>
        <w:jc w:val="left"/>
        <w:rPr/>
      </w:pPr>
      <w:bookmarkStart w:id="371" w:name="i10e7027b36204113b046ed6ec8beb6c1"/>
      <w:bookmarkEnd w:id="371"/>
      <w:r>
        <w:rPr>
          <w:rFonts w:ascii="Times New Roman;serif" w:hAnsi="Times New Roman;serif"/>
          <w:b w:val="false"/>
          <w:color w:val="000000"/>
          <w:sz w:val="24"/>
        </w:rPr>
        <w:t>Section 8.11.    </w:t>
      </w:r>
      <w:r>
        <w:rPr>
          <w:rFonts w:ascii="Times New Roman;serif" w:hAnsi="Times New Roman;serif"/>
          <w:b w:val="false"/>
          <w:color w:val="000000"/>
          <w:sz w:val="24"/>
          <w:u w:val="single"/>
        </w:rPr>
        <w:t>Non-Extending Lenders</w:t>
      </w:r>
      <w:r>
        <w:rPr>
          <w:rFonts w:ascii="Times New Roman;serif" w:hAnsi="Times New Roman;serif"/>
          <w:b w:val="false"/>
          <w:color w:val="000000"/>
          <w:sz w:val="24"/>
        </w:rPr>
        <w:t xml:space="preserve">. The Administrative Agent may treat any Loans and Aggregate Exposure of the Non-Extending Lenders that are outstanding at any time as a distinct Class of Loans and Aggregate Exposure from any outstanding Commitments, Loans and Aggregate Exposure of the Extending Lenders;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such treatment is solely for administrative purposes and will not affect any Lender’s rights or obligations hereunder.</w:t>
      </w:r>
    </w:p>
    <w:p>
      <w:pPr>
        <w:pStyle w:val="TextBody"/>
        <w:bidi w:val="0"/>
        <w:spacing w:lineRule="auto" w:line="288" w:before="240" w:after="283"/>
        <w:jc w:val="center"/>
        <w:rPr>
          <w:rFonts w:ascii="Times New Roman;serif" w:hAnsi="Times New Roman;serif"/>
          <w:b/>
          <w:color w:val="000000"/>
          <w:sz w:val="24"/>
        </w:rPr>
      </w:pPr>
      <w:bookmarkStart w:id="372" w:name="ia6f917804eba4503aec63f558931bffc"/>
      <w:bookmarkEnd w:id="372"/>
      <w:r>
        <w:rPr>
          <w:rFonts w:ascii="Times New Roman;serif" w:hAnsi="Times New Roman;serif"/>
          <w:b/>
          <w:color w:val="000000"/>
          <w:sz w:val="24"/>
        </w:rPr>
        <w:t>SECTION 9.</w:t>
        <w:br/>
        <w:br/>
        <w:t>GUARANTY</w:t>
      </w:r>
    </w:p>
    <w:p>
      <w:pPr>
        <w:pStyle w:val="TextBody"/>
        <w:bidi w:val="0"/>
        <w:spacing w:lineRule="auto" w:line="288" w:before="240" w:after="283"/>
        <w:ind w:left="0" w:right="0" w:firstLine="720"/>
        <w:jc w:val="left"/>
        <w:rPr/>
      </w:pPr>
      <w:bookmarkStart w:id="373" w:name="ie68234ed0ae34e4c9d1abd2cf2bfc4fb"/>
      <w:bookmarkEnd w:id="373"/>
      <w:r>
        <w:rPr>
          <w:rFonts w:ascii="Times New Roman;serif" w:hAnsi="Times New Roman;serif"/>
          <w:b w:val="false"/>
          <w:color w:val="000000"/>
          <w:sz w:val="24"/>
        </w:rPr>
        <w:t>Section 9.01.    </w:t>
      </w:r>
      <w:r>
        <w:rPr>
          <w:rFonts w:ascii="Times New Roman;serif" w:hAnsi="Times New Roman;serif"/>
          <w:b w:val="false"/>
          <w:color w:val="000000"/>
          <w:sz w:val="24"/>
          <w:u w:val="single"/>
        </w:rPr>
        <w:t>Guaranty</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525145"/>
                <wp:effectExtent l="0" t="0" r="0" b="0"/>
                <wp:wrapNone/>
                <wp:docPr id="159" name="Frame15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374" w:name="ida6ebd81c9b54308be050270a66bb422"/>
      <w:bookmarkEnd w:id="374"/>
      <w:r>
        <w:rPr>
          <w:rFonts w:ascii="Times New Roman;serif" w:hAnsi="Times New Roman;serif"/>
          <w:b w:val="false"/>
          <w:color w:val="000000"/>
          <w:sz w:val="24"/>
        </w:rPr>
        <w:t>(a)    Each of the Guarantors unconditionally and irrevocably guarantees the due and punctual payment by the Borrower of the Obligations (including interest accruing on and after the filing of any petition in bankruptcy or of reorganization of the obligor whether or not post filing interest is allowed in such proceeding) (collectively, the “</w:t>
      </w:r>
      <w:r>
        <w:rPr>
          <w:rFonts w:ascii="Times New Roman;serif" w:hAnsi="Times New Roman;serif"/>
          <w:b w:val="false"/>
          <w:color w:val="000000"/>
          <w:sz w:val="24"/>
          <w:u w:val="single"/>
        </w:rPr>
        <w:t>Guaranteed Obligations</w:t>
      </w:r>
      <w:r>
        <w:rPr>
          <w:color w:val="000000"/>
        </w:rPr>
        <w:t xml:space="preserve">” </w:t>
      </w:r>
      <w:r>
        <w:rPr>
          <w:rFonts w:ascii="Times New Roman;serif" w:hAnsi="Times New Roman;serif"/>
          <w:b w:val="false"/>
          <w:color w:val="000000"/>
          <w:sz w:val="24"/>
        </w:rPr>
        <w:t>and the obligations of each Guarantor in respect thereof, its “</w:t>
      </w:r>
      <w:r>
        <w:rPr>
          <w:rFonts w:ascii="Times New Roman;serif" w:hAnsi="Times New Roman;serif"/>
          <w:b w:val="false"/>
          <w:color w:val="000000"/>
          <w:sz w:val="24"/>
          <w:u w:val="single"/>
        </w:rPr>
        <w:t>Guaranty Obligations</w:t>
      </w:r>
      <w:r>
        <w:rPr>
          <w:color w:val="000000"/>
        </w:rPr>
        <w:t>”</w:t>
      </w:r>
      <w:r>
        <w:rPr>
          <w:rFonts w:ascii="Times New Roman;serif" w:hAnsi="Times New Roman;serif"/>
          <w:b w:val="false"/>
          <w:color w:val="000000"/>
          <w:sz w:val="24"/>
        </w:rPr>
        <w:t>). Each of the Guarantors further agrees that, to the extent permitted by applicable law, the Obligations may be extended or renewed, in whole or in part, without notice to or further assent from it, and it will remain bound upon this guaranty notwithstanding any extension or renewal of any of the Obligations. The Obligations of the Guarantors shall be joint and several. Each of the Guarantors further agrees that its guaranty hereunder is a primary obligation of such Guarantor and not merely a contract of surety.</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75" w:name="i88a2a15eae2240aaa70077a1c1be3269"/>
      <w:bookmarkEnd w:id="375"/>
      <w:r>
        <w:rPr>
          <w:rFonts w:ascii="Times New Roman;serif" w:hAnsi="Times New Roman;serif"/>
          <w:b w:val="false"/>
          <w:color w:val="000000"/>
          <w:sz w:val="24"/>
        </w:rPr>
        <w:t>(b)    To the extent permitted by applicable law, each of the Guarantors waives presentation to, demand for payment from and protest to the Borrower or any other Guarantor, and also waives notice of protest for nonpayment. The obligations of the Guarantors hereunder shall not, to the extent permitted by applicable law, be affected by (i) the failure of the Administrative Agent, the Collateral Trustee or a Lender to assert any claim or demand or to enforce any right or remedy against the Borrower or any other Guarantor under the provisions of this Agreement or any other Loan Document or otherwise; (ii) any extension or renewal of any provision hereof or thereof; (iii) any rescission, waiver, compromise, acceleration, amendment or modification of any of the terms or provisions of any of the Loan Documents; (iv) the release, exchange, waiver or foreclosure of any security held by the Administrative Agent or the Collateral Trustee for the Obligations or any of them; (v) the failure of the Administrative Agent, the Collateral Trustee or a Lender to exercise any right or remedy against any other Guarantor; or (vi) the release or substitution of any Collateral or any other Guarantor.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76" w:name="i5d11c494c71d48e5a955ef2c62a1256f"/>
      <w:bookmarkEnd w:id="376"/>
      <w:r>
        <w:rPr>
          <w:rFonts w:ascii="Times New Roman;serif" w:hAnsi="Times New Roman;serif"/>
          <w:b w:val="false"/>
          <w:color w:val="000000"/>
          <w:sz w:val="24"/>
        </w:rPr>
        <w:t>(c)    To the extent permitted by applicable law, each of the Guarantors further agrees that this guaranty constitutes a guaranty of payment when due and not just of collection, and waives any right to require that any resort be had by the Administrative Agent, the Collateral Trustee or a Lender to any security held for payment of the Obligations or to any balance of any deposit, account or credit on the books of the Administrative Agent, the Collateral Trustee or a Lender in favor of the Borrower or any other Guarantor, or to any other Person.</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77" w:name="iefeff6f31b4e423db3ec8a0755971cb2"/>
      <w:bookmarkEnd w:id="377"/>
      <w:r>
        <w:rPr>
          <w:rFonts w:ascii="Times New Roman;serif" w:hAnsi="Times New Roman;serif"/>
          <w:b w:val="false"/>
          <w:color w:val="000000"/>
          <w:sz w:val="24"/>
        </w:rPr>
        <w:t>(d)    To the extent permitted by applicable law, each of the Guarantors hereby waives any defense that it might have based on a failure to remain informed of the financial condition of the Borrower and of any other Guarantor and any circumstances affecting the ability of the Borrower to perform under this Agreement.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78" w:name="ie14e1bff390e4beabfbc42026d26d5aa"/>
      <w:bookmarkEnd w:id="378"/>
      <w:r>
        <w:rPr>
          <w:rFonts w:ascii="Times New Roman;serif" w:hAnsi="Times New Roman;serif"/>
          <w:b w:val="false"/>
          <w:color w:val="000000"/>
          <w:sz w:val="24"/>
        </w:rPr>
        <w:t xml:space="preserve">(e)    To the extent permitted by applicable law, each Guarantor’s guaranty shall not be affected by the genuineness, validity, regularity or enforceability of the Obligations or any other instrument evidencing any Obligations, or by the existence, validity, enforceability, perfection, or extent of any collateral therefor or by any other circumstance relating to the Obligations which might otherwise constitute a defense to this guaranty (other than payment in full in cash of the Obligations in accordance with the terms of this Agreement (other than those that constitute unasserted contingent indemnification obligations)). Neither the Administrative Agent nor any </w:t>
      </w:r>
    </w:p>
    <w:p>
      <w:pPr>
        <w:pStyle w:val="TextBody"/>
        <w:bidi w:val="0"/>
        <w:spacing w:before="0" w:after="0"/>
        <w:jc w:val="center"/>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525145"/>
                <wp:effectExtent l="0" t="0" r="0" b="0"/>
                <wp:wrapNone/>
                <wp:docPr id="160" name="Frame15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of the Lenders makes any representation or warranty in respect to any such circumstances or shall have any duty or responsibility whatsoever to any Guarantor in respect of the management and maintenance of the Obligations.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79" w:name="ia8d73032344840869f089e5ab646aa0e"/>
      <w:bookmarkEnd w:id="379"/>
      <w:r>
        <w:rPr>
          <w:rFonts w:ascii="Times New Roman;serif" w:hAnsi="Times New Roman;serif"/>
          <w:b w:val="false"/>
          <w:color w:val="000000"/>
          <w:sz w:val="24"/>
        </w:rPr>
        <w:t>(f)    Upon the occurrence of the Obligations becoming due and payable (by acceleration or otherwise), the Lenders shall be entitled to immediate payment of such Obligations by the Guarantors upon written demand by the Administrative Agent.</w:t>
      </w:r>
    </w:p>
    <w:p>
      <w:pPr>
        <w:pStyle w:val="TextBody"/>
        <w:bidi w:val="0"/>
        <w:spacing w:lineRule="auto" w:line="288" w:before="240" w:after="283"/>
        <w:ind w:left="0" w:right="0" w:firstLine="720"/>
        <w:jc w:val="left"/>
        <w:rPr/>
      </w:pPr>
      <w:bookmarkStart w:id="380" w:name="ic3f9b7d389064e688ab66e4e713a9b19"/>
      <w:bookmarkEnd w:id="380"/>
      <w:r>
        <w:rPr>
          <w:rFonts w:ascii="Times New Roman;serif" w:hAnsi="Times New Roman;serif"/>
          <w:b w:val="false"/>
          <w:color w:val="000000"/>
          <w:sz w:val="24"/>
        </w:rPr>
        <w:t>Section 9.02.    </w:t>
      </w:r>
      <w:r>
        <w:rPr>
          <w:rFonts w:ascii="Times New Roman;serif" w:hAnsi="Times New Roman;serif"/>
          <w:b w:val="false"/>
          <w:color w:val="000000"/>
          <w:sz w:val="24"/>
          <w:u w:val="single"/>
        </w:rPr>
        <w:t>No Impairment of Guaranty</w:t>
      </w:r>
      <w:r>
        <w:rPr>
          <w:rFonts w:ascii="Times New Roman;serif" w:hAnsi="Times New Roman;serif"/>
          <w:b w:val="false"/>
          <w:color w:val="000000"/>
          <w:sz w:val="24"/>
        </w:rPr>
        <w:t>. To the extent permitted by applicable law, the obligations of the Guarantors hereunder shall not be subject to any reduction, limitation or impairment for any reason, including, without limitation, any claim of waiver, release, surrender, alteration or compromise, other than pursuant to a written agreement in compliance with Section 10.08 and shall not be subject to any defense or set-off, counterclaim, recoupment or termination whatsoever by reason of the invalidity, illegality or unenforceability of the Obligations. To the extent permitted by applicable law, without limiting the generality of the foregoing, the obligations of the Guarantors hereunder shall not be discharged or impaired or otherwise affected by the failure of the Administrative Agent or a Lender to assert any claim or demand or to enforce any remedy under this Agreement or any other agreement, by any waiver or modification of any provision hereof or thereof, by any default, failure or delay, willful or otherwise, in the performance of the Obligations, or by any other act or thing or omission or delay to do any other act or thing which may or might in any manner or to any extent vary the risk of the Guarantors or would otherwise operate as a discharge of the Guarantors as a matter of law.</w:t>
      </w:r>
    </w:p>
    <w:p>
      <w:pPr>
        <w:pStyle w:val="TextBody"/>
        <w:bidi w:val="0"/>
        <w:spacing w:lineRule="auto" w:line="288" w:before="240" w:after="283"/>
        <w:ind w:left="0" w:right="0" w:firstLine="720"/>
        <w:jc w:val="left"/>
        <w:rPr/>
      </w:pPr>
      <w:bookmarkStart w:id="381" w:name="i66e33d6748e84a86830bb6b41738caef"/>
      <w:bookmarkEnd w:id="381"/>
      <w:r>
        <w:rPr>
          <w:rFonts w:ascii="Times New Roman;serif" w:hAnsi="Times New Roman;serif"/>
          <w:b w:val="false"/>
          <w:color w:val="000000"/>
          <w:sz w:val="24"/>
        </w:rPr>
        <w:t>Section 9.03.    </w:t>
      </w:r>
      <w:r>
        <w:rPr>
          <w:rFonts w:ascii="Times New Roman;serif" w:hAnsi="Times New Roman;serif"/>
          <w:b w:val="false"/>
          <w:color w:val="000000"/>
          <w:sz w:val="24"/>
          <w:u w:val="single"/>
        </w:rPr>
        <w:t>Continuation and Reinstatement, etc</w:t>
      </w:r>
      <w:r>
        <w:rPr>
          <w:rFonts w:ascii="Times New Roman;serif" w:hAnsi="Times New Roman;serif"/>
          <w:b w:val="false"/>
          <w:color w:val="000000"/>
          <w:sz w:val="24"/>
        </w:rPr>
        <w:t>. Each Guarantor further agrees that its guaranty hereunder shall continue to be effective or be reinstated, as the case may be, if at any time payment, or any part thereof, of any Obligation is rescinded or must otherwise be restored by the Administrative Agent, the Issuing Lenders, any Lender or any other Secured Party upon the bankruptcy or reorganization of the Borrower or a Guarantor, or otherwise.</w:t>
      </w:r>
    </w:p>
    <w:p>
      <w:pPr>
        <w:pStyle w:val="TextBody"/>
        <w:bidi w:val="0"/>
        <w:spacing w:lineRule="auto" w:line="288" w:before="240" w:after="283"/>
        <w:ind w:left="0" w:right="0" w:firstLine="720"/>
        <w:jc w:val="left"/>
        <w:rPr/>
      </w:pPr>
      <w:bookmarkStart w:id="382" w:name="iee659613b8df4a8283fba37fd4054002"/>
      <w:bookmarkEnd w:id="382"/>
      <w:r>
        <w:rPr>
          <w:rFonts w:ascii="Times New Roman;serif" w:hAnsi="Times New Roman;serif"/>
          <w:b w:val="false"/>
          <w:color w:val="000000"/>
          <w:sz w:val="24"/>
        </w:rPr>
        <w:t>Section 9.04.    </w:t>
      </w:r>
      <w:r>
        <w:rPr>
          <w:rFonts w:ascii="Times New Roman;serif" w:hAnsi="Times New Roman;serif"/>
          <w:b w:val="false"/>
          <w:color w:val="000000"/>
          <w:sz w:val="24"/>
          <w:u w:val="single"/>
        </w:rPr>
        <w:t>Subrogation</w:t>
      </w:r>
      <w:r>
        <w:rPr>
          <w:rFonts w:ascii="Times New Roman;serif" w:hAnsi="Times New Roman;serif"/>
          <w:b w:val="false"/>
          <w:color w:val="000000"/>
          <w:sz w:val="24"/>
        </w:rPr>
        <w:t>. Upon payment by any Guarantor of any sums to the Administrative Agent or a Lender hereunder, all rights of such Guarantor against the Borrower arising as a result thereof by way of right of subrogation or otherwise, shall in all respects be subordinate and junior in right of payment to the prior payment in full of all the Obligations (including interest accruing on and after the filing of any petition in bankruptcy or of reorganization of an obligor whether or not post filing interest is allowed in such proceeding). If any amount shall be paid to such Guarantor for the account of the Borrower relating to the Obligations prior to payment in full of the Obligations, such amount shall be held in trust for the benefit of the Administrative Agent and the Lenders and shall forthwith be paid to the Administrative Agent and the Lenders to be credited and applied to the Obligations, whether matured or unmatured.</w:t>
      </w:r>
    </w:p>
    <w:p>
      <w:pPr>
        <w:pStyle w:val="TextBody"/>
        <w:bidi w:val="0"/>
        <w:spacing w:lineRule="auto" w:line="288" w:before="240" w:after="283"/>
        <w:ind w:left="0" w:right="0" w:firstLine="720"/>
        <w:jc w:val="left"/>
        <w:rPr/>
      </w:pPr>
      <w:bookmarkStart w:id="383" w:name="i351fa06dfd9046f5abdaa321bd6b561c"/>
      <w:bookmarkEnd w:id="383"/>
      <w:r>
        <w:rPr>
          <w:rFonts w:ascii="Times New Roman;serif" w:hAnsi="Times New Roman;serif"/>
          <w:b w:val="false"/>
          <w:color w:val="000000"/>
          <w:sz w:val="24"/>
        </w:rPr>
        <w:t>Section 9.05.    </w:t>
      </w:r>
      <w:r>
        <w:rPr>
          <w:rFonts w:ascii="Times New Roman;serif" w:hAnsi="Times New Roman;serif"/>
          <w:b w:val="false"/>
          <w:color w:val="000000"/>
          <w:sz w:val="24"/>
          <w:u w:val="single"/>
        </w:rPr>
        <w:t>Discharge of Guaranty</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84" w:name="i59436a1b85b3481888def023596922ca"/>
      <w:bookmarkEnd w:id="384"/>
      <w:r>
        <w:rPr>
          <w:rFonts w:ascii="Times New Roman;serif" w:hAnsi="Times New Roman;serif"/>
          <w:b w:val="false"/>
          <w:color w:val="000000"/>
          <w:sz w:val="24"/>
        </w:rPr>
        <w:t xml:space="preserve">(a)    In the event of any sale or other disposition of all or substantially all of the assets of any Guarantor (other than Parent), by way of merger, consolidation or otherwise, or a sale or other disposition of all Capital Stock of any Guarantor (other than Parent), in each case to a </w:t>
      </w:r>
    </w:p>
    <w:p>
      <w:pPr>
        <w:pStyle w:val="TextBody"/>
        <w:bidi w:val="0"/>
        <w:spacing w:before="0" w:after="0"/>
        <w:jc w:val="center"/>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25145"/>
                <wp:effectExtent l="0" t="0" r="0" b="0"/>
                <wp:wrapNone/>
                <wp:docPr id="161" name="Frame16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Person that is not (either before or after giving effect to such transactions) Parent or a Restricted Subsidiary of Parent or the merger or consolidation of a Guarantor with or into the Borrower or another Guarantor, in each case, in a transaction permitted under this Agreement,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automatically released and relieved of any obligations under its Guarantee of the Guaranteed Obligations.</w:t>
      </w:r>
    </w:p>
    <w:p>
      <w:pPr>
        <w:pStyle w:val="TextBody"/>
        <w:bidi w:val="0"/>
        <w:spacing w:lineRule="auto" w:line="288" w:before="240" w:after="283"/>
        <w:ind w:left="0" w:right="0" w:firstLine="720"/>
        <w:jc w:val="left"/>
        <w:rPr/>
      </w:pPr>
      <w:bookmarkStart w:id="385" w:name="i8ff64b452d004bf19c54db41df9d2e22"/>
      <w:bookmarkEnd w:id="385"/>
      <w:r>
        <w:rPr>
          <w:rFonts w:ascii="Times New Roman;serif" w:hAnsi="Times New Roman;serif"/>
          <w:b w:val="false"/>
          <w:color w:val="000000"/>
          <w:sz w:val="24"/>
        </w:rPr>
        <w:t xml:space="preserve">(b)    Upon the release or Disposition of all Collateral owned by a Guarantor in a transaction permitted hereunder and in compliance with the terms hereof, such Guarantor may be designated by the Borrower as an Unrestricted Subsidiary in accordance with the terms of this Agreement. Upon such designation, such Guarantor will be automatically released and relieved of any obligations under its Guarantee of the Guaranteed Obligations. In addition, upon the request of the Borrower, the guarantee of any Guarantor (other than the Parent) that is no longer a Grantor shall be promptly released;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Event of Default shall have occurred and be continuing or shall result therefrom.</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86" w:name="ib5de0e3c8b01488db2189bad7f31ce4c"/>
      <w:bookmarkEnd w:id="386"/>
      <w:r>
        <w:rPr>
          <w:rFonts w:ascii="Times New Roman;serif" w:hAnsi="Times New Roman;serif"/>
          <w:b w:val="false"/>
          <w:color w:val="000000"/>
          <w:sz w:val="24"/>
        </w:rPr>
        <w:t>(c)    The Administrative Agent shall use commercially reasonable efforts to execute and deliver, at the Borrower’s expense, such documents as the Borrower or any such Guarantor may reasonably request to evidence the release of the guarantee of such Guarantor provided herein.</w:t>
      </w:r>
    </w:p>
    <w:p>
      <w:pPr>
        <w:pStyle w:val="TextBody"/>
        <w:bidi w:val="0"/>
        <w:spacing w:lineRule="auto" w:line="288" w:before="240" w:after="283"/>
        <w:jc w:val="center"/>
        <w:rPr>
          <w:rFonts w:ascii="Times New Roman;serif" w:hAnsi="Times New Roman;serif"/>
          <w:b/>
          <w:color w:val="000000"/>
          <w:sz w:val="24"/>
        </w:rPr>
      </w:pPr>
      <w:bookmarkStart w:id="387" w:name="i3247263843a34895a6a7bc34521667bd"/>
      <w:bookmarkEnd w:id="387"/>
      <w:r>
        <w:rPr>
          <w:rFonts w:ascii="Times New Roman;serif" w:hAnsi="Times New Roman;serif"/>
          <w:b/>
          <w:color w:val="000000"/>
          <w:sz w:val="24"/>
        </w:rPr>
        <w:t>SECTION 10.</w:t>
        <w:br/>
        <w:br/>
        <w:t>MISCELLANEOUS</w:t>
      </w:r>
    </w:p>
    <w:p>
      <w:pPr>
        <w:pStyle w:val="TextBody"/>
        <w:bidi w:val="0"/>
        <w:spacing w:lineRule="auto" w:line="288" w:before="240" w:after="283"/>
        <w:ind w:left="0" w:right="0" w:firstLine="720"/>
        <w:jc w:val="left"/>
        <w:rPr/>
      </w:pPr>
      <w:bookmarkStart w:id="388" w:name="i627d146013fa478493dabcf864356c19"/>
      <w:bookmarkEnd w:id="388"/>
      <w:r>
        <w:rPr>
          <w:rFonts w:ascii="Times New Roman;serif" w:hAnsi="Times New Roman;serif"/>
          <w:b w:val="false"/>
          <w:color w:val="000000"/>
          <w:sz w:val="24"/>
        </w:rPr>
        <w:t>Section 10.01.    </w:t>
      </w:r>
      <w:r>
        <w:rPr>
          <w:rFonts w:ascii="Times New Roman;serif" w:hAnsi="Times New Roman;serif"/>
          <w:b w:val="false"/>
          <w:color w:val="000000"/>
          <w:sz w:val="24"/>
          <w:u w:val="single"/>
        </w:rPr>
        <w:t>Notices</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389" w:name="i6c6ce85b14d44fa1b8bfe11440bdbf72"/>
      <w:bookmarkEnd w:id="389"/>
      <w:r>
        <w:rPr>
          <w:rFonts w:ascii="Times New Roman;serif" w:hAnsi="Times New Roman;serif"/>
          <w:b w:val="false"/>
          <w:color w:val="000000"/>
          <w:sz w:val="24"/>
        </w:rPr>
        <w:t xml:space="preserve">(a)    Except in the case of notices and other communications expressly permitted to be given by telephone (and subject to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below), all notices and other communications provided for herein or under any other Loan Document shall be in writing (including by electronic mail (other than to the Borrower or any Guarantor, unless agreed by the Borrower in its sole discretion) pursuant to procedures approved by the Administrative Agent), and shall be delivered by hand or overnight courier service, mailed by certified or registered mail or sent by electronic mail (other than to the Borrower or any Guarantor, unless agreed by the Borrower in its sole discretion), as follows:</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90" w:name="ib783fc50e8044273a05dfa50f4b7c9b7"/>
      <w:bookmarkEnd w:id="390"/>
      <w:r>
        <w:rPr>
          <w:rFonts w:ascii="Times New Roman;serif" w:hAnsi="Times New Roman;serif"/>
          <w:b w:val="false"/>
          <w:color w:val="000000"/>
          <w:sz w:val="24"/>
        </w:rPr>
        <w:t>(i)    if to the Borrower or any Guarantor, to it at United Airlines, 233 South Wacker Drive, Chicago, Illinois 60606, email: corporatefinance@united.com; in each case Attention: Vice President &amp; Treasurer;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91" w:name="i61723ccb167647419589be8dc5914230"/>
      <w:bookmarkEnd w:id="391"/>
      <w:r>
        <w:rPr>
          <w:rFonts w:ascii="Times New Roman;serif" w:hAnsi="Times New Roman;serif"/>
          <w:b w:val="false"/>
          <w:color w:val="000000"/>
          <w:sz w:val="24"/>
        </w:rPr>
        <w:t>(ii)    if to JPMCB as the Administrative Agent from the Borrower, to JPMCB at the address separately provided to the Borrower;</w:t>
      </w:r>
    </w:p>
    <w:p>
      <w:pPr>
        <w:pStyle w:val="TextBody"/>
        <w:bidi w:val="0"/>
        <w:spacing w:before="0" w:after="0"/>
        <w:jc w:val="center"/>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525145"/>
                <wp:effectExtent l="0" t="0" r="0" b="0"/>
                <wp:wrapNone/>
                <wp:docPr id="162" name="Frame16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392" w:name="i3f0e73d5197641cbb827605ba8320123"/>
      <w:bookmarkEnd w:id="392"/>
      <w:r>
        <w:rPr>
          <w:rFonts w:ascii="Times New Roman;serif" w:hAnsi="Times New Roman;serif"/>
          <w:b w:val="false"/>
          <w:color w:val="000000"/>
          <w:sz w:val="24"/>
        </w:rPr>
        <w:t>(iii)    if to JPMCB as the Administrative Agent from the Lenders, to JPMorgan Chase Bank, N.A., 500 Stanton Christiana Rd., NCC5 / 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Floor, Newark, DE 19713, Attention: Loan &amp; Agency Services Group.</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93" w:name="i44fa0f7b1ed34808b627364cc9115f94"/>
      <w:bookmarkEnd w:id="393"/>
      <w:r>
        <w:rPr>
          <w:rFonts w:ascii="Times New Roman;serif" w:hAnsi="Times New Roman;serif"/>
          <w:b w:val="false"/>
          <w:color w:val="000000"/>
          <w:sz w:val="24"/>
        </w:rPr>
        <w:t>(iv)    if to an Issuing Lender, to the address separately provided to the Borrower;</w:t>
      </w:r>
    </w:p>
    <w:p>
      <w:pPr>
        <w:pStyle w:val="TextBody"/>
        <w:bidi w:val="0"/>
        <w:spacing w:lineRule="auto" w:line="288" w:before="240" w:after="283"/>
        <w:ind w:left="0" w:right="0" w:firstLine="720"/>
        <w:jc w:val="left"/>
        <w:rPr/>
      </w:pPr>
      <w:bookmarkStart w:id="394" w:name="ia90bf5a71a844bd7818a89d03ee21b79"/>
      <w:bookmarkEnd w:id="394"/>
      <w:r>
        <w:rPr>
          <w:rFonts w:ascii="Times New Roman;serif" w:hAnsi="Times New Roman;serif"/>
          <w:b w:val="false"/>
          <w:color w:val="000000"/>
          <w:sz w:val="24"/>
        </w:rPr>
        <w:t xml:space="preserve">(v)    if to any other Lender, to it at its address (or email address) set forth in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hereto or, if subsequently delivered, an Assignment and Acceptance; and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95" w:name="i30727a98ddd74219a61fdeb75d1fba96"/>
      <w:bookmarkEnd w:id="395"/>
      <w:r>
        <w:rPr>
          <w:rFonts w:ascii="Times New Roman;serif" w:hAnsi="Times New Roman;serif"/>
          <w:b w:val="false"/>
          <w:color w:val="000000"/>
          <w:sz w:val="24"/>
        </w:rPr>
        <w:t>(vi)    if to Wilmington Trust, National Association, as the Collateral Trustee, to Wilmington Trust, National Association, 1100 North Market Street, Wilmington, Delaware 19890, Attention: Corporate Trust Administration, Email: cmay@wilmingtontrust.com; asmith29@wilmingtontrust.com.</w:t>
      </w:r>
    </w:p>
    <w:p>
      <w:pPr>
        <w:pStyle w:val="TextBody"/>
        <w:bidi w:val="0"/>
        <w:spacing w:lineRule="auto" w:line="288" w:before="240" w:after="283"/>
        <w:ind w:left="0" w:right="0" w:firstLine="720"/>
        <w:jc w:val="left"/>
        <w:rPr/>
      </w:pPr>
      <w:bookmarkStart w:id="396" w:name="i1fe67556fc374907a14f26e7032b6bb7"/>
      <w:bookmarkEnd w:id="396"/>
      <w:r>
        <w:rPr>
          <w:rFonts w:ascii="Times New Roman;serif" w:hAnsi="Times New Roman;serif"/>
          <w:b w:val="false"/>
          <w:color w:val="000000"/>
          <w:sz w:val="24"/>
        </w:rPr>
        <w:t xml:space="preserve">(b)    Notices and other communications to the Lenders hereunder may be delivered or furnished by electronic communications pursuant to procedures approved by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apply to notices pursuant to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unless otherwise agreed by the Administrative Agent and the applicable Lender. The Administrative Agent or the Borrower may, in its reasonable discretion, agree to accept notices and other communications to it hereunder by electronic communications pursuant to procedures approved by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approval of such procedures may be limited to particular notices or communications;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no such approval shall be required for any notice delivered to the Administrative Agent by electronic mail pursuant to </w:t>
      </w:r>
      <w:r>
        <w:rPr>
          <w:rFonts w:ascii="Times New Roman;serif" w:hAnsi="Times New Roman;serif"/>
          <w:b w:val="false"/>
          <w:color w:val="000000"/>
          <w:sz w:val="24"/>
          <w:u w:val="single"/>
        </w:rPr>
        <w:t>Section 2.05(b)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2.13(a)</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397" w:name="i1592c02b9610409dab8e6fe4c50f8649"/>
      <w:bookmarkEnd w:id="397"/>
      <w:r>
        <w:rPr>
          <w:rFonts w:ascii="Times New Roman;serif" w:hAnsi="Times New Roman;serif"/>
          <w:b w:val="false"/>
          <w:color w:val="000000"/>
          <w:sz w:val="24"/>
        </w:rPr>
        <w:t>(c)    Any party hereto may change its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pStyle w:val="TextBody"/>
        <w:bidi w:val="0"/>
        <w:spacing w:lineRule="auto" w:line="288" w:before="240" w:after="283"/>
        <w:ind w:left="0" w:right="0" w:firstLine="720"/>
        <w:jc w:val="left"/>
        <w:rPr/>
      </w:pPr>
      <w:bookmarkStart w:id="398" w:name="iaeb9fd078bcf40b5acb6936d15233cfb"/>
      <w:bookmarkEnd w:id="398"/>
      <w:r>
        <w:rPr>
          <w:rFonts w:ascii="Times New Roman;serif" w:hAnsi="Times New Roman;serif"/>
          <w:b w:val="false"/>
          <w:color w:val="000000"/>
          <w:sz w:val="24"/>
        </w:rPr>
        <w:t>Section 10.02.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399" w:name="ia5f79d312ebb4676babbb79f251fc439"/>
      <w:bookmarkEnd w:id="399"/>
      <w:r>
        <w:rPr>
          <w:rFonts w:ascii="Times New Roman;serif" w:hAnsi="Times New Roman;serif"/>
          <w:b w:val="false"/>
          <w:color w:val="000000"/>
          <w:sz w:val="24"/>
        </w:rPr>
        <w:t xml:space="preserve">(a)    The provisions of this Agreement shall be binding upon and inure to the benefit of the parties hereto and their respective successors and assigns permitted hereby (including any Affiliate of an Issuing Lender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restrict any transaction permitted by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and (ii) no Lender may assign or otherwise transfer its rights or obligations hereunder except in accordance with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Nothing in this Agreement, expressed or implied, shall be construed to confer upon any Person (other than the parties hereto, their respective successors and assigns permitted hereby (including any Affiliate of an Issuing Lender that issues any Letter of Credit), Participants (to the extent provided in </w:t>
      </w:r>
      <w:r>
        <w:rPr>
          <w:rFonts w:ascii="Times New Roman;serif" w:hAnsi="Times New Roman;serif"/>
          <w:b w:val="false"/>
          <w:color w:val="000000"/>
          <w:sz w:val="24"/>
          <w:u w:val="single"/>
        </w:rPr>
        <w:t>paragraph (d)</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 and, to the extent expressly contemplated hereby, the Related Parties of the Administrative Agent, the Collateral Trustee, the Issuing Lenders and the Lenders) any legal or equitable right, remedy or claim under or by reason of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525145"/>
                <wp:effectExtent l="0" t="0" r="0" b="0"/>
                <wp:wrapNone/>
                <wp:docPr id="163" name="Frame16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400" w:name="i9ecaeb3c4bfe4b2388ad031249a09147"/>
      <w:bookmarkEnd w:id="400"/>
      <w:r>
        <w:rPr>
          <w:rFonts w:ascii="Times New Roman;serif" w:hAnsi="Times New Roman;serif"/>
          <w:b w:val="false"/>
          <w:color w:val="000000"/>
          <w:sz w:val="24"/>
        </w:rPr>
        <w:t xml:space="preserve">(b)    (i)  Subject to the conditions set forth in </w:t>
      </w:r>
      <w:r>
        <w:rPr>
          <w:rFonts w:ascii="Times New Roman;serif" w:hAnsi="Times New Roman;serif"/>
          <w:b w:val="false"/>
          <w:color w:val="000000"/>
          <w:sz w:val="24"/>
          <w:u w:val="single"/>
        </w:rPr>
        <w:t>paragraph (b)(ii)</w:t>
      </w:r>
      <w:r>
        <w:rPr>
          <w:color w:val="000000"/>
        </w:rPr>
        <w:t xml:space="preserve"> </w:t>
      </w:r>
      <w:r>
        <w:rPr>
          <w:rFonts w:ascii="Times New Roman;serif" w:hAnsi="Times New Roman;serif"/>
          <w:b w:val="false"/>
          <w:color w:val="000000"/>
          <w:sz w:val="24"/>
        </w:rPr>
        <w:t>below, any Lender may assign to one or more assignees all or a portion of its rights and obligations under this Agreement (including all or a portion of its Revolving Commitment and the Loans at the time owing to it) with the prior written consent (such consent not to be unreasonably withheld) of:</w:t>
      </w:r>
    </w:p>
    <w:p>
      <w:pPr>
        <w:pStyle w:val="TextBody"/>
        <w:bidi w:val="0"/>
        <w:spacing w:lineRule="auto" w:line="288" w:before="240" w:after="283"/>
        <w:ind w:left="0" w:right="0" w:firstLine="720"/>
        <w:jc w:val="left"/>
        <w:rPr/>
      </w:pPr>
      <w:bookmarkStart w:id="401" w:name="i2ab992aa713f47d5b776bb4672f959b9"/>
      <w:bookmarkEnd w:id="401"/>
      <w:r>
        <w:rPr>
          <w:rFonts w:ascii="Times New Roman;serif" w:hAnsi="Times New Roman;serif"/>
          <w:b w:val="false"/>
          <w:color w:val="000000"/>
          <w:sz w:val="24"/>
        </w:rPr>
        <w:t xml:space="preserve">(A)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consent of the Administrative Agent shall be required for an assignment if the assignee is a Lender, an Affiliate of a Lender or an Approved Fund of a Lender, in each case so long as such assignee is an Eligible Assignee;</w:t>
      </w:r>
    </w:p>
    <w:p>
      <w:pPr>
        <w:pStyle w:val="TextBody"/>
        <w:bidi w:val="0"/>
        <w:spacing w:lineRule="auto" w:line="288" w:before="240" w:after="283"/>
        <w:ind w:left="0" w:right="0" w:firstLine="720"/>
        <w:jc w:val="left"/>
        <w:rPr/>
      </w:pPr>
      <w:bookmarkStart w:id="402" w:name="i16f876faa5694c1c8bdddc9d4c63cb94"/>
      <w:bookmarkEnd w:id="402"/>
      <w:r>
        <w:rPr>
          <w:rFonts w:ascii="Times New Roman;serif" w:hAnsi="Times New Roman;serif"/>
          <w:b w:val="false"/>
          <w:color w:val="000000"/>
          <w:sz w:val="24"/>
        </w:rPr>
        <w:t xml:space="preserve">(B)    the Borrower;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consent of the Borrower shall be required for an assignment (I) if an Event of Default under </w:t>
      </w:r>
      <w:r>
        <w:rPr>
          <w:rFonts w:ascii="Times New Roman;serif" w:hAnsi="Times New Roman;serif"/>
          <w:b w:val="false"/>
          <w:color w:val="000000"/>
          <w:sz w:val="24"/>
          <w:u w:val="single"/>
        </w:rPr>
        <w:t>Section 7.01(b)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7.01(f)</w:t>
      </w:r>
      <w:r>
        <w:rPr>
          <w:color w:val="000000"/>
        </w:rPr>
        <w:t xml:space="preserve"> </w:t>
      </w:r>
      <w:r>
        <w:rPr>
          <w:rFonts w:ascii="Times New Roman;serif" w:hAnsi="Times New Roman;serif"/>
          <w:b w:val="false"/>
          <w:color w:val="000000"/>
          <w:sz w:val="24"/>
        </w:rPr>
        <w:t xml:space="preserve">(with respect to the Parent or the Borrower) or </w:t>
      </w:r>
      <w:r>
        <w:rPr>
          <w:rFonts w:ascii="Times New Roman;serif" w:hAnsi="Times New Roman;serif"/>
          <w:b w:val="false"/>
          <w:color w:val="000000"/>
          <w:sz w:val="24"/>
          <w:u w:val="single"/>
        </w:rPr>
        <w:t>Section 7.01(g)</w:t>
      </w:r>
      <w:r>
        <w:rPr>
          <w:color w:val="000000"/>
        </w:rPr>
        <w:t xml:space="preserve"> </w:t>
      </w:r>
      <w:r>
        <w:rPr>
          <w:rFonts w:ascii="Times New Roman;serif" w:hAnsi="Times New Roman;serif"/>
          <w:b w:val="false"/>
          <w:color w:val="000000"/>
          <w:sz w:val="24"/>
        </w:rPr>
        <w:t xml:space="preserve">(with respect to the Parent or the Borrower) has occurred and is continuing, or (II) if the assignee is a Lender, an Affiliate of a Lender or an Approved Fund of a Lender, in each case so long as such assignee is an Eligible Assignee;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the Borrower’s consent will be deemed given with respect to a proposed assignment if no response is received within ten (10) Business Days after having received a written request from such Lender pursuant to this </w:t>
      </w:r>
      <w:r>
        <w:rPr>
          <w:rFonts w:ascii="Times New Roman;serif" w:hAnsi="Times New Roman;serif"/>
          <w:b w:val="false"/>
          <w:color w:val="000000"/>
          <w:sz w:val="24"/>
          <w:u w:val="single"/>
        </w:rPr>
        <w:t>Section 10.02(b)</w:t>
      </w:r>
      <w:r>
        <w:rPr>
          <w:rFonts w:ascii="Times New Roman;serif" w:hAnsi="Times New Roman;serif"/>
          <w:b w:val="false"/>
          <w:color w:val="000000"/>
          <w:sz w:val="24"/>
        </w:rPr>
        <w:t>; and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03" w:name="ib621eabfbb5044f3bca6430e80c26ccd"/>
      <w:bookmarkEnd w:id="403"/>
      <w:r>
        <w:rPr>
          <w:rFonts w:ascii="Times New Roman;serif" w:hAnsi="Times New Roman;serif"/>
          <w:b w:val="false"/>
          <w:color w:val="000000"/>
          <w:sz w:val="24"/>
        </w:rPr>
        <w:t>(C)    each Issuing Lender.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04" w:name="ie0fa4569a56f4c8184ee5a12673dd75b"/>
      <w:bookmarkEnd w:id="404"/>
      <w:r>
        <w:rPr>
          <w:rFonts w:ascii="Times New Roman;serif" w:hAnsi="Times New Roman;serif"/>
          <w:b w:val="false"/>
          <w:color w:val="000000"/>
          <w:sz w:val="24"/>
        </w:rPr>
        <w:t>(ii)    Assignments shall be subject to the following additional conditions:</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05" w:name="i43e804b56f8048fbbc0b92fa25c4e1f7"/>
      <w:bookmarkEnd w:id="405"/>
      <w:r>
        <w:rPr>
          <w:rFonts w:ascii="Times New Roman;serif" w:hAnsi="Times New Roman;serif"/>
          <w:b w:val="false"/>
          <w:color w:val="000000"/>
          <w:sz w:val="24"/>
        </w:rPr>
        <w:t>(A)    any assignment of any portion of the Total Revolving Commitment, Revolving Loans and LC Exposure shall be made to an Eligible Assignee;</w:t>
      </w:r>
    </w:p>
    <w:p>
      <w:pPr>
        <w:pStyle w:val="TextBody"/>
        <w:bidi w:val="0"/>
        <w:spacing w:lineRule="auto" w:line="288" w:before="240" w:after="283"/>
        <w:ind w:left="0" w:right="0" w:firstLine="720"/>
        <w:jc w:val="left"/>
        <w:rPr/>
      </w:pPr>
      <w:bookmarkStart w:id="406" w:name="i43060ff237b64288b185ec23ef4c0aef"/>
      <w:bookmarkEnd w:id="406"/>
      <w:r>
        <w:rPr>
          <w:rFonts w:ascii="Times New Roman;serif" w:hAnsi="Times New Roman;serif"/>
          <w:b w:val="false"/>
          <w:color w:val="000000"/>
          <w:sz w:val="24"/>
        </w:rPr>
        <w:t xml:space="preserve">(B)    except in the case of an assignment to a Lender, an Affiliate of a Lender or an Approved Fund of a Lender or an assignment of the entire remaining amount of the assigning Lender’s Revolving Commitment or Loans, the amount of such Commitment or Loans of the assigning Lender subject to each such assignment (determined as of the date the Assignment and Acceptance with respect to such assignment is delivered to the Administrative Agent) shall not be less than $5,000,000, and after giving effect to such assignment, the portion of the Loan or Commitment held by the assigning Lender of the same tranche as the assigned portion of the Loan or Commitment shall not be less than $5,000,000, in each case unless the Borrower and the Administrative Agent otherwise consent;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consent of the Borrower shall be required with respect to such assignment if an Event of Default under </w:t>
      </w:r>
      <w:r>
        <w:rPr>
          <w:rFonts w:ascii="Times New Roman;serif" w:hAnsi="Times New Roman;serif"/>
          <w:b w:val="false"/>
          <w:color w:val="000000"/>
          <w:sz w:val="24"/>
          <w:u w:val="single"/>
        </w:rPr>
        <w:t>Section 7.01(b)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7.01(f)</w:t>
      </w:r>
      <w:r>
        <w:rPr>
          <w:color w:val="000000"/>
        </w:rPr>
        <w:t xml:space="preserve"> </w:t>
      </w:r>
      <w:r>
        <w:rPr>
          <w:rFonts w:ascii="Times New Roman;serif" w:hAnsi="Times New Roman;serif"/>
          <w:b w:val="false"/>
          <w:color w:val="000000"/>
          <w:sz w:val="24"/>
        </w:rPr>
        <w:t xml:space="preserve">(with respect to the Parent or the Borrower) or </w:t>
      </w:r>
      <w:r>
        <w:rPr>
          <w:rFonts w:ascii="Times New Roman;serif" w:hAnsi="Times New Roman;serif"/>
          <w:b w:val="false"/>
          <w:color w:val="000000"/>
          <w:sz w:val="24"/>
          <w:u w:val="single"/>
        </w:rPr>
        <w:t>Section 7.01(g)</w:t>
      </w:r>
      <w:r>
        <w:rPr>
          <w:color w:val="000000"/>
        </w:rPr>
        <w:t xml:space="preserve"> </w:t>
      </w:r>
      <w:r>
        <w:rPr>
          <w:rFonts w:ascii="Times New Roman;serif" w:hAnsi="Times New Roman;serif"/>
          <w:b w:val="false"/>
          <w:color w:val="000000"/>
          <w:sz w:val="24"/>
        </w:rPr>
        <w:t xml:space="preserve">(with respect to the Parent or the Borrower) has occurred and is continuing;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any such assignment shall be in increments of $500,000 in excess of the minimum amount described above;</w:t>
      </w:r>
    </w:p>
    <w:p>
      <w:pPr>
        <w:pStyle w:val="TextBody"/>
        <w:bidi w:val="0"/>
        <w:spacing w:before="0" w:after="0"/>
        <w:jc w:val="center"/>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25145"/>
                <wp:effectExtent l="0" t="0" r="0" b="0"/>
                <wp:wrapNone/>
                <wp:docPr id="164" name="Frame16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07" w:name="i2cbae19902dd4f32bce83c36b812d9d5"/>
      <w:bookmarkEnd w:id="407"/>
      <w:r>
        <w:rPr>
          <w:rFonts w:ascii="Times New Roman;serif" w:hAnsi="Times New Roman;serif"/>
          <w:b w:val="false"/>
          <w:color w:val="000000"/>
          <w:sz w:val="24"/>
        </w:rPr>
        <w:t xml:space="preserve">(C)    each partial assignment shall be made as an assignment of a proportionate part of all the assigning Lender’s rights and obligations under this Agreement;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08" w:name="ifd269f296dbb4a2ab5aa2f5582a933c8"/>
      <w:bookmarkEnd w:id="408"/>
      <w:r>
        <w:rPr>
          <w:rFonts w:ascii="Times New Roman;serif" w:hAnsi="Times New Roman;serif"/>
          <w:b w:val="false"/>
          <w:color w:val="000000"/>
          <w:sz w:val="24"/>
        </w:rPr>
        <w:t>(D)    the parties to each assignment shall execute and deliver to the Administrative Agent an Assignment and Acceptance, together with a processing and recordation fee of $3,500 for the account of the Administrative Agent; and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09" w:name="i304efb7b0ec64a9abfb44e2c4cfcf048"/>
      <w:bookmarkEnd w:id="409"/>
      <w:r>
        <w:rPr>
          <w:rFonts w:ascii="Times New Roman;serif" w:hAnsi="Times New Roman;serif"/>
          <w:b w:val="false"/>
          <w:color w:val="000000"/>
          <w:sz w:val="24"/>
        </w:rPr>
        <w:t>(E)    the assignee, if it was not a Lender immediately prior to such assignment, shall deliver to the Administrative Agent an administrative questionnaire in a form as the Administrative Agent may require.</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For the purposes of this </w:t>
      </w:r>
      <w:r>
        <w:rPr>
          <w:rFonts w:ascii="Times New Roman;serif" w:hAnsi="Times New Roman;serif"/>
          <w:b w:val="false"/>
          <w:color w:val="000000"/>
          <w:sz w:val="24"/>
          <w:u w:val="single"/>
        </w:rPr>
        <w:t>Section 10.02(b)</w:t>
      </w:r>
      <w:r>
        <w:rPr>
          <w:rFonts w:ascii="Times New Roman;serif" w:hAnsi="Times New Roman;serif"/>
          <w:b w:val="false"/>
          <w:color w:val="000000"/>
          <w:sz w:val="24"/>
        </w:rPr>
        <w:t>, the term “</w:t>
      </w:r>
      <w:r>
        <w:rPr>
          <w:rFonts w:ascii="Times New Roman;serif" w:hAnsi="Times New Roman;serif"/>
          <w:b w:val="false"/>
          <w:color w:val="000000"/>
          <w:sz w:val="24"/>
          <w:u w:val="single"/>
        </w:rPr>
        <w:t>Approved Fund</w:t>
      </w:r>
      <w:r>
        <w:rPr>
          <w:color w:val="000000"/>
        </w:rPr>
        <w:t xml:space="preserve">” </w:t>
      </w:r>
      <w:r>
        <w:rPr>
          <w:rFonts w:ascii="Times New Roman;serif" w:hAnsi="Times New Roman;serif"/>
          <w:b w:val="false"/>
          <w:color w:val="000000"/>
          <w:sz w:val="24"/>
        </w:rPr>
        <w:t>means with respect to any Lender, any Person (other than a natural person) that is engaged in making, purchasing, holding or investing in bank loans and similar extensions of credit in the ordinary course of its business and that is administered or managed by (a) such Lender, (b) an Affiliate of such Lender or (c) an entity or an Affiliate of an entity that administers or manages such Lender.</w:t>
      </w:r>
    </w:p>
    <w:p>
      <w:pPr>
        <w:pStyle w:val="TextBody"/>
        <w:bidi w:val="0"/>
        <w:spacing w:lineRule="auto" w:line="288" w:before="240" w:after="283"/>
        <w:ind w:left="0" w:right="0" w:firstLine="720"/>
        <w:jc w:val="left"/>
        <w:rPr/>
      </w:pPr>
      <w:bookmarkStart w:id="410" w:name="i6a310f97095448c3a4d89f0e7ebe9663"/>
      <w:bookmarkEnd w:id="410"/>
      <w:r>
        <w:rPr>
          <w:rFonts w:ascii="Times New Roman;serif" w:hAnsi="Times New Roman;serif"/>
          <w:b w:val="false"/>
          <w:color w:val="000000"/>
          <w:sz w:val="24"/>
        </w:rPr>
        <w:t xml:space="preserve">(iii)    Subject to acceptance and recording thereof pursuant to </w:t>
      </w:r>
      <w:r>
        <w:rPr>
          <w:rFonts w:ascii="Times New Roman;serif" w:hAnsi="Times New Roman;serif"/>
          <w:b w:val="false"/>
          <w:color w:val="000000"/>
          <w:sz w:val="24"/>
          <w:u w:val="single"/>
        </w:rPr>
        <w:t>paragraph (b)(iv)</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from and after the effective date specified in each Assignment and Acceptance, the assignee thereunder shall be a party hereto and, to the extent of the interest assigned by such Assignment and Acceptance, have the rights and obligations of a Revolving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4"/>
          <w:u w:val="single"/>
        </w:rPr>
        <w:t>Sections 2.14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10.04</w:t>
      </w:r>
      <w:r>
        <w:rPr>
          <w:rFonts w:ascii="Times New Roman;serif" w:hAnsi="Times New Roman;serif"/>
          <w:b w:val="false"/>
          <w:color w:val="000000"/>
          <w:sz w:val="24"/>
        </w:rPr>
        <w:t xml:space="preserve">). Any assignment or transfer by a Lender of rights or obligations under this Agreement that does not comply with this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shall be treated for purposes of this Agreement as a sale by such Lender of a participation in such rights and obligations in accordance with </w:t>
      </w:r>
      <w:r>
        <w:rPr>
          <w:rFonts w:ascii="Times New Roman;serif" w:hAnsi="Times New Roman;serif"/>
          <w:b w:val="false"/>
          <w:color w:val="000000"/>
          <w:sz w:val="24"/>
          <w:u w:val="single"/>
        </w:rPr>
        <w:t>paragraph (d)</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411" w:name="ibaa2cdef9b68493e867cd48739316ebe"/>
      <w:bookmarkEnd w:id="411"/>
      <w:r>
        <w:rPr>
          <w:rFonts w:ascii="Times New Roman;serif" w:hAnsi="Times New Roman;serif"/>
          <w:b w:val="false"/>
          <w:color w:val="000000"/>
          <w:sz w:val="24"/>
        </w:rPr>
        <w:t>(iv)    The Administrative Agent shall maintain at its offices a copy of each Assignment and Acceptance delivered to it and a register for the recordation of the names and addresses of the Lenders, and the Revolving Commitments of, and principal amount (and stated interest) of the Loans and LC Disbursements owing to, each Lender pursuant to the terms hereof from time to time (the “</w:t>
      </w:r>
      <w:r>
        <w:rPr>
          <w:rFonts w:ascii="Times New Roman;serif" w:hAnsi="Times New Roman;serif"/>
          <w:b w:val="false"/>
          <w:color w:val="000000"/>
          <w:sz w:val="24"/>
          <w:u w:val="single"/>
        </w:rPr>
        <w:t>Register</w:t>
      </w:r>
      <w:r>
        <w:rPr>
          <w:color w:val="000000"/>
        </w:rPr>
        <w:t>”</w:t>
      </w:r>
      <w:r>
        <w:rPr>
          <w:rFonts w:ascii="Times New Roman;serif" w:hAnsi="Times New Roman;serif"/>
          <w:b w:val="false"/>
          <w:color w:val="000000"/>
          <w:sz w:val="24"/>
        </w:rPr>
        <w:t>). The entries in the Register shall be conclusive absent manifest error, and the Borrower, the Guarantors,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Lenders and any Lender, at any reasonable time and from time to time upon reasonable prior notice.</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12" w:name="ife42fb3d1b3444d1bf834a3b547654f9"/>
      <w:bookmarkEnd w:id="412"/>
      <w:r>
        <w:rPr>
          <w:rFonts w:ascii="Times New Roman;serif" w:hAnsi="Times New Roman;serif"/>
          <w:b w:val="false"/>
          <w:color w:val="000000"/>
          <w:sz w:val="24"/>
        </w:rPr>
        <w:t xml:space="preserve">(v)    Notwithstanding anything to the contrary contained herein, no assignment may be made hereunder to any Defaulting Lender or any of its subsidiaries, or any Person </w:t>
      </w:r>
    </w:p>
    <w:p>
      <w:pPr>
        <w:pStyle w:val="TextBody"/>
        <w:bidi w:val="0"/>
        <w:spacing w:before="0" w:after="0"/>
        <w:jc w:val="center"/>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25145"/>
                <wp:effectExtent l="0" t="0" r="0" b="0"/>
                <wp:wrapNone/>
                <wp:docPr id="165" name="Frame16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who, upon becoming a Lender hereunder, would constitute any of the foregoing Persons described in this </w:t>
      </w:r>
      <w:r>
        <w:rPr>
          <w:rFonts w:ascii="Times New Roman;serif" w:hAnsi="Times New Roman;serif"/>
          <w:b w:val="false"/>
          <w:color w:val="000000"/>
          <w:sz w:val="24"/>
          <w:u w:val="single"/>
        </w:rPr>
        <w:t>clause (v)</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13" w:name="i1034ccafa26d461b8a155b031feb2d6a"/>
      <w:bookmarkEnd w:id="413"/>
      <w:r>
        <w:rPr>
          <w:rFonts w:ascii="Times New Roman;serif" w:hAnsi="Times New Roman;serif"/>
          <w:b w:val="false"/>
          <w:color w:val="000000"/>
          <w:sz w:val="24"/>
        </w:rPr>
        <w:t>(vi)    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Borrower, Administrative Agent, the Issuing Lender and each other Revolving Lender hereunder (and interest accrued thereon), and (y) acquire (and fund as appropriate) its full pro rata share of all Loans and participations in Letters of Credit in accordance with its Aggregate Exposure Percentage.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w:t>
      </w:r>
    </w:p>
    <w:p>
      <w:pPr>
        <w:pStyle w:val="TextBody"/>
        <w:bidi w:val="0"/>
        <w:spacing w:lineRule="auto" w:line="288" w:before="240" w:after="283"/>
        <w:ind w:left="0" w:right="0" w:firstLine="720"/>
        <w:jc w:val="left"/>
        <w:rPr/>
      </w:pPr>
      <w:bookmarkStart w:id="414" w:name="id39f9cd5b84f49e688af738c44721ae6"/>
      <w:bookmarkEnd w:id="414"/>
      <w:r>
        <w:rPr>
          <w:rFonts w:ascii="Times New Roman;serif" w:hAnsi="Times New Roman;serif"/>
          <w:b w:val="false"/>
          <w:color w:val="000000"/>
          <w:sz w:val="24"/>
        </w:rPr>
        <w:t xml:space="preserve">(c)    Upon its receipt of a duly completed Assignment and Acceptance executed by an assigning Lender and an assignee, the assignee’s completed administrative questionnaire in a form as the Administrative Agent may require (unless the assignee shall already be a Lender hereunder), the processing and recordation fee referred to in paragraph (b) of this Section and any written consent to such assignment required by paragraph (b) of this </w:t>
      </w:r>
      <w:r>
        <w:rPr>
          <w:rFonts w:ascii="Times New Roman;serif" w:hAnsi="Times New Roman;serif"/>
          <w:b w:val="false"/>
          <w:color w:val="000000"/>
          <w:sz w:val="24"/>
          <w:u w:val="single"/>
        </w:rPr>
        <w:t>Section</w:t>
      </w:r>
      <w:r>
        <w:rPr>
          <w:rFonts w:ascii="Times New Roman;serif" w:hAnsi="Times New Roman;serif"/>
          <w:b w:val="false"/>
          <w:color w:val="000000"/>
          <w:sz w:val="24"/>
        </w:rPr>
        <w:t xml:space="preserve">, the Administrative Agent shall accept such Assignment and Acceptance and record the information contained therein in the Register;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either the assigning Lender or the assignee shall have failed to make any payment required to be made by it pursuant to </w:t>
      </w:r>
      <w:r>
        <w:rPr>
          <w:rFonts w:ascii="Times New Roman;serif" w:hAnsi="Times New Roman;serif"/>
          <w:b w:val="false"/>
          <w:color w:val="000000"/>
          <w:sz w:val="24"/>
          <w:u w:val="single"/>
        </w:rPr>
        <w:t>Section 2.02(d)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2.04(a)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10.04(d)</w:t>
      </w:r>
      <w:r>
        <w:rPr>
          <w:rFonts w:ascii="Times New Roman;serif" w:hAnsi="Times New Roman;serif"/>
          <w:b w:val="false"/>
          <w:color w:val="000000"/>
          <w:sz w:val="24"/>
        </w:rPr>
        <w:t>, the Administrative Agent shall have no obligation to accept such Assignment and Acceptance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lineRule="auto" w:line="288" w:before="240" w:after="283"/>
        <w:ind w:left="0" w:right="0" w:firstLine="720"/>
        <w:jc w:val="left"/>
        <w:rPr/>
      </w:pPr>
      <w:bookmarkStart w:id="415" w:name="if99f029dc446499b91f4179d84765834"/>
      <w:bookmarkEnd w:id="415"/>
      <w:r>
        <w:rPr>
          <w:rFonts w:ascii="Times New Roman;serif" w:hAnsi="Times New Roman;serif"/>
          <w:b w:val="false"/>
          <w:color w:val="000000"/>
          <w:sz w:val="24"/>
        </w:rPr>
        <w:t>(d)    (i)  Any Lender may, without the consent of the Borrower, the Administrative Agent or any Issuing Lender, sell participations to one or more banks or other entities (a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xml:space="preserve">) in all or a portion of such Lender’s rights and obligations under this Agreement (including all or a portion of its Commitment and the Loans);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such Lender’s obligations under this Agreement shall remain unchanged, (B) such Lender shall remain solely responsible to the other parties hereto for the performance of such obligations and (C) the Borrower, the Administrative Agent, the Issuing Lenders and the other Lenders shall continue to deal solely and directly with such Lender in connection with such Lender’s rights and obligations under this Agreement. Any agreement or instrument pursuant to which a Lender sells such a </w:t>
      </w:r>
    </w:p>
    <w:p>
      <w:pPr>
        <w:pStyle w:val="TextBody"/>
        <w:bidi w:val="0"/>
        <w:spacing w:before="0" w:after="0"/>
        <w:jc w:val="center"/>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25145"/>
                <wp:effectExtent l="0" t="0" r="0" b="0"/>
                <wp:wrapNone/>
                <wp:docPr id="166" name="Frame16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participation shall provide that such Lender shall retain the sole right to enforce this Agreement and to approve any amendment, modification or waiver of any provision 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agreement or instrument may provide that such Lender will not, without the consent of the Participant, agree to any amendment, modification or waiver described in the first proviso to Section 10.08(a) that affects such Participant. Subject to </w:t>
      </w:r>
      <w:r>
        <w:rPr>
          <w:rFonts w:ascii="Times New Roman;serif" w:hAnsi="Times New Roman;serif"/>
          <w:b w:val="false"/>
          <w:color w:val="000000"/>
          <w:sz w:val="24"/>
          <w:u w:val="single"/>
        </w:rPr>
        <w:t>Section 10.02(d)(ii)</w:t>
      </w:r>
      <w:r>
        <w:rPr>
          <w:rFonts w:ascii="Times New Roman;serif" w:hAnsi="Times New Roman;serif"/>
          <w:b w:val="false"/>
          <w:color w:val="000000"/>
          <w:sz w:val="24"/>
        </w:rPr>
        <w:t xml:space="preserve">, the Borrower agrees that each Participant shall be entitled to the benefits of </w:t>
      </w:r>
      <w:r>
        <w:rPr>
          <w:rFonts w:ascii="Times New Roman;serif" w:hAnsi="Times New Roman;serif"/>
          <w:b w:val="false"/>
          <w:color w:val="000000"/>
          <w:sz w:val="24"/>
          <w:u w:val="single"/>
        </w:rPr>
        <w:t>Sections 2.14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2.16</w:t>
      </w:r>
      <w:r>
        <w:rPr>
          <w:color w:val="000000"/>
        </w:rPr>
        <w:t xml:space="preserve"> </w:t>
      </w:r>
      <w:r>
        <w:rPr>
          <w:rFonts w:ascii="Times New Roman;serif" w:hAnsi="Times New Roman;serif"/>
          <w:b w:val="false"/>
          <w:color w:val="000000"/>
          <w:sz w:val="24"/>
        </w:rPr>
        <w:t xml:space="preserve">to the same extent as if it were a Lender and had acquired its interest by assignment pursuant to </w:t>
      </w:r>
      <w:r>
        <w:rPr>
          <w:rFonts w:ascii="Times New Roman;serif" w:hAnsi="Times New Roman;serif"/>
          <w:b w:val="false"/>
          <w:color w:val="000000"/>
          <w:sz w:val="24"/>
          <w:u w:val="single"/>
        </w:rPr>
        <w:t>Section 10.02(b)</w:t>
      </w:r>
      <w:r>
        <w:rPr>
          <w:rFonts w:ascii="Times New Roman;serif" w:hAnsi="Times New Roman;serif"/>
          <w:b w:val="false"/>
          <w:color w:val="000000"/>
          <w:sz w:val="24"/>
        </w:rPr>
        <w:t xml:space="preserve">. To the extent permitted by law, each Participant also shall be entitled to the benefits of </w:t>
      </w:r>
      <w:r>
        <w:rPr>
          <w:rFonts w:ascii="Times New Roman;serif" w:hAnsi="Times New Roman;serif"/>
          <w:b w:val="false"/>
          <w:color w:val="000000"/>
          <w:sz w:val="24"/>
          <w:u w:val="single"/>
        </w:rPr>
        <w:t>Section 8.08</w:t>
      </w:r>
      <w:r>
        <w:rPr>
          <w:color w:val="000000"/>
        </w:rPr>
        <w:t xml:space="preserve"> </w:t>
      </w:r>
      <w:r>
        <w:rPr>
          <w:rFonts w:ascii="Times New Roman;serif" w:hAnsi="Times New Roman;serif"/>
          <w:b w:val="false"/>
          <w:color w:val="000000"/>
          <w:sz w:val="24"/>
        </w:rPr>
        <w:t xml:space="preserve">as though it were a Lender, provided such Participant agrees to be subject to the requirements of </w:t>
      </w:r>
      <w:r>
        <w:rPr>
          <w:rFonts w:ascii="Times New Roman;serif" w:hAnsi="Times New Roman;serif"/>
          <w:b w:val="false"/>
          <w:color w:val="000000"/>
          <w:sz w:val="24"/>
          <w:u w:val="single"/>
        </w:rPr>
        <w:t>Section 8.08</w:t>
      </w:r>
      <w:r>
        <w:rPr>
          <w:color w:val="000000"/>
        </w:rPr>
        <w:t xml:space="preserve"> </w:t>
      </w:r>
      <w:r>
        <w:rPr>
          <w:rFonts w:ascii="Times New Roman;serif" w:hAnsi="Times New Roman;serif"/>
          <w:b w:val="false"/>
          <w:color w:val="000000"/>
          <w:sz w:val="24"/>
        </w:rPr>
        <w:t>as though it were a Lender. Each Lender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Times New Roman;serif" w:hAnsi="Times New Roman;serif"/>
          <w:b w:val="false"/>
          <w:color w:val="000000"/>
          <w:sz w:val="24"/>
          <w:u w:val="single"/>
        </w:rPr>
        <w:t>Participant Register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this Agreement or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the Borrower, a Guarantor and the Administrative Agent shall treat each person whose name is recorded in the Participant Register pursuant to the terms hereof as the owner of such participation for all purposes of this Agreement, notwithstanding notice to the contrary.</w:t>
      </w:r>
    </w:p>
    <w:p>
      <w:pPr>
        <w:pStyle w:val="TextBody"/>
        <w:bidi w:val="0"/>
        <w:spacing w:lineRule="auto" w:line="288" w:before="240" w:after="283"/>
        <w:ind w:left="0" w:right="0" w:firstLine="720"/>
        <w:jc w:val="left"/>
        <w:rPr/>
      </w:pPr>
      <w:bookmarkStart w:id="416" w:name="i8e0ebd649c0f42849a0a5bf0cd978ea6"/>
      <w:bookmarkEnd w:id="416"/>
      <w:r>
        <w:rPr>
          <w:rFonts w:ascii="Times New Roman;serif" w:hAnsi="Times New Roman;serif"/>
          <w:b w:val="false"/>
          <w:color w:val="000000"/>
          <w:sz w:val="24"/>
        </w:rPr>
        <w:t xml:space="preserve">(ii)    A Participant shall not be entitled to receive any greater payment under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2.16</w:t>
      </w:r>
      <w:r>
        <w:rPr>
          <w:color w:val="000000"/>
        </w:rPr>
        <w:t xml:space="preserve"> </w:t>
      </w:r>
      <w:r>
        <w:rPr>
          <w:rFonts w:ascii="Times New Roman;serif" w:hAnsi="Times New Roman;serif"/>
          <w:b w:val="false"/>
          <w:color w:val="000000"/>
          <w:sz w:val="24"/>
        </w:rPr>
        <w:t xml:space="preserve">than the applicable Lender would have been entitled to receive with respect to the participation sold to such Participant and shall be subject to the terms of </w:t>
      </w:r>
      <w:r>
        <w:rPr>
          <w:rFonts w:ascii="Times New Roman;serif" w:hAnsi="Times New Roman;serif"/>
          <w:b w:val="false"/>
          <w:color w:val="000000"/>
          <w:sz w:val="24"/>
          <w:u w:val="single"/>
        </w:rPr>
        <w:t>Section 2.18(a)</w:t>
      </w:r>
      <w:r>
        <w:rPr>
          <w:rFonts w:ascii="Times New Roman;serif" w:hAnsi="Times New Roman;serif"/>
          <w:b w:val="false"/>
          <w:color w:val="000000"/>
          <w:sz w:val="24"/>
        </w:rPr>
        <w:t xml:space="preserve">. The Lender selling the participation to such Participant shall be subject to the terms of </w:t>
      </w:r>
      <w:r>
        <w:rPr>
          <w:rFonts w:ascii="Times New Roman;serif" w:hAnsi="Times New Roman;serif"/>
          <w:b w:val="false"/>
          <w:color w:val="000000"/>
          <w:sz w:val="24"/>
          <w:u w:val="single"/>
        </w:rPr>
        <w:t>Section 2.18(b)</w:t>
      </w:r>
      <w:r>
        <w:rPr>
          <w:color w:val="000000"/>
        </w:rPr>
        <w:t xml:space="preserve"> </w:t>
      </w:r>
      <w:r>
        <w:rPr>
          <w:rFonts w:ascii="Times New Roman;serif" w:hAnsi="Times New Roman;serif"/>
          <w:b w:val="false"/>
          <w:color w:val="000000"/>
          <w:sz w:val="24"/>
        </w:rPr>
        <w:t xml:space="preserve">if such Participant requests compensation or additional amounts pursuant to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2.16</w:t>
      </w:r>
      <w:r>
        <w:rPr>
          <w:rFonts w:ascii="Times New Roman;serif" w:hAnsi="Times New Roman;serif"/>
          <w:b w:val="false"/>
          <w:color w:val="000000"/>
          <w:sz w:val="24"/>
        </w:rPr>
        <w:t xml:space="preserve">. A Participant that would be a Foreign Lender if it were a Lender shall not be entitled to the benefits of </w:t>
      </w:r>
      <w:r>
        <w:rPr>
          <w:rFonts w:ascii="Times New Roman;serif" w:hAnsi="Times New Roman;serif"/>
          <w:b w:val="false"/>
          <w:color w:val="000000"/>
          <w:sz w:val="24"/>
          <w:u w:val="single"/>
        </w:rPr>
        <w:t>Section 2.16</w:t>
      </w:r>
      <w:r>
        <w:rPr>
          <w:color w:val="000000"/>
        </w:rPr>
        <w:t xml:space="preserve"> </w:t>
      </w:r>
      <w:r>
        <w:rPr>
          <w:rFonts w:ascii="Times New Roman;serif" w:hAnsi="Times New Roman;serif"/>
          <w:b w:val="false"/>
          <w:color w:val="000000"/>
          <w:sz w:val="24"/>
        </w:rPr>
        <w:t xml:space="preserve">unless such Participant agrees, for the benefit of the Borrower, to comply with </w:t>
      </w:r>
      <w:r>
        <w:rPr>
          <w:rFonts w:ascii="Times New Roman;serif" w:hAnsi="Times New Roman;serif"/>
          <w:b w:val="false"/>
          <w:color w:val="000000"/>
          <w:sz w:val="24"/>
          <w:u w:val="single"/>
        </w:rPr>
        <w:t>Sections 2.16(f)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2.16(g)</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2.16(h)</w:t>
      </w:r>
      <w:r>
        <w:rPr>
          <w:color w:val="000000"/>
        </w:rPr>
        <w:t xml:space="preserve"> </w:t>
      </w:r>
      <w:r>
        <w:rPr>
          <w:rFonts w:ascii="Times New Roman;serif" w:hAnsi="Times New Roman;serif"/>
          <w:b w:val="false"/>
          <w:color w:val="000000"/>
          <w:sz w:val="24"/>
        </w:rPr>
        <w:t>as though it were a Lender.</w:t>
      </w:r>
    </w:p>
    <w:p>
      <w:pPr>
        <w:pStyle w:val="TextBody"/>
        <w:bidi w:val="0"/>
        <w:spacing w:lineRule="auto" w:line="288" w:before="240" w:after="283"/>
        <w:ind w:left="0" w:right="0" w:firstLine="720"/>
        <w:jc w:val="left"/>
        <w:rPr/>
      </w:pPr>
      <w:bookmarkStart w:id="417" w:name="i7e4cec222eec467082139ae8d6823cf0"/>
      <w:bookmarkEnd w:id="417"/>
      <w:r>
        <w:rPr>
          <w:rFonts w:ascii="Times New Roman;serif" w:hAnsi="Times New Roman;serif"/>
          <w:b w:val="false"/>
          <w:color w:val="000000"/>
          <w:sz w:val="24"/>
        </w:rPr>
        <w:t xml:space="preserve">(e)    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and this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shall not apply to any such pledge or assignment of a security interest;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pledge or assignment of a security interest shall release a Lender from any of its obligations hereunder or substitute any such pledgee or assignee for such Lender as a party hereto.</w:t>
      </w:r>
    </w:p>
    <w:p>
      <w:pPr>
        <w:pStyle w:val="TextBody"/>
        <w:bidi w:val="0"/>
        <w:spacing w:lineRule="auto" w:line="288" w:before="240" w:after="283"/>
        <w:ind w:left="0" w:right="0" w:firstLine="720"/>
        <w:jc w:val="left"/>
        <w:rPr/>
      </w:pPr>
      <w:bookmarkStart w:id="418" w:name="i038c897241374a21a5746d8fbe9a52c0"/>
      <w:bookmarkEnd w:id="418"/>
      <w:r>
        <w:rPr>
          <w:rFonts w:ascii="Times New Roman;serif" w:hAnsi="Times New Roman;serif"/>
          <w:b w:val="false"/>
          <w:color w:val="000000"/>
          <w:sz w:val="24"/>
        </w:rPr>
        <w:t xml:space="preserve">(f)    Any Lender may, in connection with any assignment or participation or proposed assignment or participation pursuant to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disclose to the assignee or participant </w:t>
      </w:r>
    </w:p>
    <w:p>
      <w:pPr>
        <w:pStyle w:val="TextBody"/>
        <w:bidi w:val="0"/>
        <w:spacing w:before="0" w:after="0"/>
        <w:jc w:val="center"/>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525145"/>
                <wp:effectExtent l="0" t="0" r="0" b="0"/>
                <wp:wrapNone/>
                <wp:docPr id="167" name="Frame16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or proposed assignee or participant, any information relating to the Borrower or any of the Guarantors furnished to such Lender by or on behalf of the Borrower or any of the Guarantors;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prior to any such disclosure, each such assignee or participant or proposed assignee or participant provides to the Administrative Agent its agreement in writing to be bound for the benefit of the Borrower by either the provisions of </w:t>
      </w:r>
      <w:r>
        <w:rPr>
          <w:rFonts w:ascii="Times New Roman;serif" w:hAnsi="Times New Roman;serif"/>
          <w:b w:val="false"/>
          <w:color w:val="000000"/>
          <w:sz w:val="24"/>
          <w:u w:val="single"/>
        </w:rPr>
        <w:t>Section 10.03</w:t>
      </w:r>
      <w:r>
        <w:rPr>
          <w:color w:val="000000"/>
        </w:rPr>
        <w:t xml:space="preserve"> </w:t>
      </w:r>
      <w:r>
        <w:rPr>
          <w:rFonts w:ascii="Times New Roman;serif" w:hAnsi="Times New Roman;serif"/>
          <w:b w:val="false"/>
          <w:color w:val="000000"/>
          <w:sz w:val="24"/>
        </w:rPr>
        <w:t xml:space="preserve">or other provisions at least as restrictive as </w:t>
      </w:r>
      <w:r>
        <w:rPr>
          <w:rFonts w:ascii="Times New Roman;serif" w:hAnsi="Times New Roman;serif"/>
          <w:b w:val="false"/>
          <w:color w:val="000000"/>
          <w:sz w:val="24"/>
          <w:u w:val="single"/>
        </w:rPr>
        <w:t>Section 10.03</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19" w:name="ib4f56a67e8ca4396800af255f1e3af2c"/>
      <w:bookmarkEnd w:id="419"/>
      <w:r>
        <w:rPr>
          <w:rFonts w:ascii="Times New Roman;serif" w:hAnsi="Times New Roman;serif"/>
          <w:b w:val="false"/>
          <w:color w:val="000000"/>
          <w:sz w:val="24"/>
        </w:rPr>
        <w:t>(g)    [Intentionally Omitted.]</w:t>
      </w:r>
    </w:p>
    <w:p>
      <w:pPr>
        <w:pStyle w:val="TextBody"/>
        <w:bidi w:val="0"/>
        <w:spacing w:lineRule="auto" w:line="288" w:before="240" w:after="283"/>
        <w:ind w:left="0" w:right="0" w:firstLine="720"/>
        <w:jc w:val="left"/>
        <w:rPr/>
      </w:pPr>
      <w:bookmarkStart w:id="420" w:name="i0fc818567dfa43eebf1dcb0e0eab4356"/>
      <w:bookmarkEnd w:id="420"/>
      <w:r>
        <w:rPr>
          <w:rFonts w:ascii="Times New Roman;serif" w:hAnsi="Times New Roman;serif"/>
          <w:b w:val="false"/>
          <w:color w:val="000000"/>
          <w:sz w:val="24"/>
        </w:rPr>
        <w:t>Section 10.03.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Each of the Administrative Agent, the Collateral Trustee and each Lender (each, a “</w:t>
      </w:r>
      <w:r>
        <w:rPr>
          <w:rFonts w:ascii="Times New Roman;serif" w:hAnsi="Times New Roman;serif"/>
          <w:b w:val="false"/>
          <w:color w:val="000000"/>
          <w:sz w:val="24"/>
          <w:u w:val="single"/>
        </w:rPr>
        <w:t>Lender Party</w:t>
      </w:r>
      <w:r>
        <w:rPr>
          <w:color w:val="000000"/>
        </w:rPr>
        <w:t>”</w:t>
      </w:r>
      <w:r>
        <w:rPr>
          <w:rFonts w:ascii="Times New Roman;serif" w:hAnsi="Times New Roman;serif"/>
          <w:b w:val="false"/>
          <w:color w:val="000000"/>
          <w:sz w:val="24"/>
        </w:rPr>
        <w:t xml:space="preserve">) agrees to keep any information delivered or made available by the Borrower or any of the Guarantors to it confidential, in accordance with its customary procedures, from anyone other than persons employed or retained by such Lender Party or its Affiliates who are or are expected to become engaged in evaluating, approving, structuring, insuring or administering the Loans, and who are advised by such Lender Party of the confidential nature of such information;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nothing herein shall prevent any Lender Party from disclosing such information (a) to any of its Affiliates and their respective agents, directors and advisors (it being understood that the Persons to whom such disclosure is made will be informed of the confidential nature of such information and instructed to keep such information confidential) or to any other Lender Party, (b) as required by applicable law or upon the order of any court or administrative agency, (c) upon the request or demand of any regulatory agency or authority (including any self-regulatory authority), (d) which has been publicly disclosed other than as a result of a disclosure by the Administrative Agent, the Collateral Trustee or any Lender which is not permitted by this Agreement, (e) in connection with any litigation to which the Administrative Agent, the Collateral Trustee, any Lender, or their respective Affiliates may be a party to the extent reasonably required under applicable rules of discovery, (f) to the extent reasonably required in connection with the exercise of any remedy hereunder, (g) to such Lender Party’s legal counsel, independent auditors, accountants and other professional advisors, (h) on a confidential basis to (I) any rating agency in connection with rating the Parent and its Subsidiaries or (II) any direct or indirect provider of credit protection to such Lender Party or its Affiliates (or its brokers), (i) with the consent of the Borrower, (j) to any actual or proposed participant or assignee of all or part of its rights hereunder or to any direct or indirect contractual counterparty (or the professional advisors thereto) to any swap, derivative transaction or other risk transfer agreement, in each case, under which payments are to be made by reference to the Borrower’s payment obligations under this Agreement, in each case, subject to the proviso in </w:t>
      </w:r>
      <w:r>
        <w:rPr>
          <w:rFonts w:ascii="Times New Roman;serif" w:hAnsi="Times New Roman;serif"/>
          <w:b w:val="false"/>
          <w:color w:val="000000"/>
          <w:sz w:val="24"/>
          <w:u w:val="single"/>
        </w:rPr>
        <w:t>Section 10.02(f)</w:t>
      </w:r>
      <w:r>
        <w:rPr>
          <w:color w:val="000000"/>
        </w:rPr>
        <w:t xml:space="preserve"> </w:t>
      </w:r>
      <w:r>
        <w:rPr>
          <w:rFonts w:ascii="Times New Roman;serif" w:hAnsi="Times New Roman;serif"/>
          <w:b w:val="false"/>
          <w:color w:val="000000"/>
          <w:sz w:val="24"/>
        </w:rPr>
        <w:t xml:space="preserve">(with any reference to any assignee or participant set forth in such proviso being deemed to include a reference to such contractual counterparty for purposes of this </w:t>
      </w:r>
      <w:r>
        <w:rPr>
          <w:rFonts w:ascii="Times New Roman;serif" w:hAnsi="Times New Roman;serif"/>
          <w:b w:val="false"/>
          <w:color w:val="000000"/>
          <w:sz w:val="24"/>
          <w:u w:val="single"/>
        </w:rPr>
        <w:t>Section 10.03(j)</w:t>
      </w:r>
      <w:r>
        <w:rPr>
          <w:rFonts w:ascii="Times New Roman;serif" w:hAnsi="Times New Roman;serif"/>
          <w:b w:val="false"/>
          <w:color w:val="000000"/>
          <w:sz w:val="24"/>
        </w:rPr>
        <w:t xml:space="preserve">), (k) to the extent that such information is received by such Lender Party from a third party that is not, to such Lender Party’s knowledge, subject to confidentiality obligations to the Borrower, (l) to the extent that such information is independently developed by such Lender Party and (m) if the Borrower makes the designation set forth in </w:t>
      </w:r>
      <w:r>
        <w:rPr>
          <w:rFonts w:ascii="Times New Roman;serif" w:hAnsi="Times New Roman;serif"/>
          <w:b w:val="false"/>
          <w:color w:val="000000"/>
          <w:sz w:val="24"/>
          <w:u w:val="single"/>
        </w:rPr>
        <w:t>Section 10.21</w:t>
      </w:r>
      <w:r>
        <w:rPr>
          <w:rFonts w:ascii="Times New Roman;serif" w:hAnsi="Times New Roman;serif"/>
          <w:b w:val="false"/>
          <w:color w:val="000000"/>
          <w:sz w:val="24"/>
        </w:rPr>
        <w:t xml:space="preserve">, and in each case to the extent permitted by Borrower in connection with such designation, to any sustainable finance league table, or to any ESG (environmental, social and governance) agent or arranger, or third-party (for purposes of related reporting) engaged by the Borrower pursuant to </w:t>
      </w:r>
      <w:r>
        <w:rPr>
          <w:rFonts w:ascii="Times New Roman;serif" w:hAnsi="Times New Roman;serif"/>
          <w:b w:val="false"/>
          <w:color w:val="000000"/>
          <w:sz w:val="24"/>
          <w:u w:val="single"/>
        </w:rPr>
        <w:t>Section 10.21</w:t>
      </w:r>
      <w:r>
        <w:rPr>
          <w:rFonts w:ascii="Times New Roman;serif" w:hAnsi="Times New Roman;serif"/>
          <w:b w:val="false"/>
          <w:color w:val="000000"/>
          <w:sz w:val="24"/>
        </w:rPr>
        <w:t xml:space="preserve">. If any Lender Party is in any manner requested or required to disclose any of the </w:t>
      </w:r>
    </w:p>
    <w:p>
      <w:pPr>
        <w:pStyle w:val="TextBody"/>
        <w:bidi w:val="0"/>
        <w:spacing w:before="0" w:after="0"/>
        <w:jc w:val="center"/>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525145"/>
                <wp:effectExtent l="0" t="0" r="0" b="0"/>
                <wp:wrapNone/>
                <wp:docPr id="168" name="Frame16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information delivered or made available to it by the Borrower or any of the Guarantors under </w:t>
      </w:r>
      <w:r>
        <w:rPr>
          <w:rFonts w:ascii="Times New Roman;serif" w:hAnsi="Times New Roman;serif"/>
          <w:b w:val="false"/>
          <w:color w:val="000000"/>
          <w:sz w:val="24"/>
          <w:u w:val="single"/>
        </w:rPr>
        <w:t>clauses (b)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w:t>
      </w:r>
      <w:r>
        <w:rPr>
          <w:rFonts w:ascii="Times New Roman;serif" w:hAnsi="Times New Roman;serif"/>
          <w:b w:val="false"/>
          <w:color w:val="000000"/>
          <w:sz w:val="24"/>
        </w:rPr>
        <w:t xml:space="preserve">, such Lender Party will, to the extent permitted by law, provide the Borrower or Guarantor with prompt notice, to the extent reasonable, so that the Borrower or Guarantor may seek, at its sole expense, a protective order or other appropriate remedy or may waive compliance with this </w:t>
      </w:r>
      <w:r>
        <w:rPr>
          <w:rFonts w:ascii="Times New Roman;serif" w:hAnsi="Times New Roman;serif"/>
          <w:b w:val="false"/>
          <w:color w:val="000000"/>
          <w:sz w:val="24"/>
          <w:u w:val="single"/>
        </w:rPr>
        <w:t>Section 10.03</w:t>
      </w:r>
      <w:r>
        <w:rPr>
          <w:rFonts w:ascii="Times New Roman;serif" w:hAnsi="Times New Roman;serif"/>
          <w:b w:val="false"/>
          <w:color w:val="000000"/>
          <w:sz w:val="24"/>
        </w:rPr>
        <w:t>. For the avoidance of doubt, nothing in this Section 10.03 prohibits any person from voluntarily disclosing or providing any information within the scope of the confidentiality provisions herein to any governmental, regulatory or self-regulatory organization (any such entity, a “</w:t>
      </w:r>
      <w:r>
        <w:rPr>
          <w:rFonts w:ascii="Times New Roman;serif" w:hAnsi="Times New Roman;serif"/>
          <w:b w:val="false"/>
          <w:color w:val="000000"/>
          <w:sz w:val="24"/>
          <w:u w:val="single"/>
        </w:rPr>
        <w:t>Regulatory Authority</w:t>
      </w:r>
      <w:r>
        <w:rPr>
          <w:color w:val="000000"/>
        </w:rPr>
        <w:t>”</w:t>
      </w:r>
      <w:r>
        <w:rPr>
          <w:rFonts w:ascii="Times New Roman;serif" w:hAnsi="Times New Roman;serif"/>
          <w:b w:val="false"/>
          <w:color w:val="000000"/>
          <w:sz w:val="24"/>
        </w:rPr>
        <w:t>) to the extent that any such prohibition on disclosure set forth in this Section 10.03 shall be prohibited by the laws or regulations applicable to such Regulatory Authority.</w:t>
      </w:r>
    </w:p>
    <w:p>
      <w:pPr>
        <w:pStyle w:val="TextBody"/>
        <w:bidi w:val="0"/>
        <w:spacing w:lineRule="auto" w:line="288" w:before="240" w:after="283"/>
        <w:ind w:left="0" w:right="0" w:firstLine="720"/>
        <w:jc w:val="left"/>
        <w:rPr/>
      </w:pPr>
      <w:bookmarkStart w:id="421" w:name="i9e015f5fd3734a5aa6481e1155607d7a"/>
      <w:bookmarkEnd w:id="421"/>
      <w:r>
        <w:rPr>
          <w:rFonts w:ascii="Times New Roman;serif" w:hAnsi="Times New Roman;serif"/>
          <w:b w:val="false"/>
          <w:color w:val="000000"/>
          <w:sz w:val="24"/>
        </w:rPr>
        <w:t>Section 10.04.    </w:t>
      </w:r>
      <w:r>
        <w:rPr>
          <w:rFonts w:ascii="Times New Roman;serif" w:hAnsi="Times New Roman;serif"/>
          <w:b w:val="false"/>
          <w:color w:val="000000"/>
          <w:sz w:val="24"/>
          <w:u w:val="single"/>
        </w:rPr>
        <w:t>Expenses; Indemnity; Damage Waiver</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22" w:name="i91af1d2274d94bfaae40f959131f1568"/>
      <w:bookmarkEnd w:id="422"/>
      <w:r>
        <w:rPr>
          <w:rFonts w:ascii="Times New Roman;serif" w:hAnsi="Times New Roman;serif"/>
          <w:b w:val="false"/>
          <w:color w:val="000000"/>
          <w:sz w:val="24"/>
        </w:rPr>
        <w:t>(a)    (i) The Borrower shall pay or reimburse: (A) all reasonable fees and reasonable out-of-pocket expenses of the Administrative Agent, the Arranger Parties (including the reasonable fees, disbursements and other charges of Milbank LLP, counsel to the Administrative Agent) associated with the syndication of the credit facility provided for herein, and the preparation, execution and delivery of the Loan Documents and (in the case of the Administrative Agent) any amendments, modifications or waivers of the provisions hereof requested by the Borrower (whether or not the transactions contemplated hereby or thereby shall be consummated); and (B) in connection with any enforcement of the Loan Documents, (i) all fees and out-of-pocket expenses of the Administrative Agent (including the reasonable fees, disbursements and other charges of a single legal counsel for the Administrative Agent) incurred during the continuance of a Default (and, in the case of an actual conflict of interest where one or more Lenders desire to retain separate counsel, another single firm of counsel for such affected Lenders), (ii) all such fees and expenses of the Administrative Agent and the Lenders (including the reasonable fees, disbursements and other charges of (aa) a single legal counsel for the Administrative Agent and (bb) a single legal counsel for all the Lenders, taken as a whole (and, in the case of an actual or perceived conflict of interest, an additional counsel to all such similarly situated Lenders)) incurred during the continuance of an Event of Default; and (C) all reasonable, documented, out-of-pocket costs, expenses, taxes, assessments and other charges (including the reasonable fees, disbursements and other charges of legal counsel for the Administrative Agent) incurred by the Administrative Agent in connection with any filing, registration, recording or perfection of any security interest contemplated by any Loan Document or incurred in connection with any release or addition of Collateral after the Closing Date.</w:t>
      </w:r>
    </w:p>
    <w:p>
      <w:pPr>
        <w:pStyle w:val="TextBody"/>
        <w:bidi w:val="0"/>
        <w:spacing w:lineRule="auto" w:line="288" w:before="240" w:after="283"/>
        <w:ind w:left="0" w:right="0" w:firstLine="720"/>
        <w:jc w:val="left"/>
        <w:rPr/>
      </w:pPr>
      <w:bookmarkStart w:id="423" w:name="icba6e2fda7bb4c26ac46f92b29b724df"/>
      <w:bookmarkEnd w:id="423"/>
      <w:r>
        <w:rPr>
          <w:rFonts w:ascii="Times New Roman;serif" w:hAnsi="Times New Roman;serif"/>
          <w:b w:val="false"/>
          <w:color w:val="000000"/>
          <w:sz w:val="24"/>
        </w:rPr>
        <w:t xml:space="preserve">(i)    All payments or reimbursements pursuant to the foregoing </w:t>
      </w:r>
      <w:r>
        <w:rPr>
          <w:rFonts w:ascii="Times New Roman;serif" w:hAnsi="Times New Roman;serif"/>
          <w:b w:val="false"/>
          <w:color w:val="000000"/>
          <w:sz w:val="24"/>
          <w:u w:val="single"/>
        </w:rPr>
        <w:t>clause (a)(i)</w:t>
      </w:r>
      <w:r>
        <w:rPr>
          <w:color w:val="000000"/>
        </w:rPr>
        <w:t xml:space="preserve"> </w:t>
      </w:r>
      <w:r>
        <w:rPr>
          <w:rFonts w:ascii="Times New Roman;serif" w:hAnsi="Times New Roman;serif"/>
          <w:b w:val="false"/>
          <w:color w:val="000000"/>
          <w:sz w:val="24"/>
        </w:rPr>
        <w:t>shall be paid within thirty (30) days of written demand together with back-up documentation supporting such reimbursement request.</w:t>
      </w:r>
    </w:p>
    <w:p>
      <w:pPr>
        <w:pStyle w:val="TextBody"/>
        <w:bidi w:val="0"/>
        <w:spacing w:lineRule="auto" w:line="288" w:before="240" w:after="283"/>
        <w:ind w:left="0" w:right="0" w:firstLine="720"/>
        <w:jc w:val="left"/>
        <w:rPr/>
      </w:pPr>
      <w:bookmarkStart w:id="424" w:name="ieb8a8091b703464eaf1cd813a4d43ec6"/>
      <w:bookmarkEnd w:id="424"/>
      <w:r>
        <w:rPr>
          <w:rFonts w:ascii="Times New Roman;serif" w:hAnsi="Times New Roman;serif"/>
          <w:b w:val="false"/>
          <w:color w:val="000000"/>
          <w:sz w:val="24"/>
        </w:rPr>
        <w:t>(b)    The Borrower shall indemnify the Administrative Agent, the Collateral Trustee, the Issuing Lenders and each Lender, and each Related Party of any of the foregoing Persons (each such Person being called an “</w:t>
      </w:r>
      <w:r>
        <w:rPr>
          <w:rFonts w:ascii="Times New Roman;serif" w:hAnsi="Times New Roman;serif"/>
          <w:b w:val="false"/>
          <w:color w:val="000000"/>
          <w:sz w:val="24"/>
          <w:u w:val="single"/>
        </w:rPr>
        <w:t>Indemnitee</w:t>
      </w:r>
      <w:r>
        <w:rPr>
          <w:color w:val="000000"/>
        </w:rPr>
        <w:t>”</w:t>
      </w:r>
      <w:r>
        <w:rPr>
          <w:rFonts w:ascii="Times New Roman;serif" w:hAnsi="Times New Roman;serif"/>
          <w:b w:val="false"/>
          <w:color w:val="000000"/>
          <w:sz w:val="24"/>
        </w:rPr>
        <w:t xml:space="preserve">) against, and hold each Indemnitee harmless from, any and all losses, claims, damages, liabilities and related expenses, including the reasonable fees, charges and disbursements of any counsel for any Indemnitee arising out of, in </w:t>
      </w:r>
    </w:p>
    <w:p>
      <w:pPr>
        <w:pStyle w:val="TextBody"/>
        <w:bidi w:val="0"/>
        <w:spacing w:before="0" w:after="0"/>
        <w:jc w:val="center"/>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525145"/>
                <wp:effectExtent l="0" t="0" r="0" b="0"/>
                <wp:wrapNone/>
                <wp:docPr id="169" name="Frame16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connection with, or as a result of any actual or prospective claim, litigation, investigation or proceeding (including any investigating, preparing for or defending any such claims, actions, suits, investigations or proceedings, whether or not in connection with pending or threatened litigation in which such Indemnitee is a party), whether based on contract, tort or any other theory and regardless of whether any Indemnitee is a party thereto and whether or not any such claim, litigation, investigation or proceeding is brought by the Borrower, its equity holders, its Affiliates, its creditors or any other person, relating to (i) the execution or delivery of this Agreement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therefrom (including any refusal by any Issuing Lender to honor a demand for payment under a Letter of Credit if the documents presented in connection with such demand do not strictly comply with the terms of such Letter of Credit) or (iii) any actual or alleged presence or Release of Hazardous Materials on or from any property owned or operated by the Parent or any of its Subsidiaries, or any Environmental Liability related in any way to, or asserted against, the Parent or any of its Subsidiaries;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indemnity will not, as to any Indemnitee (or its Related Parties), be available to the extent that such losses, claims, damages, liabilities or related expenses (i) are determined by a court of competent jurisdiction by final and nonappealable judgment to have resulted from the bad faith, gross negligence or willful misconduct of, or breach of any Loan Document by, such Indemnitee (or of any of its Related Parties), and in such case such Indemnitee (and its Related Parties) shall repay the Borrower the amount of any expenses previously reimbursed by the Borrower in connection with any such loss, claims, damages, expenses or liability to such Indemnitee and, to the extent not repaid by any of them, such Indemnitee’s Related Parties not a party to this Agreement or (ii) result from any proceeding between or among Indemnitees that does not involve an action or omission by the Borrower or its Affiliates (other than claims against any Indemnitee in its capacity or in fulfilling its role as the agent or arranger or any other similar role under the Revolving Facility (excluding its role as a Lender). This </w:t>
      </w:r>
      <w:r>
        <w:rPr>
          <w:rFonts w:ascii="Times New Roman;serif" w:hAnsi="Times New Roman;serif"/>
          <w:b w:val="false"/>
          <w:color w:val="000000"/>
          <w:sz w:val="24"/>
          <w:u w:val="single"/>
        </w:rPr>
        <w:t>Section 10.04(b)</w:t>
      </w:r>
      <w:r>
        <w:rPr>
          <w:color w:val="000000"/>
        </w:rPr>
        <w:t xml:space="preserve"> </w:t>
      </w:r>
      <w:r>
        <w:rPr>
          <w:rFonts w:ascii="Times New Roman;serif" w:hAnsi="Times New Roman;serif"/>
          <w:b w:val="false"/>
          <w:color w:val="000000"/>
          <w:sz w:val="24"/>
        </w:rPr>
        <w:t>shall not apply with respect to Taxes other than Taxes that represent losses or damages arising from any non-Tax claim.</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25" w:name="i0f608b50632341ed8ad7279892026744"/>
      <w:bookmarkEnd w:id="425"/>
      <w:r>
        <w:rPr>
          <w:rFonts w:ascii="Times New Roman;serif" w:hAnsi="Times New Roman;serif"/>
          <w:b w:val="false"/>
          <w:color w:val="000000"/>
          <w:sz w:val="24"/>
        </w:rPr>
        <w:t xml:space="preserve">(c)    In case any action or proceeding shall be brought or asserted against an Indemnitee in respect of which indemnity may be sought against the Borrower under the provisions of any Loan Document, such Indemnitee shall promptly notify the Borrower in writing and the Borrower shall, if requested by such Indemnitee or if the Borrower desires to do so, assume the defense thereof, including the employment of counsel reasonably satisfactory to such Indemnitee but only if (i) no Event of Default shall have occurred and be continuing and (ii) such action or proceeding does not involve any risk of criminal liability or material risk of material civil money penalties being imposed on such Indemnitee. The Borrower shall not enter into any settlement of any such action or proceeding that admits any Indemnitee’s misconduct or negligence. The failure to so notify the Borrower shall not affect any obligations the Borrower may have to such Indemnitee under the Loan Documents or otherwise other than to the extent that the Borrower is materially adversely affected by such failure. The Indemnitees shall have the right to employ separate counsel in such action or proceeding and participate in the defense thereof, but the fees and expenses of such counsel shall be at the expense of the Indemnitees unless: (i) the Borrower has agreed to pay such fees and expenses, (ii) the Borrower has failed to </w:t>
      </w:r>
    </w:p>
    <w:p>
      <w:pPr>
        <w:pStyle w:val="TextBody"/>
        <w:bidi w:val="0"/>
        <w:spacing w:before="0" w:after="0"/>
        <w:jc w:val="center"/>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525145"/>
                <wp:effectExtent l="0" t="0" r="0" b="0"/>
                <wp:wrapNone/>
                <wp:docPr id="170" name="Frame16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assume the defense of such action or proceeding and employ counsel reasonably satisfactory to the Indemnitees or (iii) the Indemnitees shall have been advised in writing by counsel that under prevailing ethical standards there may be a conflict between the positions of the Borrower and the Indemnitees in conducting the defense of such action or proceeding or that there may be legal defenses available to the Indemnitees different from or in addition to those available to the Borrower, in which case, if the Indemnitees notify the Borrower in writing that they elect to employ separate counsel at the expense of the Borrower, the Borrower shall not have the right to assume the defense of such action or proceeding on behalf of the Indemnitees;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without limiting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above, the Borrower shall not, in connection with any one such action or proceeding or separate but substantially similar or related actions or proceedings in the same jurisdiction arising out of the same general allegations or circumstances, be responsible hereunder for the reasonable fees and expenses of more than one such firm of separate counsel, in addition to any local counsel. The Borrower shall not be liable for any settlement of any such action or proceeding effected without the written consent of the Borrower (which shall not be unreasonably withheld).</w:t>
      </w:r>
    </w:p>
    <w:p>
      <w:pPr>
        <w:pStyle w:val="TextBody"/>
        <w:bidi w:val="0"/>
        <w:spacing w:lineRule="auto" w:line="288" w:before="240" w:after="283"/>
        <w:ind w:left="0" w:right="0" w:firstLine="720"/>
        <w:jc w:val="left"/>
        <w:rPr/>
      </w:pPr>
      <w:bookmarkStart w:id="426" w:name="i8bc36aeba4e44631b46b4d397113cf8c"/>
      <w:bookmarkEnd w:id="426"/>
      <w:r>
        <w:rPr>
          <w:rFonts w:ascii="Times New Roman;serif" w:hAnsi="Times New Roman;serif"/>
          <w:b w:val="false"/>
          <w:color w:val="000000"/>
          <w:sz w:val="24"/>
        </w:rPr>
        <w:t xml:space="preserve">(d)    To the extent that the Borrower fails to pay any amount required to be paid by it to the Administrative Agent or an Issuing Lender under </w:t>
      </w:r>
      <w:r>
        <w:rPr>
          <w:rFonts w:ascii="Times New Roman;serif" w:hAnsi="Times New Roman;serif"/>
          <w:b w:val="false"/>
          <w:color w:val="000000"/>
          <w:sz w:val="24"/>
          <w:u w:val="single"/>
        </w:rPr>
        <w:t>paragraph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10.04</w:t>
      </w:r>
      <w:r>
        <w:rPr>
          <w:rFonts w:ascii="Times New Roman;serif" w:hAnsi="Times New Roman;serif"/>
          <w:b w:val="false"/>
          <w:color w:val="000000"/>
          <w:sz w:val="24"/>
        </w:rPr>
        <w:t xml:space="preserve">, each Lender severally agrees to pay to the Administrative Agent or the applicable Issuing Lender, as the case may be, such portion of the unpaid amount equal to such Lender’s Aggregate Exposure Percentage (determined as of the time that the applicable unreimbursed expense or indemnity payment is sought);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unreimbursed expense or indemnified loss, claim, damage, liability or related expense, as the case may be, was incurred by or asserted against the Administrative Agent or the applicable Issuing Lender in its capacity as such.</w:t>
      </w:r>
    </w:p>
    <w:p>
      <w:pPr>
        <w:pStyle w:val="TextBody"/>
        <w:bidi w:val="0"/>
        <w:spacing w:lineRule="auto" w:line="288" w:before="240" w:after="283"/>
        <w:ind w:left="0" w:right="0" w:firstLine="720"/>
        <w:jc w:val="left"/>
        <w:rPr/>
      </w:pPr>
      <w:bookmarkStart w:id="427" w:name="i371b3fbb94204f0aaca2f972d6d71fee"/>
      <w:bookmarkEnd w:id="427"/>
      <w:r>
        <w:rPr>
          <w:rFonts w:ascii="Times New Roman;serif" w:hAnsi="Times New Roman;serif"/>
          <w:b w:val="false"/>
          <w:color w:val="000000"/>
          <w:sz w:val="24"/>
        </w:rPr>
        <w:t xml:space="preserve">(e)    To the extent permitted by applicable law, each party hereto shall not assert, and hereby waives, any claim against any other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nothing in this </w:t>
      </w:r>
      <w:r>
        <w:rPr>
          <w:rFonts w:ascii="Times New Roman;serif" w:hAnsi="Times New Roman;serif"/>
          <w:b w:val="false"/>
          <w:color w:val="000000"/>
          <w:sz w:val="24"/>
          <w:u w:val="single"/>
        </w:rPr>
        <w:t>clause (e)</w:t>
      </w:r>
      <w:r>
        <w:rPr>
          <w:color w:val="000000"/>
        </w:rPr>
        <w:t xml:space="preserve"> </w:t>
      </w:r>
      <w:r>
        <w:rPr>
          <w:rFonts w:ascii="Times New Roman;serif" w:hAnsi="Times New Roman;serif"/>
          <w:b w:val="false"/>
          <w:color w:val="000000"/>
          <w:sz w:val="24"/>
        </w:rPr>
        <w:t xml:space="preserve">shall relieve the Borrower of any obligation it may have to indemnify an Indemnitee against special, indirect, consequential or punitive damages asserted against such Indemnitee by a third party. </w:t>
      </w:r>
    </w:p>
    <w:p>
      <w:pPr>
        <w:pStyle w:val="TextBody"/>
        <w:bidi w:val="0"/>
        <w:spacing w:lineRule="auto" w:line="288" w:before="240" w:after="283"/>
        <w:ind w:left="0" w:right="0" w:firstLine="720"/>
        <w:jc w:val="left"/>
        <w:rPr/>
      </w:pPr>
      <w:bookmarkStart w:id="428" w:name="ia6cfd57108684b9f8ed18348ed269e68"/>
      <w:bookmarkEnd w:id="428"/>
      <w:r>
        <w:rPr>
          <w:rFonts w:ascii="Times New Roman;serif" w:hAnsi="Times New Roman;serif"/>
          <w:b w:val="false"/>
          <w:color w:val="000000"/>
          <w:sz w:val="24"/>
        </w:rPr>
        <w:t>Section 10.05.    </w:t>
      </w:r>
      <w:r>
        <w:rPr>
          <w:rFonts w:ascii="Times New Roman;serif" w:hAnsi="Times New Roman;serif"/>
          <w:b w:val="false"/>
          <w:color w:val="000000"/>
          <w:sz w:val="24"/>
          <w:u w:val="single"/>
        </w:rPr>
        <w:t>Governing Law; Jurisdiction; Consent to Service of Process</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29" w:name="i3e69442f1bbd449a936832fc97d43cb3"/>
      <w:bookmarkEnd w:id="429"/>
      <w:r>
        <w:rPr>
          <w:rFonts w:ascii="Times New Roman;serif" w:hAnsi="Times New Roman;serif"/>
          <w:b w:val="false"/>
          <w:color w:val="000000"/>
          <w:sz w:val="24"/>
        </w:rPr>
        <w:t>(a)    This Agreement and the other Loan Documents and any claim, controversy, dispute, proceeding or cause of action (whether based on contract, tort or any other theory and whether at law or in equity) based upon, arising out of or relating to this Agreement or any other Loan Document (except, as to any other Loan Document, as expressly set forth therein) and the transactions contemplated hereby and thereby shall be construed in accordance with and governed by the law of the State of New York.</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30" w:name="i3d704d4a5f8643fb9b2914d8d9407a40"/>
      <w:bookmarkEnd w:id="430"/>
      <w:r>
        <w:rPr>
          <w:rFonts w:ascii="Times New Roman;serif" w:hAnsi="Times New Roman;serif"/>
          <w:b w:val="false"/>
          <w:color w:val="000000"/>
          <w:sz w:val="24"/>
        </w:rPr>
        <w:t xml:space="preserve">(b)    Each party hereto hereby irrevocably and unconditionally submits, for itself and its property, to the exclusive jurisdiction of the Supreme Court of the State of New York sitting in New York County and of the United States District Court of the Southern District of New </w:t>
      </w:r>
    </w:p>
    <w:p>
      <w:pPr>
        <w:pStyle w:val="TextBody"/>
        <w:bidi w:val="0"/>
        <w:spacing w:before="0" w:after="0"/>
        <w:jc w:val="center"/>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25145"/>
                <wp:effectExtent l="0" t="0" r="0" b="0"/>
                <wp:wrapNone/>
                <wp:docPr id="171" name="Frame17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York sitting in New York County, and any appellate court from any thereof, in any action or proceeding (whether based on contract, tort or any other theory and whether at law or in equity) arising out of or relating to this Agreement,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w:t>
      </w:r>
    </w:p>
    <w:p>
      <w:pPr>
        <w:pStyle w:val="TextBody"/>
        <w:bidi w:val="0"/>
        <w:spacing w:lineRule="auto" w:line="288" w:before="240" w:after="283"/>
        <w:ind w:left="0" w:right="0" w:firstLine="720"/>
        <w:jc w:val="left"/>
        <w:rPr/>
      </w:pPr>
      <w:bookmarkStart w:id="431" w:name="i14d8faf8c60f45bcb7e1ae10807e3357"/>
      <w:bookmarkEnd w:id="431"/>
      <w:r>
        <w:rPr>
          <w:rFonts w:ascii="Times New Roman;serif" w:hAnsi="Times New Roman;serif"/>
          <w:b w:val="false"/>
          <w:color w:val="000000"/>
          <w:sz w:val="24"/>
        </w:rPr>
        <w:t xml:space="preserve">(c)    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serif" w:hAnsi="Times New Roman;serif"/>
          <w:b w:val="false"/>
          <w:color w:val="000000"/>
          <w:sz w:val="24"/>
          <w:u w:val="single"/>
        </w:rPr>
        <w:t>Section 10.05(b)</w:t>
      </w:r>
      <w:r>
        <w:rPr>
          <w:rFonts w:ascii="Times New Roman;serif" w:hAnsi="Times New Roman;serif"/>
          <w:b w:val="false"/>
          <w:color w:val="000000"/>
          <w:sz w:val="24"/>
        </w:rPr>
        <w:t>. Each of the parties hereto hereby irrevocably waives, to the fullest extent permitted by law, the defense of an inconvenient forum to the maintenance of such action or proceeding in any such court.</w:t>
      </w:r>
    </w:p>
    <w:p>
      <w:pPr>
        <w:pStyle w:val="TextBody"/>
        <w:bidi w:val="0"/>
        <w:spacing w:lineRule="auto" w:line="288" w:before="240" w:after="283"/>
        <w:ind w:left="0" w:right="0" w:firstLine="720"/>
        <w:jc w:val="left"/>
        <w:rPr/>
      </w:pPr>
      <w:bookmarkStart w:id="432" w:name="i502184ae4a6e4c9fb8d82b36070cb3f1"/>
      <w:bookmarkEnd w:id="432"/>
      <w:r>
        <w:rPr>
          <w:rFonts w:ascii="Times New Roman;serif" w:hAnsi="Times New Roman;serif"/>
          <w:b w:val="false"/>
          <w:color w:val="000000"/>
          <w:sz w:val="24"/>
        </w:rPr>
        <w:t xml:space="preserve">(d)    Each party to this Agreement irrevocably consents to service of process in the manner provided for notices in </w:t>
      </w:r>
      <w:r>
        <w:rPr>
          <w:rFonts w:ascii="Times New Roman;serif" w:hAnsi="Times New Roman;serif"/>
          <w:b w:val="false"/>
          <w:color w:val="000000"/>
          <w:sz w:val="24"/>
          <w:u w:val="single"/>
        </w:rPr>
        <w:t>Section 10.01</w:t>
      </w:r>
      <w:r>
        <w:rPr>
          <w:rFonts w:ascii="Times New Roman;serif" w:hAnsi="Times New Roman;serif"/>
          <w:b w:val="false"/>
          <w:color w:val="000000"/>
          <w:sz w:val="24"/>
        </w:rPr>
        <w:t>. Nothing in this Agreement will affect the right of any party to this Agreement to serve process in any other manner permitted by law.</w:t>
      </w:r>
    </w:p>
    <w:p>
      <w:pPr>
        <w:pStyle w:val="TextBody"/>
        <w:bidi w:val="0"/>
        <w:spacing w:lineRule="auto" w:line="288" w:before="240" w:after="283"/>
        <w:ind w:left="0" w:right="0" w:firstLine="720"/>
        <w:jc w:val="left"/>
        <w:rPr/>
      </w:pPr>
      <w:bookmarkStart w:id="433" w:name="i1957748bc847418d995feee11a25da88"/>
      <w:bookmarkEnd w:id="433"/>
      <w:r>
        <w:rPr>
          <w:rFonts w:ascii="Times New Roman;serif" w:hAnsi="Times New Roman;serif"/>
          <w:b w:val="false"/>
          <w:color w:val="000000"/>
          <w:sz w:val="24"/>
        </w:rPr>
        <w:t>Section 10.06.    </w:t>
      </w:r>
      <w:r>
        <w:rPr>
          <w:rFonts w:ascii="Times New Roman;serif" w:hAnsi="Times New Roman;serif"/>
          <w:b w:val="false"/>
          <w:color w:val="000000"/>
          <w:sz w:val="24"/>
          <w:u w:val="single"/>
        </w:rPr>
        <w:t>No Waiver</w:t>
      </w:r>
      <w:r>
        <w:rPr>
          <w:rFonts w:ascii="Times New Roman;serif" w:hAnsi="Times New Roman;serif"/>
          <w:b w:val="false"/>
          <w:color w:val="000000"/>
          <w:sz w:val="24"/>
        </w:rPr>
        <w:t>. No failure on the part of the Administrative Agent or the Collateral Trustee or any of the Lenders to exercise, and no delay in exercising, any right, power or remedy hereunder or any of the other Loan Documents shall operate as a waiver thereof, nor shall any single or partial exercise of any such right, power or remedy preclude any other or further exercise thereof or the exercise of any other right, power or remedy. All remedies hereunder are cumulative and are not exclusive of any other remedies provided by law.</w:t>
      </w:r>
    </w:p>
    <w:p>
      <w:pPr>
        <w:pStyle w:val="TextBody"/>
        <w:bidi w:val="0"/>
        <w:spacing w:lineRule="auto" w:line="288" w:before="240" w:after="283"/>
        <w:ind w:left="0" w:right="0" w:firstLine="720"/>
        <w:jc w:val="left"/>
        <w:rPr/>
      </w:pPr>
      <w:bookmarkStart w:id="434" w:name="i8cbc76bfe23c435fa79ac5672d9a291a"/>
      <w:bookmarkEnd w:id="434"/>
      <w:r>
        <w:rPr>
          <w:rFonts w:ascii="Times New Roman;serif" w:hAnsi="Times New Roman;serif"/>
          <w:b w:val="false"/>
          <w:color w:val="000000"/>
          <w:sz w:val="24"/>
        </w:rPr>
        <w:t>Section 10.07.    </w:t>
      </w:r>
      <w:r>
        <w:rPr>
          <w:rFonts w:ascii="Times New Roman;serif" w:hAnsi="Times New Roman;serif"/>
          <w:b w:val="false"/>
          <w:color w:val="000000"/>
          <w:sz w:val="24"/>
          <w:u w:val="single"/>
        </w:rPr>
        <w:t>Extension of Maturity</w:t>
      </w:r>
      <w:r>
        <w:rPr>
          <w:rFonts w:ascii="Times New Roman;serif" w:hAnsi="Times New Roman;serif"/>
          <w:b w:val="false"/>
          <w:color w:val="000000"/>
          <w:sz w:val="24"/>
        </w:rPr>
        <w:t>. Should any payment of principal of or interest or any other amount due hereunder become due and payable on a day other than a Business Day, the maturity thereof shall be extended to the next succeeding Business Day and, in the case of principal, interest shall be payable thereon at the rate herein specified during such extension.</w:t>
      </w:r>
    </w:p>
    <w:p>
      <w:pPr>
        <w:pStyle w:val="TextBody"/>
        <w:bidi w:val="0"/>
        <w:spacing w:lineRule="auto" w:line="288" w:before="240" w:after="283"/>
        <w:ind w:left="0" w:right="0" w:firstLine="720"/>
        <w:jc w:val="left"/>
        <w:rPr/>
      </w:pPr>
      <w:bookmarkStart w:id="435" w:name="i85ce686f9d394ddf9ee6a7e60c2be4e5"/>
      <w:bookmarkEnd w:id="435"/>
      <w:r>
        <w:rPr>
          <w:rFonts w:ascii="Times New Roman;serif" w:hAnsi="Times New Roman;serif"/>
          <w:b w:val="false"/>
          <w:color w:val="000000"/>
          <w:sz w:val="24"/>
        </w:rPr>
        <w:t>Section 10.08.    </w:t>
      </w:r>
      <w:r>
        <w:rPr>
          <w:rFonts w:ascii="Times New Roman;serif" w:hAnsi="Times New Roman;serif"/>
          <w:b w:val="false"/>
          <w:color w:val="000000"/>
          <w:sz w:val="24"/>
          <w:u w:val="single"/>
        </w:rPr>
        <w:t>Amendments, etc</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pPr>
      <w:bookmarkStart w:id="436" w:name="i0a31584b848b48999f1ccec2f7873906"/>
      <w:bookmarkEnd w:id="436"/>
      <w:r>
        <w:rPr>
          <w:rFonts w:ascii="Times New Roman;serif" w:hAnsi="Times New Roman;serif"/>
          <w:b w:val="false"/>
          <w:color w:val="000000"/>
          <w:sz w:val="24"/>
        </w:rPr>
        <w:t xml:space="preserve">(a)    No modification, amendment or waiver of any provision of this Agreement or any Collateral Document (other than any Account Control Agreement or as otherwise expressly provided in any Collateral Document, including the Collateral Trust Agreement, with respect to amendment of Collateral Documents), and no consent to any departure by the Borrower or any Guarantor therefrom, shall in any event be effective unless the same shall be in writing and signed by the Required Lenders (or signed by the Administrative Agent with the consent of the Required Lenders), and then such waiver or consent shall be effective only in the specific instance and for the purpose for which given;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such modification, waiver or amendment shall without the prior written consent of:</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37" w:name="i25f511c22434422aafd1507b6f35d21b"/>
      <w:bookmarkEnd w:id="437"/>
      <w:r>
        <w:rPr>
          <w:rFonts w:ascii="Times New Roman;serif" w:hAnsi="Times New Roman;serif"/>
          <w:b w:val="false"/>
          <w:color w:val="000000"/>
          <w:sz w:val="24"/>
        </w:rPr>
        <w:t xml:space="preserve">(i)    each Lender directly and adversely affected thereby (A) increase the Commitment of any Lender or extend the termination date of the Commitment of any </w:t>
      </w:r>
    </w:p>
    <w:p>
      <w:pPr>
        <w:pStyle w:val="TextBody"/>
        <w:bidi w:val="0"/>
        <w:spacing w:before="0" w:after="0"/>
        <w:jc w:val="center"/>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525145"/>
                <wp:effectExtent l="0" t="0" r="0" b="0"/>
                <wp:wrapNone/>
                <wp:docPr id="172" name="Frame17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Lender (it being understood that a waiver of an Event of Default shall not constitute an increase in or extension of the termination date of the Commitment of a Lender), or (B) reduce the principal amount of any Loan, any reimbursement obligation in respect of any Letter of Credit, or the rate of interest payable thereon (provided that only the consent of the Required Lenders shall be necessary for a waiver of default interest referred to in </w:t>
      </w:r>
      <w:r>
        <w:rPr>
          <w:rFonts w:ascii="Times New Roman;serif" w:hAnsi="Times New Roman;serif"/>
          <w:b w:val="false"/>
          <w:color w:val="000000"/>
          <w:sz w:val="24"/>
          <w:u w:val="single"/>
        </w:rPr>
        <w:t>Section 2.08</w:t>
      </w:r>
      <w:r>
        <w:rPr>
          <w:rFonts w:ascii="Times New Roman;serif" w:hAnsi="Times New Roman;serif"/>
          <w:b w:val="false"/>
          <w:color w:val="000000"/>
          <w:sz w:val="24"/>
        </w:rPr>
        <w:t xml:space="preserve">), or extend any date for the payment of principal, interest or Fees hereunder or reduce any Fees payable hereunder or extend the final maturity of the Borrower’s obligations hereunder, (C) amend, modify or waive any provision of </w:t>
      </w:r>
      <w:r>
        <w:rPr>
          <w:rFonts w:ascii="Times New Roman;serif" w:hAnsi="Times New Roman;serif"/>
          <w:b w:val="false"/>
          <w:color w:val="000000"/>
          <w:sz w:val="24"/>
          <w:u w:val="single"/>
        </w:rPr>
        <w:t>Section 2.17(b)</w:t>
      </w:r>
      <w:r>
        <w:rPr>
          <w:color w:val="000000"/>
        </w:rPr>
        <w:t xml:space="preserve"> </w:t>
      </w:r>
      <w:r>
        <w:rPr>
          <w:rFonts w:ascii="Times New Roman;serif" w:hAnsi="Times New Roman;serif"/>
          <w:b w:val="false"/>
          <w:color w:val="000000"/>
          <w:sz w:val="24"/>
        </w:rPr>
        <w:t xml:space="preserve">or (D) amend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8.08</w:t>
      </w:r>
      <w:r>
        <w:rPr>
          <w:color w:val="000000"/>
        </w:rPr>
        <w:t xml:space="preserve"> </w:t>
      </w:r>
      <w:r>
        <w:rPr>
          <w:rFonts w:ascii="Times New Roman;serif" w:hAnsi="Times New Roman;serif"/>
          <w:b w:val="false"/>
          <w:color w:val="000000"/>
          <w:sz w:val="24"/>
        </w:rPr>
        <w:t>or otherwise modify the pro rata payment provisions therein;</w:t>
      </w:r>
    </w:p>
    <w:p>
      <w:pPr>
        <w:pStyle w:val="TextBody"/>
        <w:bidi w:val="0"/>
        <w:spacing w:lineRule="auto" w:line="288" w:before="240" w:after="283"/>
        <w:ind w:left="0" w:right="0" w:firstLine="720"/>
        <w:jc w:val="left"/>
        <w:rPr/>
      </w:pPr>
      <w:bookmarkStart w:id="438" w:name="ia70514aebfc94fef89fde3d9caefddf3"/>
      <w:bookmarkEnd w:id="438"/>
      <w:r>
        <w:rPr>
          <w:rFonts w:ascii="Times New Roman;serif" w:hAnsi="Times New Roman;serif"/>
          <w:b w:val="false"/>
          <w:color w:val="000000"/>
          <w:sz w:val="24"/>
        </w:rPr>
        <w:t xml:space="preserve">(ii)    all of the Lenders (A) amend or modify any provision of this Agreement which provides for the unanimous consent or approval of the Lenders, (B) amend this </w:t>
      </w:r>
      <w:r>
        <w:rPr>
          <w:rFonts w:ascii="Times New Roman;serif" w:hAnsi="Times New Roman;serif"/>
          <w:b w:val="false"/>
          <w:color w:val="000000"/>
          <w:sz w:val="24"/>
          <w:u w:val="single"/>
        </w:rPr>
        <w:t>Section 10.08</w:t>
      </w:r>
      <w:r>
        <w:rPr>
          <w:color w:val="000000"/>
        </w:rPr>
        <w:t xml:space="preserve"> </w:t>
      </w:r>
      <w:r>
        <w:rPr>
          <w:rFonts w:ascii="Times New Roman;serif" w:hAnsi="Times New Roman;serif"/>
          <w:b w:val="false"/>
          <w:color w:val="000000"/>
          <w:sz w:val="24"/>
        </w:rPr>
        <w:t xml:space="preserve">that has the effect of changing the number or percentage of Lenders that must approve any modification, amendment, waiver or consent or modify the percentage of the Lenders required in the definition of Required Lenders, (C) alter the relative priority of the Liens in favor of the holders of Priority Lien Debt, (D) release all or substantially all of the Liens granted to the Collateral Trustee for the benefit of the Secured Parties hereunder or under any other Loan Document (except to the extent contemplated by </w:t>
      </w:r>
      <w:r>
        <w:rPr>
          <w:rFonts w:ascii="Times New Roman;serif" w:hAnsi="Times New Roman;serif"/>
          <w:b w:val="false"/>
          <w:color w:val="000000"/>
          <w:sz w:val="24"/>
          <w:u w:val="single"/>
        </w:rPr>
        <w:t>Section 6.09</w:t>
      </w:r>
      <w:r>
        <w:rPr>
          <w:color w:val="000000"/>
        </w:rPr>
        <w:t xml:space="preserve"> </w:t>
      </w:r>
      <w:r>
        <w:rPr>
          <w:rFonts w:ascii="Times New Roman;serif" w:hAnsi="Times New Roman;serif"/>
          <w:b w:val="false"/>
          <w:color w:val="000000"/>
          <w:sz w:val="24"/>
        </w:rPr>
        <w:t xml:space="preserve">on the date hereof or by the terms of the Collateral Documents), or release all or substantially all of the Guarantors (except to the extent contemplated by </w:t>
      </w:r>
      <w:r>
        <w:rPr>
          <w:rFonts w:ascii="Times New Roman;serif" w:hAnsi="Times New Roman;serif"/>
          <w:b w:val="false"/>
          <w:color w:val="000000"/>
          <w:sz w:val="24"/>
          <w:u w:val="single"/>
        </w:rPr>
        <w:t>Section 9.05</w:t>
      </w:r>
      <w:r>
        <w:rPr>
          <w:rFonts w:ascii="Times New Roman;serif" w:hAnsi="Times New Roman;serif"/>
          <w:b w:val="false"/>
          <w:color w:val="000000"/>
          <w:sz w:val="24"/>
        </w:rPr>
        <w:t>) or (E) contractually subordinate the payment priority of the Obligations;</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39" w:name="ie87ff4a32adf4e6a8ce0f33d0fbccd21"/>
      <w:bookmarkEnd w:id="439"/>
      <w:r>
        <w:rPr>
          <w:rFonts w:ascii="Times New Roman;serif" w:hAnsi="Times New Roman;serif"/>
          <w:b w:val="false"/>
          <w:color w:val="000000"/>
          <w:sz w:val="24"/>
        </w:rPr>
        <w:t xml:space="preserve">(iii)    [intentionally omitted]; </w:t>
      </w:r>
    </w:p>
    <w:p>
      <w:pPr>
        <w:pStyle w:val="TextBody"/>
        <w:bidi w:val="0"/>
        <w:spacing w:lineRule="auto" w:line="288" w:before="240" w:after="283"/>
        <w:ind w:left="0" w:right="0" w:firstLine="720"/>
        <w:jc w:val="left"/>
        <w:rPr/>
      </w:pPr>
      <w:bookmarkStart w:id="440" w:name="i4a32a03a4353476a87deadd7a98ecef3"/>
      <w:bookmarkEnd w:id="440"/>
      <w:r>
        <w:rPr>
          <w:rFonts w:ascii="Times New Roman;serif" w:hAnsi="Times New Roman;serif"/>
          <w:b w:val="false"/>
          <w:color w:val="000000"/>
          <w:sz w:val="24"/>
        </w:rPr>
        <w:t xml:space="preserve">(iv)    the Required Class Lenders of each Class that is being allocated a lesser repayment or prepayment as a result thereof (relating to the amount of repayment or prepayment being allocated to another Class), change the application of prepayments as among or between Classes under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(it being understood that if additional Loans under this Agreement consented to by the Required Lenders or additional Loans pursuant to </w:t>
      </w:r>
      <w:r>
        <w:rPr>
          <w:rFonts w:ascii="Times New Roman;serif" w:hAnsi="Times New Roman;serif"/>
          <w:b w:val="false"/>
          <w:color w:val="000000"/>
          <w:sz w:val="24"/>
          <w:u w:val="single"/>
        </w:rPr>
        <w:t>Section 2.27</w:t>
      </w:r>
      <w:r>
        <w:rPr>
          <w:color w:val="000000"/>
        </w:rPr>
        <w:t xml:space="preserve"> </w:t>
      </w:r>
      <w:r>
        <w:rPr>
          <w:rFonts w:ascii="Times New Roman;serif" w:hAnsi="Times New Roman;serif"/>
          <w:b w:val="false"/>
          <w:color w:val="000000"/>
          <w:sz w:val="24"/>
        </w:rPr>
        <w:t xml:space="preserve">are made, such new Loans may be included on a pro rata basis in the various prepayments required pursuant to </w:t>
      </w:r>
      <w:r>
        <w:rPr>
          <w:rFonts w:ascii="Times New Roman;serif" w:hAnsi="Times New Roman;serif"/>
          <w:b w:val="false"/>
          <w:color w:val="000000"/>
          <w:sz w:val="24"/>
          <w:u w:val="single"/>
        </w:rPr>
        <w:t>Section 2.12</w:t>
      </w:r>
      <w:r>
        <w:rPr>
          <w:rFonts w:ascii="Times New Roman;serif" w:hAnsi="Times New Roman;serif"/>
          <w:b w:val="false"/>
          <w:color w:val="000000"/>
          <w:sz w:val="24"/>
        </w:rPr>
        <w:t>); and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41" w:name="i44bbc61b5d1d46f3a11e114ae5d0718a"/>
      <w:bookmarkEnd w:id="441"/>
      <w:r>
        <w:rPr>
          <w:rFonts w:ascii="Times New Roman;serif" w:hAnsi="Times New Roman;serif"/>
          <w:b w:val="false"/>
          <w:color w:val="000000"/>
          <w:sz w:val="24"/>
        </w:rPr>
        <w:t>(v)    all Lenders under any Class, reduce the percentage specified in the definition of “Required Class Lenders” with respect to such Class;</w:t>
      </w:r>
    </w:p>
    <w:p>
      <w:pPr>
        <w:pStyle w:val="TextBody"/>
        <w:bidi w:val="0"/>
        <w:spacing w:lineRule="auto" w:line="288" w:before="240" w:after="283"/>
        <w:jc w:val="left"/>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any Collateral Document may be amended, supplemented or otherwise modified with the consent of the applicable Grantor and the Collateral Trustee (i) to add assets (or categories of assets) to the Collateral covered by such Collateral Document, as contemplated by the definition of “Cure Collateral” set forth in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 xml:space="preserve">hereof or (ii) to remove any asset or type or category of asset (including after-acquired assets of that type or category) from the Collateral covered by such Collateral Document to the extent the release thereof is permitted by the Loan Documents (including, for the avoidance of doubt, </w:t>
      </w:r>
      <w:r>
        <w:rPr>
          <w:rFonts w:ascii="Times New Roman;serif" w:hAnsi="Times New Roman;serif"/>
          <w:b w:val="false"/>
          <w:color w:val="000000"/>
          <w:sz w:val="24"/>
          <w:u w:val="single"/>
        </w:rPr>
        <w:t>Section 10.08(a)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any such amendment, supplement or modification would change the terms and conditions (including in connection with the addition or removal of any categories of assets) reflected in the </w:t>
      </w:r>
    </w:p>
    <w:p>
      <w:pPr>
        <w:pStyle w:val="TextBody"/>
        <w:bidi w:val="0"/>
        <w:spacing w:before="0" w:after="0"/>
        <w:jc w:val="center"/>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525145"/>
                <wp:effectExtent l="0" t="0" r="0" b="0"/>
                <wp:wrapNone/>
                <wp:docPr id="173" name="Frame17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 xml:space="preserve">corresponding Collateral Document, or as required by the definition of “Cure Collateral” set forth in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 xml:space="preserve">hereof or otherwise, then the reasonable consent of the Administrative Agent shall also be required.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42" w:name="icaedd90eb6524e048737aa7bbdec4b5f"/>
      <w:bookmarkEnd w:id="442"/>
      <w:r>
        <w:rPr>
          <w:rFonts w:ascii="Times New Roman;serif" w:hAnsi="Times New Roman;serif"/>
          <w:b w:val="false"/>
          <w:color w:val="000000"/>
          <w:sz w:val="24"/>
        </w:rPr>
        <w:t>(b)    No such amendment or modification shall adversely affect the rights and obligations of the Administrative Agent or the Collateral Trustee or any Issuing Lender hereunder without its prior written consent.</w:t>
      </w:r>
    </w:p>
    <w:p>
      <w:pPr>
        <w:pStyle w:val="TextBody"/>
        <w:bidi w:val="0"/>
        <w:spacing w:lineRule="auto" w:line="288" w:before="240" w:after="283"/>
        <w:ind w:left="0" w:right="0" w:firstLine="720"/>
        <w:jc w:val="left"/>
        <w:rPr/>
      </w:pPr>
      <w:bookmarkStart w:id="443" w:name="i82dc3a044b2d4851a883f3358723af27"/>
      <w:bookmarkEnd w:id="443"/>
      <w:r>
        <w:rPr>
          <w:rFonts w:ascii="Times New Roman;serif" w:hAnsi="Times New Roman;serif"/>
          <w:b w:val="false"/>
          <w:color w:val="000000"/>
          <w:sz w:val="24"/>
        </w:rPr>
        <w:t xml:space="preserve">(c)    No notice to or demand on the Borrower or any Guarantor shall entitle the Borrower or any Guarantor to any other or further notice or demand in the same, similar or other circumstances. Each assignee under </w:t>
      </w:r>
      <w:r>
        <w:rPr>
          <w:rFonts w:ascii="Times New Roman;serif" w:hAnsi="Times New Roman;serif"/>
          <w:b w:val="false"/>
          <w:color w:val="000000"/>
          <w:sz w:val="24"/>
          <w:u w:val="single"/>
        </w:rPr>
        <w:t>Section 10.02(b)</w:t>
      </w:r>
      <w:r>
        <w:rPr>
          <w:color w:val="000000"/>
        </w:rPr>
        <w:t xml:space="preserve"> </w:t>
      </w:r>
      <w:r>
        <w:rPr>
          <w:rFonts w:ascii="Times New Roman;serif" w:hAnsi="Times New Roman;serif"/>
          <w:b w:val="false"/>
          <w:color w:val="000000"/>
          <w:sz w:val="24"/>
        </w:rPr>
        <w:t>shall be bound by any amendment, modification, waiver, or consent authorized as provided herein, and any consent by a Lender shall bind any Person subsequently acquiring an interest on the Loans held by such Lender. No amendment to this Agreement shall be effective against the Borrower or any Guarantor unless signed by the Borrower or such Guarantor, as the case may be.</w:t>
      </w:r>
    </w:p>
    <w:p>
      <w:pPr>
        <w:pStyle w:val="TextBody"/>
        <w:bidi w:val="0"/>
        <w:spacing w:lineRule="auto" w:line="288" w:before="240" w:after="283"/>
        <w:ind w:left="0" w:right="0" w:firstLine="720"/>
        <w:jc w:val="left"/>
        <w:rPr/>
      </w:pPr>
      <w:bookmarkStart w:id="444" w:name="ida348e6129d24babb4998ad6aeac193b"/>
      <w:bookmarkEnd w:id="444"/>
      <w:r>
        <w:rPr>
          <w:rFonts w:ascii="Times New Roman;serif" w:hAnsi="Times New Roman;serif"/>
          <w:b w:val="false"/>
          <w:color w:val="000000"/>
          <w:sz w:val="24"/>
        </w:rPr>
        <w:t xml:space="preserve">(d)    Notwithstanding anything to the contrary contained in </w:t>
      </w:r>
      <w:r>
        <w:rPr>
          <w:rFonts w:ascii="Times New Roman;serif" w:hAnsi="Times New Roman;serif"/>
          <w:b w:val="false"/>
          <w:color w:val="000000"/>
          <w:sz w:val="24"/>
          <w:u w:val="single"/>
        </w:rPr>
        <w:t>Section 10.08(a)</w:t>
      </w:r>
      <w:r>
        <w:rPr>
          <w:rFonts w:ascii="Times New Roman;serif" w:hAnsi="Times New Roman;serif"/>
          <w:b w:val="false"/>
          <w:color w:val="000000"/>
          <w:sz w:val="24"/>
        </w:rPr>
        <w:t xml:space="preserve">, (i) in the event that the Borrower requests that this Agreement be modified or amended in a manner which would require the unanimous consent of all of the Lenders or the consent of all Lenders directly and adversely affected thereby and, in each case, such modification or amendment is agreed to by the Required Lenders, then the Borrower may replace any non-consenting Lender in accordance with an assignment pursuant to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(and such non-consenting Lender shall reasonably cooperate in effecting such assignment);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(x) such amendment or modification can be effected as a result of the assignment contemplated by such Section (together with all other such assignments required by the Borrower to be made pursuant to this </w:t>
      </w:r>
      <w:r>
        <w:rPr>
          <w:rFonts w:ascii="Times New Roman;serif" w:hAnsi="Times New Roman;serif"/>
          <w:b w:val="false"/>
          <w:color w:val="000000"/>
          <w:sz w:val="24"/>
          <w:u w:val="single"/>
        </w:rPr>
        <w:t>clause (i)</w:t>
      </w:r>
      <w:r>
        <w:rPr>
          <w:rFonts w:ascii="Times New Roman;serif" w:hAnsi="Times New Roman;serif"/>
          <w:b w:val="false"/>
          <w:color w:val="000000"/>
          <w:sz w:val="24"/>
        </w:rPr>
        <w:t xml:space="preserve">) and (y) such non-consenting Lender shall have received payment of an amount equal to the outstanding principal amount of its Loans, accrued interest thereon, accrued Fees and all other amounts due and payable to it under this Agreement from the applicable assignee or the Borrower; (ii) no Defaulting Lender shall have any right to approve or disapprove any amendment, waiver or consent hereunder, except that the Commitment of such Lender may not be increased or extended without the consent of such Lender (it being understood that the Commitment and the outstanding Loans or other extensions of credit held or deemed held by any Defaulting Lender shall be excluded for a vote of the Lenders hereunder requiring any consent of the Lenders), (iii) notwithstanding anything to the contrary herein, any modifications or amendments under any Extension Amendment entered in accordance with </w:t>
      </w:r>
      <w:r>
        <w:rPr>
          <w:rFonts w:ascii="Times New Roman;serif" w:hAnsi="Times New Roman;serif"/>
          <w:b w:val="false"/>
          <w:color w:val="000000"/>
          <w:sz w:val="24"/>
          <w:u w:val="single"/>
        </w:rPr>
        <w:t>Section 2.28</w:t>
      </w:r>
      <w:r>
        <w:rPr>
          <w:color w:val="000000"/>
        </w:rPr>
        <w:t xml:space="preserve"> </w:t>
      </w:r>
      <w:r>
        <w:rPr>
          <w:rFonts w:ascii="Times New Roman;serif" w:hAnsi="Times New Roman;serif"/>
          <w:b w:val="false"/>
          <w:color w:val="000000"/>
          <w:sz w:val="24"/>
        </w:rPr>
        <w:t>may be made without the consent of the Required Lenders and (iv) if the Administrative Agent and the Borrower shall have jointly identified an obvious error or any error or omission of a technical or immaterial nature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five (5) Business Days after written notice thereof to the Lenders.</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45" w:name="if166110460e94ca2945ff8e33f43fb97"/>
      <w:bookmarkEnd w:id="445"/>
      <w:r>
        <w:rPr>
          <w:rFonts w:ascii="Times New Roman;serif" w:hAnsi="Times New Roman;serif"/>
          <w:b w:val="false"/>
          <w:color w:val="000000"/>
          <w:sz w:val="24"/>
        </w:rPr>
        <w:t>(e)    [Intentionally Omitted].</w:t>
      </w:r>
    </w:p>
    <w:p>
      <w:pPr>
        <w:pStyle w:val="TextBody"/>
        <w:bidi w:val="0"/>
        <w:spacing w:before="0" w:after="0"/>
        <w:jc w:val="center"/>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525145"/>
                <wp:effectExtent l="0" t="0" r="0" b="0"/>
                <wp:wrapNone/>
                <wp:docPr id="174" name="Frame17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446" w:name="i5fc81f52a18a49b1b6705f6d48225b87"/>
      <w:bookmarkEnd w:id="446"/>
      <w:r>
        <w:rPr>
          <w:rFonts w:ascii="Times New Roman;serif" w:hAnsi="Times New Roman;serif"/>
          <w:b w:val="false"/>
          <w:color w:val="000000"/>
          <w:sz w:val="24"/>
        </w:rPr>
        <w:t xml:space="preserve">(f)    In addition, notwithstanding anything to the contrary contained in </w:t>
      </w:r>
      <w:r>
        <w:rPr>
          <w:rFonts w:ascii="Times New Roman;serif" w:hAnsi="Times New Roman;serif"/>
          <w:b w:val="false"/>
          <w:color w:val="000000"/>
          <w:sz w:val="24"/>
          <w:u w:val="single"/>
        </w:rPr>
        <w:t>Section 10.08(a)</w:t>
      </w:r>
      <w:r>
        <w:rPr>
          <w:rFonts w:ascii="Times New Roman;serif" w:hAnsi="Times New Roman;serif"/>
          <w:b w:val="false"/>
          <w:color w:val="000000"/>
          <w:sz w:val="24"/>
        </w:rPr>
        <w:t xml:space="preserve">, this Agreement and, as appropriate, the other Loan Documents, may be amended (or amended and restated) with the written consent of the Required Lenders, the Administrative Agent and the Borrower (a) to add one or more additional credit facilities to this Agreement (whether pursuant to </w:t>
      </w:r>
      <w:r>
        <w:rPr>
          <w:rFonts w:ascii="Times New Roman;serif" w:hAnsi="Times New Roman;serif"/>
          <w:b w:val="false"/>
          <w:color w:val="000000"/>
          <w:sz w:val="24"/>
          <w:u w:val="single"/>
        </w:rPr>
        <w:t>Section 2.27</w:t>
      </w:r>
      <w:r>
        <w:rPr>
          <w:color w:val="000000"/>
        </w:rPr>
        <w:t xml:space="preserve"> </w:t>
      </w:r>
      <w:r>
        <w:rPr>
          <w:rFonts w:ascii="Times New Roman;serif" w:hAnsi="Times New Roman;serif"/>
          <w:b w:val="false"/>
          <w:color w:val="000000"/>
          <w:sz w:val="24"/>
        </w:rPr>
        <w:t>or otherwise) and to permit the extensions of credit from time to time outstanding thereunder and the accrued interest and fees in respect thereof to share ratably in the benefits of this Agreement and the other Loan Documents with the Revolving Loans and the accrued interest and fees in respect thereof and (b) to include appropriately the Lenders holding such credit facilities in any determination of the Required Lenders.</w:t>
      </w:r>
    </w:p>
    <w:p>
      <w:pPr>
        <w:pStyle w:val="TextBody"/>
        <w:bidi w:val="0"/>
        <w:spacing w:lineRule="auto" w:line="288" w:before="240" w:after="283"/>
        <w:ind w:left="0" w:right="0" w:firstLine="720"/>
        <w:jc w:val="left"/>
        <w:rPr/>
      </w:pPr>
      <w:bookmarkStart w:id="447" w:name="i6cddc92c354347efaba474d9a42cfa63"/>
      <w:bookmarkEnd w:id="447"/>
      <w:r>
        <w:rPr>
          <w:rFonts w:ascii="Times New Roman;serif" w:hAnsi="Times New Roman;serif"/>
          <w:b w:val="false"/>
          <w:color w:val="000000"/>
          <w:sz w:val="24"/>
        </w:rPr>
        <w:t xml:space="preserve">(g)    In addition, notwithstanding anything to the contrary contained in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10.08(a)</w:t>
      </w:r>
      <w:r>
        <w:rPr>
          <w:rFonts w:ascii="Times New Roman;serif" w:hAnsi="Times New Roman;serif"/>
          <w:b w:val="false"/>
          <w:color w:val="000000"/>
          <w:sz w:val="24"/>
        </w:rPr>
        <w:t xml:space="preserve">, following the consummation of any Revolver Extension pursuant to </w:t>
      </w:r>
      <w:r>
        <w:rPr>
          <w:rFonts w:ascii="Times New Roman;serif" w:hAnsi="Times New Roman;serif"/>
          <w:b w:val="false"/>
          <w:color w:val="000000"/>
          <w:sz w:val="24"/>
          <w:u w:val="single"/>
        </w:rPr>
        <w:t>Section 2.28</w:t>
      </w:r>
      <w:r>
        <w:rPr>
          <w:rFonts w:ascii="Times New Roman;serif" w:hAnsi="Times New Roman;serif"/>
          <w:b w:val="false"/>
          <w:color w:val="000000"/>
          <w:sz w:val="24"/>
        </w:rPr>
        <w:t>, no modification, amendment or waiver (including, for the avoidance of doubt, any forbearance agreement entered into with respect to this Agreement) shall limit the right of any non-extending Lender (each, a “</w:t>
      </w:r>
      <w:r>
        <w:rPr>
          <w:rFonts w:ascii="Times New Roman;serif" w:hAnsi="Times New Roman;serif"/>
          <w:b w:val="false"/>
          <w:color w:val="000000"/>
          <w:sz w:val="24"/>
          <w:u w:val="single"/>
        </w:rPr>
        <w:t>Non-Extending Lender</w:t>
      </w:r>
      <w:r>
        <w:rPr>
          <w:color w:val="000000"/>
        </w:rPr>
        <w:t>”</w:t>
      </w:r>
      <w:r>
        <w:rPr>
          <w:rFonts w:ascii="Times New Roman;serif" w:hAnsi="Times New Roman;serif"/>
          <w:b w:val="false"/>
          <w:color w:val="000000"/>
          <w:sz w:val="24"/>
        </w:rPr>
        <w:t>) to enforce its right to receive payment of amounts due and owing to such Non-Extending Lender on the applicable Revolving Facility Maturity Date applicable to the Loans of such Non-Extending Lenders without the prior written consent of Non-Extending Lenders that would constitute the Required Class Lenders with respect to any affected Class of such Loans if the Non-Extending Lenders were the only Lenders hereunder at the time.</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48" w:name="i5d211c2e19bf495bbcd95719914876dc"/>
      <w:bookmarkEnd w:id="448"/>
      <w:r>
        <w:rPr>
          <w:rFonts w:ascii="Times New Roman;serif" w:hAnsi="Times New Roman;serif"/>
          <w:b w:val="false"/>
          <w:color w:val="000000"/>
          <w:sz w:val="24"/>
        </w:rPr>
        <w:t>(h)    It is understood that the amendment provisions of this Section 10.08 shall not apply to extensions of the Revolving Facility Maturity Date or the maturity date of any tranche of Revolving Commitments, in each case, made in accordance with Section 2.28.</w:t>
      </w:r>
    </w:p>
    <w:p>
      <w:pPr>
        <w:pStyle w:val="TextBody"/>
        <w:bidi w:val="0"/>
        <w:spacing w:lineRule="auto" w:line="288" w:before="240" w:after="283"/>
        <w:ind w:left="0" w:right="0" w:firstLine="720"/>
        <w:jc w:val="left"/>
        <w:rPr/>
      </w:pPr>
      <w:bookmarkStart w:id="449" w:name="i36cb343e0e404521b2177764a6697ce4"/>
      <w:bookmarkEnd w:id="449"/>
      <w:r>
        <w:rPr>
          <w:rFonts w:ascii="Times New Roman;serif" w:hAnsi="Times New Roman;serif"/>
          <w:b w:val="false"/>
          <w:color w:val="000000"/>
          <w:sz w:val="24"/>
        </w:rPr>
        <w:t>Section 10.09.    </w:t>
      </w:r>
      <w:r>
        <w:rPr>
          <w:rFonts w:ascii="Times New Roman;serif" w:hAnsi="Times New Roman;serif"/>
          <w:b w:val="false"/>
          <w:color w:val="000000"/>
          <w:sz w:val="24"/>
          <w:u w:val="single"/>
        </w:rPr>
        <w:t>Severability</w:t>
      </w:r>
      <w:r>
        <w:rPr>
          <w:rFonts w:ascii="Times New Roman;serif" w:hAnsi="Times New Roman;serif"/>
          <w:b w:val="false"/>
          <w:color w:val="000000"/>
          <w:sz w:val="24"/>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lineRule="auto" w:line="288" w:before="240" w:after="283"/>
        <w:ind w:left="0" w:right="0" w:firstLine="720"/>
        <w:jc w:val="left"/>
        <w:rPr/>
      </w:pPr>
      <w:bookmarkStart w:id="450" w:name="i9fec8fa8e94f4c90b5a5aa25f4cc8df8"/>
      <w:bookmarkEnd w:id="450"/>
      <w:r>
        <w:rPr>
          <w:rFonts w:ascii="Times New Roman;serif" w:hAnsi="Times New Roman;serif"/>
          <w:b w:val="false"/>
          <w:color w:val="000000"/>
          <w:sz w:val="24"/>
        </w:rPr>
        <w:t>Section 10.10.    </w:t>
      </w:r>
      <w:r>
        <w:rPr>
          <w:rFonts w:ascii="Times New Roman;serif" w:hAnsi="Times New Roman;serif"/>
          <w:b w:val="false"/>
          <w:color w:val="000000"/>
          <w:sz w:val="24"/>
          <w:u w:val="single"/>
        </w:rPr>
        <w:t>Headings</w:t>
      </w:r>
      <w:r>
        <w:rPr>
          <w:rFonts w:ascii="Times New Roman;serif" w:hAnsi="Times New Roman;serif"/>
          <w:b w:val="false"/>
          <w:color w:val="000000"/>
          <w:sz w:val="24"/>
        </w:rPr>
        <w:t>. Section headings used herein are for convenience only and are not to affect the construction of or be taken into consideration in interpreting this Agreement.</w:t>
      </w:r>
    </w:p>
    <w:p>
      <w:pPr>
        <w:pStyle w:val="TextBody"/>
        <w:bidi w:val="0"/>
        <w:spacing w:lineRule="auto" w:line="288" w:before="240" w:after="283"/>
        <w:ind w:left="0" w:right="0" w:firstLine="720"/>
        <w:jc w:val="left"/>
        <w:rPr/>
      </w:pPr>
      <w:bookmarkStart w:id="451" w:name="i2ea8aaebdad24fcc83eddd851f4dcfcf"/>
      <w:bookmarkEnd w:id="451"/>
      <w:r>
        <w:rPr>
          <w:rFonts w:ascii="Times New Roman;serif" w:hAnsi="Times New Roman;serif"/>
          <w:b w:val="false"/>
          <w:color w:val="000000"/>
          <w:sz w:val="24"/>
        </w:rPr>
        <w:t>Section 10.11.    </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Lender or any Lender may have had notice or knowledge of any Event of Default or incorrect representation or warranty at the time any credit is extended hereunder. The provisions of </w:t>
      </w:r>
      <w:r>
        <w:rPr>
          <w:rFonts w:ascii="Times New Roman;serif" w:hAnsi="Times New Roman;serif"/>
          <w:b w:val="false"/>
          <w:color w:val="000000"/>
          <w:sz w:val="24"/>
          <w:u w:val="single"/>
        </w:rPr>
        <w:t>Sections 2.14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10.04</w:t>
      </w:r>
      <w:r>
        <w:rPr>
          <w:color w:val="000000"/>
        </w:rPr>
        <w:t xml:space="preserve"> </w:t>
      </w:r>
      <w:r>
        <w:rPr>
          <w:rFonts w:ascii="Times New Roman;serif" w:hAnsi="Times New Roman;serif"/>
          <w:b w:val="false"/>
          <w:color w:val="000000"/>
          <w:sz w:val="24"/>
        </w:rPr>
        <w:t>and Section 8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pStyle w:val="TextBody"/>
        <w:bidi w:val="0"/>
        <w:spacing w:before="0" w:after="0"/>
        <w:jc w:val="center"/>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525145"/>
                <wp:effectExtent l="0" t="0" r="0" b="0"/>
                <wp:wrapNone/>
                <wp:docPr id="175" name="Frame17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452" w:name="i7e2086a310c94ea2adb9489276e09313"/>
      <w:bookmarkEnd w:id="452"/>
      <w:r>
        <w:rPr>
          <w:rFonts w:ascii="Times New Roman;serif" w:hAnsi="Times New Roman;serif"/>
          <w:b w:val="false"/>
          <w:color w:val="000000"/>
          <w:sz w:val="24"/>
        </w:rPr>
        <w:t>Section 10.12.    </w:t>
      </w:r>
      <w:r>
        <w:rPr>
          <w:rFonts w:ascii="Times New Roman;serif" w:hAnsi="Times New Roman;serif"/>
          <w:b w:val="false"/>
          <w:color w:val="000000"/>
          <w:sz w:val="24"/>
          <w:u w:val="single"/>
        </w:rPr>
        <w:t>Execution in Counterparts; Integration; Effectiveness</w:t>
      </w:r>
      <w:r>
        <w:rPr>
          <w:rFonts w:ascii="Times New Roman;serif" w:hAnsi="Times New Roman;serif"/>
          <w:b w:val="false"/>
          <w:color w:val="000000"/>
          <w:sz w:val="24"/>
        </w:rPr>
        <w:t xml:space="preserve">. This Agreement may be executed in counterparts (and by different parties hereto on different counterparts), each of which shall constitute an original, but all of which when taken together shall constitute a single contract. This Agreement constitutes the entire contract among the parties relating to the subject matter hereof and supersedes any and all previous agreements and understandings, oral or written, relating to the subject matter hereof. Except as provided in </w:t>
      </w:r>
      <w:r>
        <w:rPr>
          <w:rFonts w:ascii="Times New Roman;serif" w:hAnsi="Times New Roman;serif"/>
          <w:b w:val="false"/>
          <w:color w:val="000000"/>
          <w:sz w:val="24"/>
          <w:u w:val="single"/>
        </w:rPr>
        <w:t>Section 4.01</w:t>
      </w:r>
      <w:r>
        <w:rPr>
          <w:rFonts w:ascii="Times New Roman;serif" w:hAnsi="Times New Roman;serif"/>
          <w:b w:val="false"/>
          <w:color w:val="000000"/>
          <w:sz w:val="24"/>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electronic .pdf copy shall be effective as delivery of a manually executed counterpart of this Agreement.</w:t>
      </w:r>
    </w:p>
    <w:p>
      <w:pPr>
        <w:pStyle w:val="TextBody"/>
        <w:bidi w:val="0"/>
        <w:spacing w:lineRule="auto" w:line="288" w:before="240" w:after="283"/>
        <w:ind w:left="0" w:right="0" w:firstLine="720"/>
        <w:jc w:val="left"/>
        <w:rPr/>
      </w:pPr>
      <w:bookmarkStart w:id="453" w:name="ibb3590236c5b4e26a5445772904460b6"/>
      <w:bookmarkEnd w:id="453"/>
      <w:r>
        <w:rPr>
          <w:rFonts w:ascii="Times New Roman;serif" w:hAnsi="Times New Roman;serif"/>
          <w:b w:val="false"/>
          <w:color w:val="000000"/>
          <w:sz w:val="24"/>
        </w:rPr>
        <w:t>Section 10.13.    </w:t>
      </w:r>
      <w:r>
        <w:rPr>
          <w:rFonts w:ascii="Times New Roman;serif" w:hAnsi="Times New Roman;serif"/>
          <w:b w:val="false"/>
          <w:color w:val="000000"/>
          <w:sz w:val="24"/>
          <w:u w:val="single"/>
        </w:rPr>
        <w:t>USA Patriot Act; Beneficial Ownership Regulation</w:t>
      </w:r>
      <w:r>
        <w:rPr>
          <w:rFonts w:ascii="Times New Roman;serif" w:hAnsi="Times New Roman;serif"/>
          <w:b w:val="false"/>
          <w:color w:val="000000"/>
          <w:sz w:val="24"/>
        </w:rPr>
        <w:t>. Each Lender that is subject to the requirements of the Patriot Act and the requirements of 31 C.F.R. § 1010.230 (the “</w:t>
      </w:r>
      <w:r>
        <w:rPr>
          <w:rFonts w:ascii="Times New Roman;serif" w:hAnsi="Times New Roman;serif"/>
          <w:b w:val="false"/>
          <w:color w:val="000000"/>
          <w:sz w:val="24"/>
          <w:u w:val="single"/>
        </w:rPr>
        <w:t>Beneficial Ownership Regulation</w:t>
      </w:r>
      <w:r>
        <w:rPr>
          <w:color w:val="000000"/>
        </w:rPr>
        <w:t xml:space="preserve">” </w:t>
      </w:r>
      <w:r>
        <w:rPr>
          <w:rFonts w:ascii="Times New Roman;serif" w:hAnsi="Times New Roman;serif"/>
          <w:b w:val="false"/>
          <w:color w:val="000000"/>
          <w:sz w:val="24"/>
        </w:rPr>
        <w:t>) hereby notifies the Borrower and each Guarantor that pursuant to the requirements of the Act and the Beneficial Ownership Regulation, it is required to obtain, verify and record information that identifies the Borrower and each Guarantor, which information includes the name and address of the Borrower and each Guarantor and other information that will allow such Lender to identify the Borrower and each Guarantor in accordance with the Patriot Act and the Beneficial Ownership Regulation (after giving effect to any applicable exclusions under the Beneficial Ownership Regulation, including, without limitation, 31 C.F.R. §1010.230(e)(2)). This notice is given in accordance with the requirements of the Patriot Act and the Beneficial Ownership Regulation and is effective for each Lender subject thereto.</w:t>
      </w:r>
    </w:p>
    <w:p>
      <w:pPr>
        <w:pStyle w:val="TextBody"/>
        <w:bidi w:val="0"/>
        <w:spacing w:lineRule="auto" w:line="288" w:before="240" w:after="283"/>
        <w:ind w:left="0" w:right="0" w:firstLine="720"/>
        <w:jc w:val="left"/>
        <w:rPr/>
      </w:pPr>
      <w:bookmarkStart w:id="454" w:name="icdb338ad376e4f2ea5c5081f719b7251"/>
      <w:bookmarkEnd w:id="454"/>
      <w:r>
        <w:rPr>
          <w:rFonts w:ascii="Times New Roman;serif" w:hAnsi="Times New Roman;serif"/>
          <w:b w:val="false"/>
          <w:color w:val="000000"/>
          <w:sz w:val="24"/>
        </w:rPr>
        <w:t>Section 10.14.    </w:t>
      </w:r>
      <w:r>
        <w:rPr>
          <w:rFonts w:ascii="Times New Roman;serif" w:hAnsi="Times New Roman;serif"/>
          <w:b w:val="false"/>
          <w:color w:val="000000"/>
          <w:sz w:val="24"/>
          <w:u w:val="single"/>
        </w:rPr>
        <w:t>New Value</w:t>
      </w:r>
      <w:r>
        <w:rPr>
          <w:rFonts w:ascii="Times New Roman;serif" w:hAnsi="Times New Roman;serif"/>
          <w:b w:val="false"/>
          <w:color w:val="000000"/>
          <w:sz w:val="24"/>
        </w:rPr>
        <w:t>. It is the intention of the parties hereto that any provision of Collateral by the Borrower as a condition to, or in connection with, the making of any Loan or the issuance of any Letter of Credit hereunder, shall be made as a contemporaneous exchange for new value given by the Lenders or Issuing Lenders, as the case may be, to the Borrower.</w:t>
      </w:r>
    </w:p>
    <w:p>
      <w:pPr>
        <w:pStyle w:val="TextBody"/>
        <w:bidi w:val="0"/>
        <w:spacing w:lineRule="auto" w:line="288" w:before="240" w:after="283"/>
        <w:ind w:left="0" w:right="0" w:firstLine="720"/>
        <w:jc w:val="left"/>
        <w:rPr/>
      </w:pPr>
      <w:bookmarkStart w:id="455" w:name="i75e34c0539c0435a9ec208f865bde434"/>
      <w:bookmarkEnd w:id="455"/>
      <w:r>
        <w:rPr>
          <w:rFonts w:ascii="Times New Roman;serif" w:hAnsi="Times New Roman;serif"/>
          <w:b w:val="false"/>
          <w:color w:val="000000"/>
          <w:sz w:val="24"/>
        </w:rPr>
        <w:t>Section 10.15.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PARTY HERETO HEREBY WAIVES, TO THE FULLEST EXTENT PERMITTED BY APPLICABLE LAW, ANY RIGHT IT MAY HAVE TO A TRIAL BY JURY IN ANY LEGAL PROCEEDING DIRECTLY OR INDIRECTLY ARISING OUT OF OR RELATING TO ANY OF THE LOAN DOCUMENTS OR THE TRANSACTIONS CONTEMPLATED THEREBY (WHETHER BASED ON CONTRACT, TORT OR ANY OTHER THEORY AND WHETHER AT LAW OR IN EQUITY).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10.15.</w:t>
      </w:r>
    </w:p>
    <w:p>
      <w:pPr>
        <w:pStyle w:val="TextBody"/>
        <w:bidi w:val="0"/>
        <w:spacing w:before="0" w:after="0"/>
        <w:jc w:val="center"/>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525145"/>
                <wp:effectExtent l="0" t="0" r="0" b="0"/>
                <wp:wrapNone/>
                <wp:docPr id="176" name="Frame17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456" w:name="ia9131ab57b774bbe90f4e1e22686a65b"/>
      <w:bookmarkEnd w:id="456"/>
      <w:r>
        <w:rPr>
          <w:rFonts w:ascii="Times New Roman;serif" w:hAnsi="Times New Roman;serif"/>
          <w:b w:val="false"/>
          <w:color w:val="000000"/>
          <w:sz w:val="24"/>
        </w:rPr>
        <w:t>Section 10.16.    </w:t>
      </w:r>
      <w:r>
        <w:rPr>
          <w:rFonts w:ascii="Times New Roman;serif" w:hAnsi="Times New Roman;serif"/>
          <w:b w:val="false"/>
          <w:color w:val="000000"/>
          <w:sz w:val="24"/>
          <w:u w:val="single"/>
        </w:rPr>
        <w:t>No Fiduciary Duty, etc</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57" w:name="i362171addeb94339ad8e799091b3df78"/>
      <w:bookmarkEnd w:id="457"/>
      <w:r>
        <w:rPr>
          <w:rFonts w:ascii="Times New Roman;serif" w:hAnsi="Times New Roman;serif"/>
          <w:b w:val="false"/>
          <w:color w:val="000000"/>
          <w:sz w:val="24"/>
        </w:rPr>
        <w:t>(a)    The Borrower acknowledges and agrees, and acknowledges its Subsidiaries’ understanding, that no Lender Party will by virtue of entering into the Loan Documents have any obligations except those obligations expressly set forth herein and in the other Loan Documents and each Lender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Lender Party based on an alleged breach of fiduciary duty by such Lender Party in connection with this Agreement and the transactions contemplated hereby. Additionally, the Borrower acknowledges and agrees that no Lender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Lender Parties shall have no responsibility or liability to the Borrower with respect thereto.</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58" w:name="i6760e114a5bb48a7a9bd7c9ca01079e9"/>
      <w:bookmarkEnd w:id="458"/>
      <w:r>
        <w:rPr>
          <w:rFonts w:ascii="Times New Roman;serif" w:hAnsi="Times New Roman;serif"/>
          <w:b w:val="false"/>
          <w:color w:val="000000"/>
          <w:sz w:val="24"/>
        </w:rPr>
        <w:t>(b)    The Borrower further acknowledges and agrees, and acknowledges its Subsidiaries’ understanding, that each Lender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Lender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Lender Party or any of its customers, all rights in respect of such securities and financial instruments, including any voting rights, will be exercised by the holder of the rights, in its sole discretion.</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59" w:name="i3abd3dd3983e443893fe7b679143041e"/>
      <w:bookmarkEnd w:id="459"/>
      <w:r>
        <w:rPr>
          <w:rFonts w:ascii="Times New Roman;serif" w:hAnsi="Times New Roman;serif"/>
          <w:b w:val="false"/>
          <w:color w:val="000000"/>
          <w:sz w:val="24"/>
        </w:rPr>
        <w:t>(c)    In addition, the Borrower acknowledges and agrees, and acknowledges its Subsidiaries’ understanding, that each Lender Party and its affiliates may be providing debt financing, equity capital or other services (including financial advisory services) to other companies in respect of which the Borrower may have conflicting interests regarding the transactions described herein and otherwise. No Lender Party will use confidential information obtained from the Borrower by virtue of the transactions contemplated by the Loan Documents or its other relationships with the Borrower in connection with the performance by such Lender Party of services for other companies, and no Lender Party will furnish any such information to other companies. The Borrower also acknowledges that no Lender Party has any obligation to use in connection with the transactions contemplated by the Loan Documents, or to furnish to the Borrower, confidential information obtained from other companies.</w:t>
      </w:r>
    </w:p>
    <w:p>
      <w:pPr>
        <w:pStyle w:val="TextBody"/>
        <w:bidi w:val="0"/>
        <w:spacing w:lineRule="auto" w:line="288" w:before="240" w:after="283"/>
        <w:ind w:left="0" w:right="0" w:firstLine="720"/>
        <w:jc w:val="left"/>
        <w:rPr/>
      </w:pPr>
      <w:bookmarkStart w:id="460" w:name="id1018c0a221d4eb8aaf0bb29f33cb0a7"/>
      <w:bookmarkEnd w:id="460"/>
      <w:r>
        <w:rPr>
          <w:rFonts w:ascii="Times New Roman;serif" w:hAnsi="Times New Roman;serif"/>
          <w:b w:val="false"/>
          <w:color w:val="000000"/>
          <w:sz w:val="24"/>
        </w:rPr>
        <w:t>Section 10.17.    [</w:t>
      </w:r>
      <w:r>
        <w:rPr>
          <w:rFonts w:ascii="Times New Roman;serif" w:hAnsi="Times New Roman;serif"/>
          <w:b w:val="false"/>
          <w:color w:val="000000"/>
          <w:sz w:val="24"/>
          <w:u w:val="single"/>
        </w:rPr>
        <w:t>Intentionally Omitted</w:t>
      </w:r>
      <w:r>
        <w:rPr>
          <w:rFonts w:ascii="Times New Roman;serif" w:hAnsi="Times New Roman;serif"/>
          <w:b w:val="false"/>
          <w:color w:val="000000"/>
          <w:sz w:val="24"/>
        </w:rPr>
        <w:t>].</w:t>
      </w:r>
    </w:p>
    <w:p>
      <w:pPr>
        <w:pStyle w:val="TextBody"/>
        <w:bidi w:val="0"/>
        <w:spacing w:before="0" w:after="0"/>
        <w:jc w:val="center"/>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525145"/>
                <wp:effectExtent l="0" t="0" r="0" b="0"/>
                <wp:wrapNone/>
                <wp:docPr id="177" name="Frame17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bookmarkStart w:id="461" w:name="idfec293398df4e59b8a1149f8a017b96"/>
      <w:bookmarkEnd w:id="461"/>
      <w:r>
        <w:rPr>
          <w:rFonts w:ascii="Times New Roman;serif" w:hAnsi="Times New Roman;serif"/>
          <w:b w:val="false"/>
          <w:color w:val="000000"/>
          <w:sz w:val="24"/>
        </w:rPr>
        <w:t>Section 10.18.    </w:t>
      </w:r>
      <w:r>
        <w:rPr>
          <w:rFonts w:ascii="Times New Roman;serif" w:hAnsi="Times New Roman;serif"/>
          <w:b w:val="false"/>
          <w:color w:val="000000"/>
          <w:sz w:val="24"/>
          <w:u w:val="single"/>
        </w:rPr>
        <w:t>Collateral Trust Agreement</w:t>
      </w:r>
      <w:r>
        <w:rPr>
          <w:rFonts w:ascii="Times New Roman;serif" w:hAnsi="Times New Roman;serif"/>
          <w:b w:val="false"/>
          <w:color w:val="000000"/>
          <w:sz w:val="24"/>
        </w:rPr>
        <w:t>. Notwithstanding anything to the contrary contained in this Agreement, so long as the Collateral Trust Agreement shall remain outstanding, the rights granted to the Secured Parties hereunder and under the other Loan Documents, the lien and security interest granted to the Collateral Trustee pursuant to this Agreement or any other Loan Document and the exercise of any right or remedy by the Administrative Agent and/or the Collateral Trustee hereunder or under any other Loan Document shall be subject to the terms and conditions of the Collateral Trust Agreement. In the event of any conflict between the terms of this Agreement, any other Loan Document and the Collateral Trust Agreement, the terms of the Collateral Trust Agreement shall govern and control with respect to any right or remedy, and no right, power or remedy granted to the Administrative Agent and/or the Collateral Trustee hereunder or under any other Loan Document shall be exercised by the Administrative Agent, and/or the Collateral Trustee and no direction shall be given by the Administrative Agent and/or the Collateral Trustee, in contravention of the Collateral Trust Agreement.</w:t>
      </w:r>
    </w:p>
    <w:p>
      <w:pPr>
        <w:pStyle w:val="TextBody"/>
        <w:bidi w:val="0"/>
        <w:spacing w:lineRule="auto" w:line="288" w:before="240" w:after="283"/>
        <w:ind w:left="0" w:right="0" w:firstLine="720"/>
        <w:jc w:val="left"/>
        <w:rPr/>
      </w:pPr>
      <w:bookmarkStart w:id="462" w:name="i14ec41210aa044c1ac214e9b4986ba00"/>
      <w:bookmarkEnd w:id="462"/>
      <w:r>
        <w:rPr>
          <w:rFonts w:ascii="Times New Roman;serif" w:hAnsi="Times New Roman;serif"/>
          <w:b w:val="false"/>
          <w:color w:val="000000"/>
          <w:sz w:val="24"/>
        </w:rPr>
        <w:t>Section 10.19.    </w:t>
      </w:r>
      <w:r>
        <w:rPr>
          <w:rFonts w:ascii="Times New Roman;serif" w:hAnsi="Times New Roman;serif"/>
          <w:b w:val="false"/>
          <w:color w:val="000000"/>
          <w:sz w:val="24"/>
          <w:u w:val="single"/>
        </w:rPr>
        <w:t>Acknowledgement and Consent to Bail-In of Affected Financial Institutions</w:t>
      </w:r>
      <w:r>
        <w:rPr>
          <w:rFonts w:ascii="Times New Roman;serif" w:hAnsi="Times New Roman;serif"/>
          <w:b w:val="false"/>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63" w:name="i298c0ee6323e4768b1fdf05874e73629"/>
      <w:bookmarkEnd w:id="463"/>
      <w:r>
        <w:rPr>
          <w:rFonts w:ascii="Times New Roman;serif" w:hAnsi="Times New Roman;serif"/>
          <w:b w:val="false"/>
          <w:color w:val="000000"/>
          <w:sz w:val="24"/>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64" w:name="i6a859280e2464187a2daec69d3f7ff61"/>
      <w:bookmarkEnd w:id="464"/>
      <w:r>
        <w:rPr>
          <w:rFonts w:ascii="Times New Roman;serif" w:hAnsi="Times New Roman;serif"/>
          <w:b w:val="false"/>
          <w:color w:val="000000"/>
          <w:sz w:val="24"/>
        </w:rPr>
        <w:t>(b)    the effects of any Bail-in Action on any such liability, including, if applicable:</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65" w:name="i3e9552b18e0849e58e08ff8a82911b26"/>
      <w:bookmarkEnd w:id="465"/>
      <w:r>
        <w:rPr>
          <w:rFonts w:ascii="Times New Roman;serif" w:hAnsi="Times New Roman;serif"/>
          <w:b w:val="false"/>
          <w:color w:val="000000"/>
          <w:sz w:val="24"/>
        </w:rPr>
        <w:t>(i)    a reduction in full or in part or cancellation of any such liability;</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66" w:name="if028ce14f45544e7a23008f4e97a6e9c"/>
      <w:bookmarkEnd w:id="466"/>
      <w:r>
        <w:rPr>
          <w:rFonts w:ascii="Times New Roman;serif" w:hAnsi="Times New Roman;serif"/>
          <w:b w:val="false"/>
          <w:color w:val="000000"/>
          <w:sz w:val="24"/>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67" w:name="i8f2866b82d6f437c89a85d4d38294759"/>
      <w:bookmarkEnd w:id="467"/>
      <w:r>
        <w:rPr>
          <w:rFonts w:ascii="Times New Roman;serif" w:hAnsi="Times New Roman;serif"/>
          <w:b w:val="false"/>
          <w:color w:val="000000"/>
          <w:sz w:val="24"/>
        </w:rPr>
        <w:t>(iii)    the variation of the terms of such liability in connection with the exercise of the write-down and conversion powers of any applicable Resolution Authority.</w:t>
      </w:r>
    </w:p>
    <w:p>
      <w:pPr>
        <w:pStyle w:val="TextBody"/>
        <w:bidi w:val="0"/>
        <w:spacing w:lineRule="auto" w:line="288" w:before="240" w:after="283"/>
        <w:ind w:left="0" w:right="0" w:firstLine="720"/>
        <w:jc w:val="left"/>
        <w:rPr/>
      </w:pPr>
      <w:bookmarkStart w:id="468" w:name="if922b5029a6d4486ab9bab3fef8dbf5d"/>
      <w:bookmarkEnd w:id="468"/>
      <w:r>
        <w:rPr>
          <w:rFonts w:ascii="Times New Roman;serif" w:hAnsi="Times New Roman;serif"/>
          <w:b w:val="false"/>
          <w:color w:val="000000"/>
          <w:sz w:val="24"/>
        </w:rPr>
        <w:t>Section 10.20.    </w:t>
      </w:r>
      <w:r>
        <w:rPr>
          <w:rFonts w:ascii="Times New Roman;serif" w:hAnsi="Times New Roman;serif"/>
          <w:b w:val="false"/>
          <w:color w:val="000000"/>
          <w:sz w:val="24"/>
          <w:u w:val="single"/>
        </w:rPr>
        <w:t>Certain ERISA Matters</w:t>
      </w:r>
      <w:r>
        <w:rPr>
          <w:rFonts w:ascii="Times New Roman;serif" w:hAnsi="Times New Roman;serif"/>
          <w:b w:val="false"/>
          <w:color w:val="000000"/>
          <w:sz w:val="24"/>
        </w:rPr>
        <w: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69" w:name="i44a98798142847e3b19336c03d11dbe6"/>
      <w:bookmarkEnd w:id="469"/>
      <w:r>
        <w:rPr>
          <w:rFonts w:ascii="Times New Roman;serif" w:hAnsi="Times New Roman;serif"/>
          <w:b w:val="false"/>
          <w:color w:val="000000"/>
          <w:sz w:val="24"/>
        </w:rPr>
        <w:t>(a)    Each Lender (x) represents and warrants, as of the date such Person became a Lender party hereto, to, and (y) covenants, from the date such Person became a Lender party hereto to the date such Person ceases being a Lender party hereto, for the benefit of, each party to this Agreement, the Arranger Parties and their respective Affiliates, that at least one of the following is and will be true:</w:t>
      </w:r>
    </w:p>
    <w:p>
      <w:pPr>
        <w:pStyle w:val="TextBody"/>
        <w:bidi w:val="0"/>
        <w:spacing w:before="0" w:after="0"/>
        <w:jc w:val="center"/>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525145"/>
                <wp:effectExtent l="0" t="0" r="0" b="0"/>
                <wp:wrapNone/>
                <wp:docPr id="178" name="Frame17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70" w:name="i3eeee8eae6b749b4bd4220fdf2e6c7ec"/>
      <w:bookmarkEnd w:id="470"/>
      <w:r>
        <w:rPr>
          <w:rFonts w:ascii="Times New Roman;serif" w:hAnsi="Times New Roman;serif"/>
          <w:b w:val="false"/>
          <w:color w:val="000000"/>
          <w:sz w:val="24"/>
        </w:rPr>
        <w:t>(i)    such Lender is not using “plan assets” (within the meaning of Section 3(42) of ERISA or otherwise) of one or more Benefit Plans with respect to such Lender’s entrance into, participation in, administration of and performance of the Loans or this Agreement,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71" w:name="i306e04f1e9494000a1c5ef72b216f526"/>
      <w:bookmarkEnd w:id="471"/>
      <w:r>
        <w:rPr>
          <w:rFonts w:ascii="Times New Roman;serif" w:hAnsi="Times New Roman;serif"/>
          <w:b w:val="false"/>
          <w:color w:val="000000"/>
          <w:sz w:val="24"/>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and this Agreement,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72" w:name="i2d8772e9efc84d0c831e9ac2ad94a79d"/>
      <w:bookmarkEnd w:id="472"/>
      <w:r>
        <w:rPr>
          <w:rFonts w:ascii="Times New Roman;serif" w:hAnsi="Times New Roman;serif"/>
          <w:b w:val="false"/>
          <w:color w:val="000000"/>
          <w:sz w:val="24"/>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and this Agreement, (C) the entrance into, participation in, administration of and performance of the Loans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and this Agreement.</w:t>
      </w:r>
    </w:p>
    <w:p>
      <w:pPr>
        <w:pStyle w:val="TextBody"/>
        <w:bidi w:val="0"/>
        <w:spacing w:lineRule="auto" w:line="288" w:before="240" w:after="283"/>
        <w:ind w:left="0" w:right="0" w:firstLine="720"/>
        <w:jc w:val="left"/>
        <w:rPr>
          <w:rFonts w:ascii="Times New Roman;serif" w:hAnsi="Times New Roman;serif"/>
          <w:b w:val="false"/>
          <w:color w:val="000000"/>
          <w:sz w:val="24"/>
        </w:rPr>
      </w:pPr>
      <w:bookmarkStart w:id="473" w:name="i9f1fce4cc05f489782acfc0305fbe4d7"/>
      <w:bookmarkEnd w:id="473"/>
      <w:r>
        <w:rPr>
          <w:rFonts w:ascii="Times New Roman;serif" w:hAnsi="Times New Roman;serif"/>
          <w:b w:val="false"/>
          <w:color w:val="000000"/>
          <w:sz w:val="24"/>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each party to this Agreement, the Arranger Parties and their respective Affiliates, that the Administrative Agent is not a fiduciary with respect to the assets of such Lender involved in such Lender’s entrance into, participation in, administration of and performance of the Loans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88" w:before="240" w:after="283"/>
        <w:ind w:left="0" w:right="0" w:firstLine="720"/>
        <w:jc w:val="left"/>
        <w:rPr/>
      </w:pPr>
      <w:bookmarkStart w:id="474" w:name="ia50e8aa1eb1545ef8d76379a3d7650bd"/>
      <w:bookmarkEnd w:id="474"/>
      <w:r>
        <w:rPr>
          <w:rFonts w:ascii="Times New Roman;serif" w:hAnsi="Times New Roman;serif"/>
          <w:b w:val="false"/>
          <w:color w:val="000000"/>
          <w:sz w:val="24"/>
        </w:rPr>
        <w:t>Section 10.21.    </w:t>
      </w:r>
      <w:r>
        <w:rPr>
          <w:rFonts w:ascii="Times New Roman;serif" w:hAnsi="Times New Roman;serif"/>
          <w:b w:val="false"/>
          <w:color w:val="000000"/>
          <w:sz w:val="24"/>
          <w:u w:val="single"/>
        </w:rPr>
        <w:t>Sustainability Linked Loan</w:t>
      </w:r>
      <w:r>
        <w:rPr>
          <w:rFonts w:ascii="Times New Roman;serif" w:hAnsi="Times New Roman;serif"/>
          <w:b w:val="false"/>
          <w:color w:val="000000"/>
          <w:sz w:val="24"/>
        </w:rPr>
        <w:t xml:space="preserve">. At any time, prior to the Termination Date, the Borrower shall have the option, in its sole discretion and by written notice to the Administrative Agent, to designate the Revolving Facility and the Loans hereunder as a sustainability-linked facility without further consent of the Lenders. Upon the Borrower’s designation, the Borrower may appoint one or more sustainability or ESG (environmental, social and governance) agents or arrangers. In connection with such designations, the Borrower may elect to provide periodic reports and information in addition to those required pursuant to </w:t>
      </w:r>
      <w:r>
        <w:rPr>
          <w:rFonts w:ascii="Times New Roman;serif" w:hAnsi="Times New Roman;serif"/>
          <w:b w:val="false"/>
          <w:color w:val="000000"/>
          <w:sz w:val="24"/>
          <w:u w:val="single"/>
        </w:rPr>
        <w:t xml:space="preserve">Section </w:t>
      </w:r>
    </w:p>
    <w:p>
      <w:pPr>
        <w:pStyle w:val="TextBody"/>
        <w:bidi w:val="0"/>
        <w:spacing w:before="0" w:after="0"/>
        <w:jc w:val="center"/>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525145"/>
                <wp:effectExtent l="0" t="0" r="0" b="0"/>
                <wp:wrapNone/>
                <wp:docPr id="179" name="Frame17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u w:val="single"/>
        </w:rPr>
        <w:t>5.01</w:t>
      </w:r>
      <w:r>
        <w:rPr>
          <w:rFonts w:ascii="Times New Roman;serif" w:hAnsi="Times New Roman;serif"/>
          <w:b w:val="false"/>
          <w:color w:val="000000"/>
          <w:sz w:val="24"/>
        </w:rPr>
        <w:t xml:space="preserve">, which may include ESG (environmental, social and governance) reports, reporting on key performance indicators and other sustainability metrics, which reports and information may be prepared by the Borrower or a third-party selected by the Borrower for such purpose. For the avoidance of doubt, no changes to the Applicable Margin or any other provisions that would require the consent of each affected Lender pursuant to </w:t>
      </w:r>
      <w:r>
        <w:rPr>
          <w:rFonts w:ascii="Times New Roman;serif" w:hAnsi="Times New Roman;serif"/>
          <w:b w:val="false"/>
          <w:color w:val="000000"/>
          <w:sz w:val="24"/>
          <w:u w:val="single"/>
        </w:rPr>
        <w:t>Section 10.08(a)</w:t>
      </w:r>
      <w:r>
        <w:rPr>
          <w:color w:val="000000"/>
        </w:rPr>
        <w:t xml:space="preserve"> </w:t>
      </w:r>
      <w:r>
        <w:rPr>
          <w:rFonts w:ascii="Times New Roman;serif" w:hAnsi="Times New Roman;serif"/>
          <w:b w:val="false"/>
          <w:color w:val="000000"/>
          <w:sz w:val="24"/>
        </w:rPr>
        <w:t xml:space="preserve">shall be made or permitted under this </w:t>
      </w:r>
      <w:r>
        <w:rPr>
          <w:rFonts w:ascii="Times New Roman;serif" w:hAnsi="Times New Roman;serif"/>
          <w:b w:val="false"/>
          <w:color w:val="000000"/>
          <w:sz w:val="24"/>
          <w:u w:val="single"/>
        </w:rPr>
        <w:t>Section 10.21</w:t>
      </w:r>
      <w:r>
        <w:rPr>
          <w:color w:val="000000"/>
        </w:rPr>
        <w:t xml:space="preserve"> </w:t>
      </w:r>
      <w:r>
        <w:rPr>
          <w:rFonts w:ascii="Times New Roman;serif" w:hAnsi="Times New Roman;serif"/>
          <w:b w:val="false"/>
          <w:color w:val="000000"/>
          <w:sz w:val="24"/>
        </w:rPr>
        <w:t>in the absence of any consent so required.</w:t>
      </w:r>
    </w:p>
    <w:p>
      <w:pPr>
        <w:pStyle w:val="TextBody"/>
        <w:bidi w:val="0"/>
        <w:spacing w:lineRule="auto" w:line="288" w:before="240" w:after="283"/>
        <w:ind w:left="0" w:right="0" w:firstLine="720"/>
        <w:jc w:val="left"/>
        <w:rPr/>
      </w:pPr>
      <w:bookmarkStart w:id="475" w:name="icc565fd4284e4b76b269ef81f9baa3e0"/>
      <w:bookmarkEnd w:id="475"/>
      <w:r>
        <w:rPr>
          <w:rFonts w:ascii="Times New Roman;serif" w:hAnsi="Times New Roman;serif"/>
          <w:b w:val="false"/>
          <w:color w:val="000000"/>
          <w:sz w:val="24"/>
        </w:rPr>
        <w:t>Section 10.22.    </w:t>
      </w:r>
      <w:r>
        <w:rPr>
          <w:rFonts w:ascii="Times New Roman;serif" w:hAnsi="Times New Roman;serif"/>
          <w:b w:val="false"/>
          <w:color w:val="000000"/>
          <w:sz w:val="24"/>
          <w:u w:val="single"/>
        </w:rPr>
        <w:t>Amendment and Restatement; No Novation; Lien Confirmation</w:t>
      </w:r>
      <w:r>
        <w:rPr>
          <w:rFonts w:ascii="Times New Roman;serif" w:hAnsi="Times New Roman;serif"/>
          <w:b w:val="false"/>
          <w:color w:val="000000"/>
          <w:sz w:val="24"/>
        </w:rPr>
        <w:t xml:space="preserve">. This Agreement is being entered pursuant to </w:t>
      </w:r>
      <w:r>
        <w:rPr>
          <w:rFonts w:ascii="Times New Roman;serif" w:hAnsi="Times New Roman;serif"/>
          <w:b w:val="false"/>
          <w:color w:val="000000"/>
          <w:sz w:val="24"/>
          <w:u w:val="single"/>
        </w:rPr>
        <w:t>Section 10.02(f)</w:t>
      </w:r>
      <w:r>
        <w:rPr>
          <w:color w:val="000000"/>
        </w:rPr>
        <w:t xml:space="preserve"> </w:t>
      </w:r>
      <w:r>
        <w:rPr>
          <w:rFonts w:ascii="Times New Roman;serif" w:hAnsi="Times New Roman;serif"/>
          <w:b w:val="false"/>
          <w:color w:val="000000"/>
          <w:sz w:val="24"/>
        </w:rPr>
        <w:t xml:space="preserve">of the Existing Credit Facility and constitutes an amendment and restatement of the Existing Credit Facility, effective from and after the Closing Date, subject to the terms and conditions set forth herein. This Agreement is given as a substitution of, and not as a payment of, the obligations of the Borrower under the Existing Credit Facility and is not intended to constitute a novation of the Existing Credit Facility. On the Closing Date, on the terms and subject to the conditions set forth herein, the credit facility described in the Existing Credit Facility shall be increased, amended, supplemented, modified and restated in its entirety by the facility described herein and all loans and other obligations of the Borrower incurred or arising under the Existing Credit Facility which are outstanding on the Closing Date shall continue and be re-evidenced as obligations under (and shall be governed by the terms of) this Agreement and the other applicable Loan Documents, without any further action by any Person. For the avoidance of doubt, the amendment and restatement of the Existing Credit Facility hereby on the Closing Date is subject to satisfaction (or waiver by the Lenders) of the conditions precedent set forth in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hereto and in the event that such conditions are not satisfied (or waived) the terms of the Existing Credit Facility shall remain unchanged hereby and the Loan shall mature and be due and payable on the terms set forth in the Existing Credit Facility. The Borrower reaffirms the grant of Liens on the Collateral to secure the Obligations (including the Obligations under the Revolving Loans incurred pursuant to this Agreement) pursuant to the Collateral Documents.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440"/>
        <w:jc w:val="left"/>
        <w:rPr/>
      </w:pPr>
      <w:r>
        <w:rPr/>
      </w:r>
    </w:p>
    <w:p>
      <w:pPr>
        <w:pStyle w:val="TextBody"/>
        <w:bidi w:val="0"/>
        <w:spacing w:before="240" w:after="283"/>
        <w:ind w:left="0" w:right="0" w:firstLine="1440"/>
        <w:jc w:val="left"/>
        <w:rPr/>
      </w:pPr>
      <w:r>
        <w:rPr/>
      </w:r>
    </w:p>
    <w:p>
      <w:pPr>
        <w:pStyle w:val="TextBody"/>
        <w:bidi w:val="0"/>
        <w:spacing w:before="240" w:after="283"/>
        <w:ind w:left="0" w:right="0" w:firstLine="1440"/>
        <w:jc w:val="left"/>
        <w:rPr/>
      </w:pPr>
      <w:r>
        <w:rPr/>
      </w:r>
    </w:p>
    <w:p>
      <w:pPr>
        <w:pStyle w:val="TextBody"/>
        <w:bidi w:val="0"/>
        <w:spacing w:before="240" w:after="283"/>
        <w:ind w:left="0" w:right="0" w:firstLine="1440"/>
        <w:jc w:val="left"/>
        <w:rPr/>
      </w:pPr>
      <w:r>
        <w:rPr/>
      </w:r>
    </w:p>
    <w:p>
      <w:pPr>
        <w:pStyle w:val="TextBody"/>
        <w:bidi w:val="0"/>
        <w:spacing w:before="240" w:after="283"/>
        <w:ind w:left="0" w:right="0" w:firstLine="1440"/>
        <w:jc w:val="left"/>
        <w:rPr/>
      </w:pPr>
      <w:r>
        <w:rPr/>
      </w:r>
    </w:p>
    <w:p>
      <w:pPr>
        <w:pStyle w:val="TextBody"/>
        <w:bidi w:val="0"/>
        <w:spacing w:before="240" w:after="283"/>
        <w:ind w:left="0" w:right="0" w:firstLine="1440"/>
        <w:jc w:val="left"/>
        <w:rPr/>
      </w:pPr>
      <w:r>
        <w:rPr/>
      </w:r>
    </w:p>
    <w:p>
      <w:pPr>
        <w:pStyle w:val="TextBody"/>
        <w:bidi w:val="0"/>
        <w:spacing w:before="240" w:after="283"/>
        <w:ind w:left="0" w:right="0" w:firstLine="1440"/>
        <w:jc w:val="left"/>
        <w:rPr/>
      </w:pPr>
      <w:r>
        <w:rPr/>
      </w:r>
    </w:p>
    <w:p>
      <w:pPr>
        <w:pStyle w:val="TextBody"/>
        <w:bidi w:val="0"/>
        <w:spacing w:before="240" w:after="283"/>
        <w:ind w:left="0" w:right="0" w:firstLine="1440"/>
        <w:jc w:val="left"/>
        <w:rPr/>
      </w:pPr>
      <w:r>
        <w:rPr/>
      </w:r>
    </w:p>
    <w:p>
      <w:pPr>
        <w:pStyle w:val="TextBody"/>
        <w:bidi w:val="0"/>
        <w:spacing w:before="240" w:after="283"/>
        <w:ind w:left="0" w:right="0" w:firstLine="1440"/>
        <w:jc w:val="left"/>
        <w:rPr/>
      </w:pPr>
      <w:r>
        <w:rPr/>
      </w:r>
    </w:p>
    <w:p>
      <w:pPr>
        <w:pStyle w:val="TextBody"/>
        <w:bidi w:val="0"/>
        <w:spacing w:before="240" w:after="283"/>
        <w:ind w:left="0" w:right="0" w:firstLine="144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525145"/>
                <wp:effectExtent l="0" t="0" r="0" b="0"/>
                <wp:wrapNone/>
                <wp:docPr id="180" name="Frame17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before="240" w:after="283"/>
        <w:ind w:left="0" w:right="0" w:firstLine="1440"/>
        <w:jc w:val="left"/>
        <w:rPr/>
      </w:pPr>
      <w:r>
        <w:rPr/>
      </w:r>
    </w:p>
    <w:p>
      <w:pPr>
        <w:pStyle w:val="TextBody"/>
        <w:bidi w:val="0"/>
        <w:spacing w:lineRule="auto" w:line="240"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duly executed as of the day and the year first written.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UNITED AIRLINES, INC., </w:t>
        <w:br/>
        <w:t>as the Borrower</w:t>
      </w:r>
    </w:p>
    <w:p>
      <w:pPr>
        <w:pStyle w:val="TextBody"/>
        <w:bidi w:val="0"/>
        <w:spacing w:lineRule="auto" w:line="333" w:before="480" w:after="283"/>
        <w:ind w:left="0" w:right="0" w:hanging="36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J. Eric Harder    </w:t>
      </w:r>
      <w:r>
        <w:rPr>
          <w:rFonts w:ascii="Times New Roman;serif" w:hAnsi="Times New Roman;serif"/>
          <w:b w:val="false"/>
          <w:color w:val="000000"/>
          <w:sz w:val="24"/>
        </w:rPr>
        <w:br/>
        <w:t>Name: J. Eric Harder</w:t>
        <w:br/>
        <w:t>Title: Vice President and Treasurer</w:t>
      </w:r>
    </w:p>
    <w:p>
      <w:pPr>
        <w:pStyle w:val="TextBody"/>
        <w:bidi w:val="0"/>
        <w:spacing w:before="480" w:after="283"/>
        <w:jc w:val="left"/>
        <w:rPr/>
      </w:pPr>
      <w:r>
        <w:rPr/>
      </w:r>
    </w:p>
    <w:p>
      <w:pPr>
        <w:pStyle w:val="TextBody"/>
        <w:bidi w:val="0"/>
        <w:spacing w:before="480" w:after="283"/>
        <w:jc w:val="left"/>
        <w:rPr/>
      </w:pPr>
      <w:r>
        <w:rPr/>
      </w:r>
    </w:p>
    <w:p>
      <w:pPr>
        <w:pStyle w:val="TextBody"/>
        <w:bidi w:val="0"/>
        <w:spacing w:before="0" w:after="0"/>
        <w:jc w:val="left"/>
        <w:rPr/>
      </w:pPr>
      <w:r>
        <w:rPr/>
      </w:r>
    </w:p>
    <w:p>
      <w:pPr>
        <w:pStyle w:val="TextBody"/>
        <w:bidi w:val="0"/>
        <w:spacing w:before="480" w:after="283"/>
        <w:jc w:val="left"/>
        <w:rPr/>
      </w:pPr>
      <w:r>
        <w:rPr/>
      </w:r>
    </w:p>
    <w:p>
      <w:pPr>
        <w:pStyle w:val="TextBody"/>
        <w:bidi w:val="0"/>
        <w:spacing w:before="48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512445"/>
                <wp:effectExtent l="0" t="0" r="0" b="0"/>
                <wp:wrapNone/>
                <wp:docPr id="181" name="Frame180"/>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UNITED AIRLINES HOLDINGS, INC.,</w:t>
        <w:br/>
        <w:t>as a Guarantor</w:t>
      </w:r>
    </w:p>
    <w:p>
      <w:pPr>
        <w:pStyle w:val="TextBody"/>
        <w:bidi w:val="0"/>
        <w:spacing w:lineRule="auto" w:line="333" w:before="480" w:after="283"/>
        <w:ind w:left="0" w:right="0" w:hanging="36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J. Eric Harder    </w:t>
      </w:r>
      <w:r>
        <w:rPr>
          <w:rFonts w:ascii="Times New Roman;serif" w:hAnsi="Times New Roman;serif"/>
          <w:b w:val="false"/>
          <w:color w:val="000000"/>
          <w:sz w:val="24"/>
        </w:rPr>
        <w:br/>
        <w:t>Name: J. Eric Harder</w:t>
        <w:br/>
        <w:t>Title: Vice President and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512445"/>
                <wp:effectExtent l="0" t="0" r="0" b="0"/>
                <wp:wrapNone/>
                <wp:docPr id="182" name="Frame181"/>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TRUST, NATIONAL ASSOCIATION, not in its individual capacity, except as expressly stated herein, but solely as Collateral Trustee</w:t>
      </w:r>
    </w:p>
    <w:p>
      <w:pPr>
        <w:pStyle w:val="TextBody"/>
        <w:bidi w:val="0"/>
        <w:spacing w:lineRule="auto" w:line="333" w:before="480" w:after="283"/>
        <w:ind w:left="0" w:right="0" w:hanging="36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Chad May    </w:t>
      </w:r>
      <w:r>
        <w:rPr>
          <w:rFonts w:ascii="Times New Roman;serif" w:hAnsi="Times New Roman;serif"/>
          <w:b w:val="false"/>
          <w:color w:val="000000"/>
          <w:sz w:val="24"/>
        </w:rPr>
        <w:br/>
        <w:t>Name: Chad May</w:t>
        <w:br/>
        <w:t>Title: Senior Vice President</w:t>
      </w:r>
    </w:p>
    <w:p>
      <w:pPr>
        <w:pStyle w:val="TextBody"/>
        <w:bidi w:val="0"/>
        <w:spacing w:before="480" w:after="283"/>
        <w:ind w:left="0" w:right="0" w:hanging="360"/>
        <w:jc w:val="left"/>
        <w:rPr/>
      </w:pPr>
      <w:r>
        <w:rPr/>
      </w:r>
    </w:p>
    <w:p>
      <w:pPr>
        <w:pStyle w:val="TextBody"/>
        <w:bidi w:val="0"/>
        <w:spacing w:before="24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418465"/>
                <wp:effectExtent l="0" t="0" r="0" b="0"/>
                <wp:wrapNone/>
                <wp:docPr id="183" name="Frame182"/>
                <a:graphic xmlns:a="http://schemas.openxmlformats.org/drawingml/2006/main">
                  <a:graphicData uri="http://schemas.microsoft.com/office/word/2010/wordprocessingShape">
                    <wps:wsp>
                      <wps:cNvSpPr txBox="1"/>
                      <wps:spPr>
                        <a:xfrm>
                          <a:off x="0" y="0"/>
                          <a:ext cx="6480175" cy="418465"/>
                        </a:xfrm>
                        <a:prstGeom prst="rect"/>
                        <a:solidFill>
                          <a:srgbClr val="FFFFFF"/>
                        </a:solidFill>
                      </wps:spPr>
                      <wps:txbx>
                        <w:txbxContent>
                          <w:p>
                            <w:pPr>
                              <w:pStyle w:val="TextBody"/>
                              <w:bidi w:val="0"/>
                              <w:spacing w:lineRule="auto" w:line="333" w:before="0" w:after="0"/>
                              <w:jc w:val="left"/>
                              <w:rPr/>
                            </w:pPr>
                            <w:r>
                              <w:rPr>
                                <w:rFonts w:ascii="Times New Roman;serif" w:hAnsi="Times New Roman;serif"/>
                                <w:b w:val="false"/>
                                <w:color w:val="000000"/>
                                <w:sz w:val="16"/>
                              </w:rPr>
                              <w:t>UAL Second Amended and Restated Revolving Credit and Guaranty Agreement 2026</w:t>
                            </w:r>
                            <w:r>
                              <w:rPr>
                                <w:color w:val="000000"/>
                              </w:rPr>
                              <w:t xml:space="preserve">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0"/>
                        <w:jc w:val="left"/>
                        <w:rPr/>
                      </w:pPr>
                      <w:r>
                        <w:rPr>
                          <w:rFonts w:ascii="Times New Roman;serif" w:hAnsi="Times New Roman;serif"/>
                          <w:b w:val="false"/>
                          <w:color w:val="000000"/>
                          <w:sz w:val="16"/>
                        </w:rPr>
                        <w:t>UAL Second Amended and Restated Revolving Credit and Guaranty Agreement 2026</w:t>
                      </w:r>
                      <w:r>
                        <w:rPr>
                          <w:color w:val="000000"/>
                        </w:rPr>
                        <w:t xml:space="preserve">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JPMORGAN CHASE BANK, N.A., as Administrative Agent, a Lender and an Issuing Lender</w:t>
      </w:r>
    </w:p>
    <w:p>
      <w:pPr>
        <w:pStyle w:val="TextBody"/>
        <w:bidi w:val="0"/>
        <w:spacing w:lineRule="auto" w:line="333" w:before="480" w:after="283"/>
        <w:ind w:left="0" w:right="0" w:hanging="36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Maximo Bauer    </w:t>
      </w:r>
      <w:r>
        <w:rPr>
          <w:rFonts w:ascii="Times New Roman;serif" w:hAnsi="Times New Roman;serif"/>
          <w:b w:val="false"/>
          <w:color w:val="000000"/>
          <w:sz w:val="24"/>
        </w:rPr>
        <w:br/>
        <w:t>Name: Maximo Bauer</w:t>
        <w:br/>
        <w:t>Title: Vice President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418465"/>
                <wp:effectExtent l="0" t="0" r="0" b="0"/>
                <wp:wrapNone/>
                <wp:docPr id="184" name="Frame183"/>
                <a:graphic xmlns:a="http://schemas.openxmlformats.org/drawingml/2006/main">
                  <a:graphicData uri="http://schemas.microsoft.com/office/word/2010/wordprocessingShape">
                    <wps:wsp>
                      <wps:cNvSpPr txBox="1"/>
                      <wps:spPr>
                        <a:xfrm>
                          <a:off x="0" y="0"/>
                          <a:ext cx="6480175" cy="418465"/>
                        </a:xfrm>
                        <a:prstGeom prst="rect"/>
                        <a:solidFill>
                          <a:srgbClr val="FFFFFF"/>
                        </a:solidFill>
                      </wps:spPr>
                      <wps:txbx>
                        <w:txbxContent>
                          <w:p>
                            <w:pPr>
                              <w:pStyle w:val="TextBody"/>
                              <w:bidi w:val="0"/>
                              <w:spacing w:lineRule="auto" w:line="333" w:before="0" w:after="0"/>
                              <w:jc w:val="left"/>
                              <w:rPr/>
                            </w:pPr>
                            <w:r>
                              <w:rPr>
                                <w:rFonts w:ascii="Times New Roman;serif" w:hAnsi="Times New Roman;serif"/>
                                <w:b w:val="false"/>
                                <w:color w:val="000000"/>
                                <w:sz w:val="16"/>
                              </w:rPr>
                              <w:t>UAL Second Amended and Restated Revolving Credit and Guaranty Agreement 2026</w:t>
                            </w:r>
                            <w:r>
                              <w:rPr>
                                <w:color w:val="000000"/>
                              </w:rPr>
                              <w:t xml:space="preserve">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left"/>
                        <w:rPr/>
                      </w:pPr>
                      <w:r>
                        <w:rPr>
                          <w:rFonts w:ascii="Times New Roman;serif" w:hAnsi="Times New Roman;serif"/>
                          <w:b w:val="false"/>
                          <w:color w:val="000000"/>
                          <w:sz w:val="16"/>
                        </w:rPr>
                        <w:t>UAL Second Amended and Restated Revolving Credit and Guaranty Agreement 2026</w:t>
                      </w:r>
                      <w:r>
                        <w:rPr>
                          <w:color w:val="000000"/>
                        </w:rPr>
                        <w:t xml:space="preserve">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BARCLAYS BANK PLC, as a Lender and an Issuing Lender</w:t>
      </w:r>
    </w:p>
    <w:p>
      <w:pPr>
        <w:pStyle w:val="TextBody"/>
        <w:bidi w:val="0"/>
        <w:spacing w:before="12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Charlene Saldanha        </w:t>
      </w:r>
      <w:r>
        <w:rPr>
          <w:rFonts w:ascii="Times New Roman;serif" w:hAnsi="Times New Roman;serif"/>
          <w:b w:val="false"/>
          <w:color w:val="000000"/>
          <w:sz w:val="24"/>
        </w:rPr>
        <w:br/>
        <w:t>Name: Charlene Saldanha</w:t>
        <w:br/>
        <w:t>Title: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37185"/>
                <wp:effectExtent l="0" t="0" r="0" b="0"/>
                <wp:wrapNone/>
                <wp:docPr id="185" name="Frame184"/>
                <a:graphic xmlns:a="http://schemas.openxmlformats.org/drawingml/2006/main">
                  <a:graphicData uri="http://schemas.microsoft.com/office/word/2010/wordprocessingShape">
                    <wps:wsp>
                      <wps:cNvSpPr txBox="1"/>
                      <wps:spPr>
                        <a:xfrm>
                          <a:off x="0" y="0"/>
                          <a:ext cx="6480175" cy="3371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BANK OF AMERICA, N.A., as a Lender and an Issuing Lender</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Prathamesh Kshirsagar        </w:t>
      </w:r>
      <w:r>
        <w:rPr>
          <w:rFonts w:ascii="Times New Roman;serif" w:hAnsi="Times New Roman;serif"/>
          <w:b w:val="false"/>
          <w:color w:val="000000"/>
          <w:sz w:val="24"/>
        </w:rPr>
        <w:br/>
        <w:t>Name: Prathamesh Kshirsagar</w:t>
        <w:br/>
        <w:t>Title: Managing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512445"/>
                <wp:effectExtent l="0" t="0" r="0" b="0"/>
                <wp:wrapNone/>
                <wp:docPr id="186" name="Frame185"/>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BNP PARIBAS, as a Lender and an Issuing Lender</w:t>
      </w:r>
    </w:p>
    <w:p>
      <w:pPr>
        <w:pStyle w:val="TextBody"/>
        <w:bidi w:val="0"/>
        <w:spacing w:lineRule="auto" w:line="333" w:before="480" w:after="283"/>
        <w:ind w:left="0" w:right="0" w:hanging="36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Timothy McNally    </w:t>
      </w:r>
      <w:r>
        <w:rPr>
          <w:rFonts w:ascii="Times New Roman;serif" w:hAnsi="Times New Roman;serif"/>
          <w:b w:val="false"/>
          <w:color w:val="000000"/>
          <w:sz w:val="24"/>
        </w:rPr>
        <w:br/>
        <w:t>Name: Timothy McNally</w:t>
        <w:br/>
        <w:t>Title: Director</w:t>
      </w:r>
    </w:p>
    <w:p>
      <w:pPr>
        <w:pStyle w:val="TextBody"/>
        <w:bidi w:val="0"/>
        <w:spacing w:before="480" w:after="283"/>
        <w:ind w:left="0" w:right="0" w:hanging="360"/>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Bradley Goodenough        </w:t>
      </w:r>
      <w:r>
        <w:rPr>
          <w:rFonts w:ascii="Times New Roman;serif" w:hAnsi="Times New Roman;serif"/>
          <w:b w:val="false"/>
          <w:color w:val="000000"/>
          <w:sz w:val="24"/>
        </w:rPr>
        <w:br/>
        <w:t>Name: Bradley Goodenough</w:t>
        <w:br/>
        <w:t>Title: Vice President</w:t>
      </w:r>
    </w:p>
    <w:p>
      <w:pPr>
        <w:pStyle w:val="TextBody"/>
        <w:bidi w:val="0"/>
        <w:spacing w:before="0" w:after="0"/>
        <w:jc w:val="righ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512445"/>
                <wp:effectExtent l="0" t="0" r="0" b="0"/>
                <wp:wrapNone/>
                <wp:docPr id="187" name="Frame186"/>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CITIBANK, N.A., as a Lender and an Issuing Lender</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Michael Leonard        </w:t>
      </w:r>
      <w:r>
        <w:rPr>
          <w:rFonts w:ascii="Times New Roman;serif" w:hAnsi="Times New Roman;serif"/>
          <w:b w:val="false"/>
          <w:color w:val="000000"/>
          <w:sz w:val="24"/>
        </w:rPr>
        <w:br/>
        <w:t>Name: Michael Leonard</w:t>
        <w:br/>
        <w:t>Title: Vice President</w:t>
      </w:r>
    </w:p>
    <w:p>
      <w:pPr>
        <w:pStyle w:val="TextBody"/>
        <w:bidi w:val="0"/>
        <w:spacing w:before="0" w:after="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512445"/>
                <wp:effectExtent l="0" t="0" r="0" b="0"/>
                <wp:wrapNone/>
                <wp:docPr id="188" name="Frame187"/>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CREDIT AGRICOLE CORPORATE AND INVESTMENT BANK, as a Lender and an Issuing Lender</w:t>
      </w:r>
    </w:p>
    <w:p>
      <w:pPr>
        <w:pStyle w:val="TextBody"/>
        <w:bidi w:val="0"/>
        <w:spacing w:before="240" w:after="283"/>
        <w:jc w:val="left"/>
        <w:rPr/>
      </w:pPr>
      <w:r>
        <w:rPr/>
      </w:r>
    </w:p>
    <w:p>
      <w:pPr>
        <w:pStyle w:val="TextBody"/>
        <w:bidi w:val="0"/>
        <w:spacing w:lineRule="auto" w:line="333" w:before="0" w:after="0"/>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Thomas Jean        </w:t>
      </w:r>
      <w:r>
        <w:rPr>
          <w:rFonts w:ascii="Times New Roman;serif" w:hAnsi="Times New Roman;serif"/>
          <w:b w:val="false"/>
          <w:color w:val="000000"/>
          <w:sz w:val="24"/>
        </w:rPr>
        <w:br/>
        <w:t>Name: Thomas Jean</w:t>
        <w:br/>
        <w:t>Title: Managing Director</w:t>
      </w:r>
    </w:p>
    <w:p>
      <w:pPr>
        <w:pStyle w:val="TextBody"/>
        <w:bidi w:val="0"/>
        <w:spacing w:before="0" w:after="0"/>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Cecilia Park        </w:t>
      </w:r>
      <w:r>
        <w:rPr>
          <w:rFonts w:ascii="Times New Roman;serif" w:hAnsi="Times New Roman;serif"/>
          <w:b w:val="false"/>
          <w:color w:val="000000"/>
          <w:sz w:val="24"/>
        </w:rPr>
        <w:br/>
        <w:t>Name: Cecilia Park</w:t>
        <w:br/>
        <w:t>Title: Managing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512445"/>
                <wp:effectExtent l="0" t="0" r="0" b="0"/>
                <wp:wrapNone/>
                <wp:docPr id="189" name="Frame188"/>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DEUTSCHE BANK AG NEW YORK BRANCH, as a Lender and an Issuing Lender</w:t>
      </w:r>
    </w:p>
    <w:p>
      <w:pPr>
        <w:pStyle w:val="TextBody"/>
        <w:bidi w:val="0"/>
        <w:spacing w:lineRule="auto" w:line="333" w:before="480" w:after="283"/>
        <w:ind w:left="0" w:right="0" w:hanging="36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Philip Tancorra    </w:t>
      </w:r>
      <w:r>
        <w:rPr>
          <w:rFonts w:ascii="Times New Roman;serif" w:hAnsi="Times New Roman;serif"/>
          <w:b w:val="false"/>
          <w:color w:val="000000"/>
          <w:sz w:val="24"/>
        </w:rPr>
        <w:br/>
        <w:t>Name: Philip Tancorra</w:t>
        <w:br/>
        <w:t>Title: Director</w:t>
      </w:r>
    </w:p>
    <w:p>
      <w:pPr>
        <w:pStyle w:val="TextBody"/>
        <w:bidi w:val="0"/>
        <w:spacing w:before="240" w:after="283"/>
        <w:ind w:left="0" w:right="0" w:hanging="360"/>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Craig Cheverko        </w:t>
      </w:r>
      <w:r>
        <w:rPr>
          <w:rFonts w:ascii="Times New Roman;serif" w:hAnsi="Times New Roman;serif"/>
          <w:b w:val="false"/>
          <w:color w:val="000000"/>
          <w:sz w:val="24"/>
        </w:rPr>
        <w:br/>
        <w:t>Name: Craig Cheverko</w:t>
        <w:br/>
        <w:t>Title: Vice President</w:t>
      </w:r>
    </w:p>
    <w:p>
      <w:pPr>
        <w:pStyle w:val="TextBody"/>
        <w:bidi w:val="0"/>
        <w:spacing w:before="0" w:after="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512445"/>
                <wp:effectExtent l="0" t="0" r="0" b="0"/>
                <wp:wrapNone/>
                <wp:docPr id="190" name="Frame189"/>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GOLDMAN SACHS BANK USA, as a Lender and an Issuing Lender</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Jonathan Dworkin        </w:t>
      </w:r>
      <w:r>
        <w:rPr>
          <w:rFonts w:ascii="Times New Roman;serif" w:hAnsi="Times New Roman;serif"/>
          <w:b w:val="false"/>
          <w:color w:val="000000"/>
          <w:sz w:val="24"/>
        </w:rPr>
        <w:br/>
        <w:t>Name: Jonathan Dworkin</w:t>
        <w:br/>
        <w:t>Title: Authorized Signatory</w:t>
      </w:r>
    </w:p>
    <w:p>
      <w:pPr>
        <w:pStyle w:val="TextBody"/>
        <w:bidi w:val="0"/>
        <w:spacing w:before="0" w:after="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512445"/>
                <wp:effectExtent l="0" t="0" r="0" b="0"/>
                <wp:wrapNone/>
                <wp:docPr id="191" name="Frame190"/>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ING CAPITAL LLC, as a Lender </w:t>
      </w:r>
    </w:p>
    <w:p>
      <w:pPr>
        <w:pStyle w:val="TextBody"/>
        <w:bidi w:val="0"/>
        <w:spacing w:lineRule="auto" w:line="333" w:before="480" w:after="283"/>
        <w:ind w:left="0" w:right="0" w:hanging="36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Michael Choina    </w:t>
      </w:r>
      <w:r>
        <w:rPr>
          <w:rFonts w:ascii="Times New Roman;serif" w:hAnsi="Times New Roman;serif"/>
          <w:b w:val="false"/>
          <w:color w:val="000000"/>
          <w:sz w:val="24"/>
        </w:rPr>
        <w:br/>
        <w:t>Name: Michael Choina</w:t>
        <w:br/>
        <w:t>Title: Managing Director</w:t>
      </w:r>
    </w:p>
    <w:p>
      <w:pPr>
        <w:pStyle w:val="TextBody"/>
        <w:bidi w:val="0"/>
        <w:spacing w:before="240" w:after="283"/>
        <w:ind w:left="0" w:right="0" w:hanging="360"/>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Maria Fahey        </w:t>
      </w:r>
      <w:r>
        <w:rPr>
          <w:rFonts w:ascii="Times New Roman;serif" w:hAnsi="Times New Roman;serif"/>
          <w:b w:val="false"/>
          <w:color w:val="000000"/>
          <w:sz w:val="24"/>
        </w:rPr>
        <w:br/>
        <w:t>Name: Maria Fahey</w:t>
        <w:br/>
        <w:t>Title: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512445"/>
                <wp:effectExtent l="0" t="0" r="0" b="0"/>
                <wp:wrapNone/>
                <wp:docPr id="192" name="Frame191"/>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MIZUHO BANK, LTD., as a Lender and an Issuing Lender</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Donna DeMagistris        </w:t>
      </w:r>
      <w:r>
        <w:rPr>
          <w:rFonts w:ascii="Times New Roman;serif" w:hAnsi="Times New Roman;serif"/>
          <w:b w:val="false"/>
          <w:color w:val="000000"/>
          <w:sz w:val="24"/>
        </w:rPr>
        <w:br/>
        <w:t>Name: Donna DeMagistris</w:t>
        <w:br/>
        <w:t>Title: Managing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512445"/>
                <wp:effectExtent l="0" t="0" r="0" b="0"/>
                <wp:wrapNone/>
                <wp:docPr id="193" name="Frame192"/>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MORGAN STANLEY SENIOR FUNDING, INC., as a Lender and an Issuing Lender</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Michael King        </w:t>
      </w:r>
      <w:r>
        <w:rPr>
          <w:rFonts w:ascii="Times New Roman;serif" w:hAnsi="Times New Roman;serif"/>
          <w:b w:val="false"/>
          <w:color w:val="000000"/>
          <w:sz w:val="24"/>
        </w:rPr>
        <w:br/>
        <w:t>Name: Michael King</w:t>
        <w:br/>
        <w:t>Title: Vice President</w:t>
      </w:r>
    </w:p>
    <w:p>
      <w:pPr>
        <w:pStyle w:val="TextBody"/>
        <w:bidi w:val="0"/>
        <w:spacing w:before="0" w:after="0"/>
        <w:jc w:val="righ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512445"/>
                <wp:effectExtent l="0" t="0" r="0" b="0"/>
                <wp:wrapNone/>
                <wp:docPr id="194" name="Frame193"/>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MORGAN STANLEY BANK, N.A., as a Lender </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Michael King        </w:t>
      </w:r>
      <w:r>
        <w:rPr>
          <w:rFonts w:ascii="Times New Roman;serif" w:hAnsi="Times New Roman;serif"/>
          <w:b w:val="false"/>
          <w:color w:val="000000"/>
          <w:sz w:val="24"/>
        </w:rPr>
        <w:br/>
        <w:t>Name: Michael King</w:t>
        <w:br/>
        <w:t>Title: Authorized Signatory</w:t>
      </w:r>
    </w:p>
    <w:p>
      <w:pPr>
        <w:pStyle w:val="TextBody"/>
        <w:bidi w:val="0"/>
        <w:spacing w:before="0" w:after="0"/>
        <w:jc w:val="righ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512445"/>
                <wp:effectExtent l="0" t="0" r="0" b="0"/>
                <wp:wrapNone/>
                <wp:docPr id="195" name="Frame194"/>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MUFG BANK, LTD., as a Lender and an Issuing Lender</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Aqmar Chowdhury        </w:t>
      </w:r>
      <w:r>
        <w:rPr>
          <w:rFonts w:ascii="Times New Roman;serif" w:hAnsi="Times New Roman;serif"/>
          <w:b w:val="false"/>
          <w:color w:val="000000"/>
          <w:sz w:val="24"/>
        </w:rPr>
        <w:br/>
        <w:t>Name: AQMAR CHOWDHURY</w:t>
        <w:br/>
        <w:t>Title: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512445"/>
                <wp:effectExtent l="0" t="0" r="0" b="0"/>
                <wp:wrapNone/>
                <wp:docPr id="196" name="Frame195"/>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NATIXIS, NEW YORK BRANCH, as a Lender and an Issuing Lender</w:t>
      </w:r>
    </w:p>
    <w:p>
      <w:pPr>
        <w:pStyle w:val="TextBody"/>
        <w:bidi w:val="0"/>
        <w:spacing w:lineRule="auto" w:line="333" w:before="480" w:after="283"/>
        <w:ind w:left="0" w:right="0" w:hanging="36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Nicholas Lebonitte    </w:t>
      </w:r>
      <w:r>
        <w:rPr>
          <w:rFonts w:ascii="Times New Roman;serif" w:hAnsi="Times New Roman;serif"/>
          <w:b w:val="false"/>
          <w:color w:val="000000"/>
          <w:sz w:val="24"/>
        </w:rPr>
        <w:br/>
        <w:t>Name: Nicholas Lebonitte</w:t>
        <w:br/>
        <w:t>Title: Director</w:t>
      </w:r>
    </w:p>
    <w:p>
      <w:pPr>
        <w:pStyle w:val="TextBody"/>
        <w:bidi w:val="0"/>
        <w:spacing w:before="240" w:after="283"/>
        <w:ind w:left="0" w:right="0" w:hanging="360"/>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Yevgeniya Levitin        </w:t>
      </w:r>
      <w:r>
        <w:rPr>
          <w:rFonts w:ascii="Times New Roman;serif" w:hAnsi="Times New Roman;serif"/>
          <w:b w:val="false"/>
          <w:color w:val="000000"/>
          <w:sz w:val="24"/>
        </w:rPr>
        <w:br/>
        <w:t>Name: Yevgeniya Levitin</w:t>
        <w:br/>
        <w:t>Title: Managing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512445"/>
                <wp:effectExtent l="0" t="0" r="0" b="0"/>
                <wp:wrapNone/>
                <wp:docPr id="197" name="Frame196"/>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NATIONAL WESTMINSTER BANK PLC, as a Lender</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Jonathan Eady        </w:t>
      </w:r>
      <w:r>
        <w:rPr>
          <w:rFonts w:ascii="Times New Roman;serif" w:hAnsi="Times New Roman;serif"/>
          <w:b w:val="false"/>
          <w:color w:val="000000"/>
          <w:sz w:val="24"/>
        </w:rPr>
        <w:br/>
        <w:t>Name: Jonathan Eady</w:t>
        <w:br/>
        <w:t>Title: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512445"/>
                <wp:effectExtent l="0" t="0" r="0" b="0"/>
                <wp:wrapNone/>
                <wp:docPr id="198" name="Frame197"/>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BANCO BILBAO VIZCAYA ARGENTARIA, S.A. NEW YORK BRANCH, as a Lender and an Issuing Lender</w:t>
      </w:r>
    </w:p>
    <w:p>
      <w:pPr>
        <w:pStyle w:val="TextBody"/>
        <w:bidi w:val="0"/>
        <w:spacing w:lineRule="auto" w:line="333" w:before="480" w:after="283"/>
        <w:ind w:left="0" w:right="0" w:hanging="36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Cara Younger    </w:t>
      </w:r>
      <w:r>
        <w:rPr>
          <w:rFonts w:ascii="Times New Roman;serif" w:hAnsi="Times New Roman;serif"/>
          <w:b w:val="false"/>
          <w:color w:val="000000"/>
          <w:sz w:val="24"/>
        </w:rPr>
        <w:br/>
        <w:t>Name: Cara Younger</w:t>
        <w:br/>
        <w:t>Title: Managing Director</w:t>
      </w:r>
    </w:p>
    <w:p>
      <w:pPr>
        <w:pStyle w:val="TextBody"/>
        <w:bidi w:val="0"/>
        <w:spacing w:before="240" w:after="283"/>
        <w:ind w:left="0" w:right="0" w:hanging="360"/>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Armen Semizian        </w:t>
      </w:r>
      <w:r>
        <w:rPr>
          <w:rFonts w:ascii="Times New Roman;serif" w:hAnsi="Times New Roman;serif"/>
          <w:b w:val="false"/>
          <w:color w:val="000000"/>
          <w:sz w:val="24"/>
        </w:rPr>
        <w:br/>
        <w:t>Name: Armen Semizian</w:t>
        <w:br/>
        <w:t>Title: Managing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512445"/>
                <wp:effectExtent l="0" t="0" r="0" b="0"/>
                <wp:wrapNone/>
                <wp:docPr id="199" name="Frame198"/>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THE BANK OF NEW YORK MELLON, as a Lender and an Issuing Lender</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Yipeng Zhang        </w:t>
      </w:r>
      <w:r>
        <w:rPr>
          <w:rFonts w:ascii="Times New Roman;serif" w:hAnsi="Times New Roman;serif"/>
          <w:b w:val="false"/>
          <w:color w:val="000000"/>
          <w:sz w:val="24"/>
        </w:rPr>
        <w:br/>
        <w:t>Name: Yipeng Zhang</w:t>
        <w:br/>
        <w:t>Title: Senior Vice President</w:t>
      </w:r>
    </w:p>
    <w:p>
      <w:pPr>
        <w:pStyle w:val="TextBody"/>
        <w:bidi w:val="0"/>
        <w:spacing w:before="0" w:after="0"/>
        <w:jc w:val="righ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512445"/>
                <wp:effectExtent l="0" t="0" r="0" b="0"/>
                <wp:wrapNone/>
                <wp:docPr id="200" name="Frame199"/>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CANADIAN IMPERIAL BANK OF COMMERCE, NEW YORK BRANCH, as a Lender and an Issuing Lender</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Andrew Millane        </w:t>
      </w:r>
      <w:r>
        <w:rPr>
          <w:rFonts w:ascii="Times New Roman;serif" w:hAnsi="Times New Roman;serif"/>
          <w:b w:val="false"/>
          <w:color w:val="000000"/>
          <w:sz w:val="24"/>
        </w:rPr>
        <w:br/>
        <w:t>Name: Andrew Millane</w:t>
        <w:br/>
        <w:t>Title: Executive Director &amp; Authorized Signatory</w:t>
      </w:r>
    </w:p>
    <w:p>
      <w:pPr>
        <w:pStyle w:val="TextBody"/>
        <w:bidi w:val="0"/>
        <w:spacing w:before="0" w:after="0"/>
        <w:jc w:val="righ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512445"/>
                <wp:effectExtent l="0" t="0" r="0" b="0"/>
                <wp:wrapNone/>
                <wp:docPr id="201" name="Frame200"/>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THE BANK OF NOVA SCOTIA, as a Lender and an Issuing Lender</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Dhirendra Udharamaney        </w:t>
      </w:r>
      <w:r>
        <w:rPr>
          <w:rFonts w:ascii="Times New Roman;serif" w:hAnsi="Times New Roman;serif"/>
          <w:b w:val="false"/>
          <w:color w:val="000000"/>
          <w:sz w:val="24"/>
        </w:rPr>
        <w:br/>
        <w:t>Name: Dhirendra Udharamaney</w:t>
        <w:br/>
        <w:t>Title: Managing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512445"/>
                <wp:effectExtent l="0" t="0" r="0" b="0"/>
                <wp:wrapNone/>
                <wp:docPr id="202" name="Frame201"/>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U.S. BANK NATIONAL ASSOCIATION, as a Lender and an Issuing Lender</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Ken Gorski        </w:t>
      </w:r>
      <w:r>
        <w:rPr>
          <w:rFonts w:ascii="Times New Roman;serif" w:hAnsi="Times New Roman;serif"/>
          <w:b w:val="false"/>
          <w:color w:val="000000"/>
          <w:sz w:val="24"/>
        </w:rPr>
        <w:br/>
        <w:t>Name: Ken Gorski</w:t>
        <w:br/>
        <w:t>Title: Vice President</w:t>
      </w:r>
    </w:p>
    <w:p>
      <w:pPr>
        <w:pStyle w:val="TextBody"/>
        <w:bidi w:val="0"/>
        <w:spacing w:before="0" w:after="0"/>
        <w:jc w:val="righ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512445"/>
                <wp:effectExtent l="0" t="0" r="0" b="0"/>
                <wp:wrapNone/>
                <wp:docPr id="203" name="Frame202"/>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 as a Lender and an Issuing Lender</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Ethan Steinberg        </w:t>
      </w:r>
      <w:r>
        <w:rPr>
          <w:rFonts w:ascii="Times New Roman;serif" w:hAnsi="Times New Roman;serif"/>
          <w:b w:val="false"/>
          <w:color w:val="000000"/>
          <w:sz w:val="24"/>
        </w:rPr>
        <w:br/>
        <w:t>Name: Ethan Steinberg</w:t>
        <w:br/>
        <w:t>Title: Vice President</w:t>
      </w:r>
    </w:p>
    <w:p>
      <w:pPr>
        <w:pStyle w:val="TextBody"/>
        <w:bidi w:val="0"/>
        <w:spacing w:before="0" w:after="0"/>
        <w:jc w:val="righ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512445"/>
                <wp:effectExtent l="0" t="0" r="0" b="0"/>
                <wp:wrapNone/>
                <wp:docPr id="204" name="Frame203"/>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STANDARD CHARTERED BANK, as a Lender </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Su-Lin Watson        </w:t>
      </w:r>
      <w:r>
        <w:rPr>
          <w:rFonts w:ascii="Times New Roman;serif" w:hAnsi="Times New Roman;serif"/>
          <w:b w:val="false"/>
          <w:color w:val="000000"/>
          <w:sz w:val="24"/>
        </w:rPr>
        <w:br/>
        <w:t>Name: Su-Lin Watson</w:t>
        <w:br/>
        <w:t>Title: Managing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512445"/>
                <wp:effectExtent l="0" t="0" r="0" b="0"/>
                <wp:wrapNone/>
                <wp:docPr id="205" name="Frame204"/>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tLeast"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CRÉDIT INDUSTRIEL ET COMMERCIAL, NEW YORK BRANCH, as a Lender and an Issuing Lender</w:t>
      </w:r>
    </w:p>
    <w:p>
      <w:pPr>
        <w:pStyle w:val="TextBody"/>
        <w:bidi w:val="0"/>
        <w:spacing w:before="240" w:after="283"/>
        <w:jc w:val="left"/>
        <w:rPr/>
      </w:pPr>
      <w:r>
        <w:rPr/>
      </w:r>
    </w:p>
    <w:p>
      <w:pPr>
        <w:pStyle w:val="TextBody"/>
        <w:bidi w:val="0"/>
        <w:spacing w:lineRule="auto" w:line="333" w:before="0" w:after="0"/>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Adrienne Molloy        </w:t>
      </w:r>
      <w:r>
        <w:rPr>
          <w:rFonts w:ascii="Times New Roman;serif" w:hAnsi="Times New Roman;serif"/>
          <w:b w:val="false"/>
          <w:color w:val="000000"/>
          <w:sz w:val="24"/>
        </w:rPr>
        <w:br/>
        <w:t>Name: Adrienne Molloy</w:t>
        <w:br/>
        <w:t>Title: Managing Director</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Clifford Abramsky        </w:t>
      </w:r>
      <w:r>
        <w:rPr>
          <w:rFonts w:ascii="Times New Roman;serif" w:hAnsi="Times New Roman;serif"/>
          <w:b w:val="false"/>
          <w:color w:val="000000"/>
          <w:sz w:val="24"/>
        </w:rPr>
        <w:br/>
        <w:t>Name: Clifford Abramsky</w:t>
        <w:br/>
        <w:t>Title: Managing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512445"/>
                <wp:effectExtent l="0" t="0" r="0" b="0"/>
                <wp:wrapNone/>
                <wp:docPr id="206" name="Frame205"/>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BANK OF CHINA LIMITED, NEW YORK BRANCH, as a Lender and an Issuing Lender</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Raymond Qiao        </w:t>
      </w:r>
      <w:r>
        <w:rPr>
          <w:rFonts w:ascii="Times New Roman;serif" w:hAnsi="Times New Roman;serif"/>
          <w:b w:val="false"/>
          <w:color w:val="000000"/>
          <w:sz w:val="24"/>
        </w:rPr>
        <w:br/>
        <w:t>Name: Raymond Qiao</w:t>
        <w:br/>
        <w:t>Title: Executive Vice President</w:t>
      </w:r>
    </w:p>
    <w:p>
      <w:pPr>
        <w:pStyle w:val="TextBody"/>
        <w:bidi w:val="0"/>
        <w:spacing w:before="0" w:after="0"/>
        <w:jc w:val="righ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512445"/>
                <wp:effectExtent l="0" t="0" r="0" b="0"/>
                <wp:wrapNone/>
                <wp:docPr id="207" name="Frame206"/>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RAYMOND JAMES BANK, as a Lender</w:t>
      </w:r>
    </w:p>
    <w:p>
      <w:pPr>
        <w:pStyle w:val="TextBody"/>
        <w:bidi w:val="0"/>
        <w:spacing w:before="240" w:after="283"/>
        <w:jc w:val="left"/>
        <w:rPr/>
      </w:pPr>
      <w:r>
        <w:rPr/>
      </w:r>
    </w:p>
    <w:p>
      <w:pPr>
        <w:pStyle w:val="TextBody"/>
        <w:bidi w:val="0"/>
        <w:spacing w:lineRule="auto" w:line="333"/>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Fern Lindsay        </w:t>
      </w:r>
      <w:r>
        <w:rPr>
          <w:rFonts w:ascii="Times New Roman;serif" w:hAnsi="Times New Roman;serif"/>
          <w:b w:val="false"/>
          <w:color w:val="000000"/>
          <w:sz w:val="24"/>
        </w:rPr>
        <w:br/>
        <w:t>Name: Fern Lindsay</w:t>
        <w:br/>
        <w:t>Title: Senior Vice President</w:t>
      </w:r>
    </w:p>
    <w:p>
      <w:pPr>
        <w:pStyle w:val="TextBody"/>
        <w:bidi w:val="0"/>
        <w:spacing w:before="0" w:after="0"/>
        <w:jc w:val="righ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512445"/>
                <wp:effectExtent l="0" t="0" r="0" b="0"/>
                <wp:wrapNone/>
                <wp:docPr id="208" name="Frame207"/>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SUMITOMO MITSUI TRUST BANK, LIMITED, NEW YORK BRANCH, as a Lender </w:t>
      </w:r>
    </w:p>
    <w:p>
      <w:pPr>
        <w:pStyle w:val="TextBody"/>
        <w:bidi w:val="0"/>
        <w:spacing w:lineRule="auto" w:line="333" w:before="480" w:after="283"/>
        <w:ind w:left="0" w:right="0" w:hanging="36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Ritch Vilas Boas    </w:t>
      </w:r>
      <w:r>
        <w:rPr>
          <w:rFonts w:ascii="Times New Roman;serif" w:hAnsi="Times New Roman;serif"/>
          <w:b w:val="false"/>
          <w:color w:val="000000"/>
          <w:sz w:val="24"/>
        </w:rPr>
        <w:br/>
        <w:t>Name: Ritch Vilas Boas</w:t>
        <w:br/>
        <w:t>Title: Senior Director</w:t>
      </w:r>
    </w:p>
    <w:p>
      <w:pPr>
        <w:pStyle w:val="TextBody"/>
        <w:bidi w:val="0"/>
        <w:spacing w:before="24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w:t>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512445"/>
                <wp:effectExtent l="0" t="0" r="0" b="0"/>
                <wp:wrapNone/>
                <wp:docPr id="209" name="Frame208"/>
                <a:graphic xmlns:a="http://schemas.openxmlformats.org/drawingml/2006/main">
                  <a:graphicData uri="http://schemas.microsoft.com/office/word/2010/wordprocessingShape">
                    <wps:wsp>
                      <wps:cNvSpPr txBox="1"/>
                      <wps:spPr>
                        <a:xfrm>
                          <a:off x="0" y="0"/>
                          <a:ext cx="6480175" cy="512445"/>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UAL Second Amended and Restated Revolving Credit and Guaranty Agreement 2026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AMENDMENT NO. 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TO THE AMENDED AND RESTATED A350-900 PURCHASE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dated as of September 1, 2017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between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AIRBUS S.A.S.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UNITED AIRLINES, INC.</w:t>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This Amendment No. 11 to the Amended and Restated A350-900 Purchase Agreement between Airbus S.A.S. and United Airlines, Inc. (hereinafter referred to as 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xml:space="preserve">) is entered into as of July </w:t>
      </w:r>
      <w:r>
        <w:rPr>
          <w:rFonts w:ascii="Times New Roman;serif" w:hAnsi="Times New Roman;serif"/>
          <w:b w:val="false"/>
          <w:color w:val="000000"/>
          <w:sz w:val="24"/>
          <w:u w:val="single"/>
        </w:rPr>
        <w:t>31</w:t>
      </w:r>
      <w:r>
        <w:rPr>
          <w:rFonts w:ascii="Times New Roman;serif" w:hAnsi="Times New Roman;serif"/>
          <w:b w:val="false"/>
          <w:color w:val="000000"/>
          <w:sz w:val="24"/>
        </w:rPr>
        <w:t xml:space="preserve">, 2026 by and between AIRBUS S.A.S., a </w:t>
      </w:r>
      <w:r>
        <w:rPr>
          <w:rFonts w:ascii="Times New Roman;serif" w:hAnsi="Times New Roman;serif"/>
          <w:b w:val="false"/>
          <w:i/>
          <w:color w:val="000000"/>
          <w:sz w:val="24"/>
        </w:rPr>
        <w:t>société par actions simplifiée</w:t>
      </w:r>
      <w:r>
        <w:rPr>
          <w:rFonts w:ascii="Times New Roman;serif" w:hAnsi="Times New Roman;serif"/>
          <w:b w:val="false"/>
          <w:color w:val="000000"/>
          <w:sz w:val="24"/>
        </w:rPr>
        <w:t>, organized and existing under the laws of the Republic of France, having its registered office located at 2, Rond Point Emile Dewoitine, 31700 Blagnac, France (hereinafter referred to as the “</w:t>
      </w:r>
      <w:r>
        <w:rPr>
          <w:rFonts w:ascii="Times New Roman;serif" w:hAnsi="Times New Roman;serif"/>
          <w:b/>
          <w:color w:val="000000"/>
          <w:sz w:val="24"/>
        </w:rPr>
        <w:t>Seller</w:t>
      </w:r>
      <w:r>
        <w:rPr>
          <w:color w:val="000000"/>
        </w:rPr>
        <w:t>”</w:t>
      </w:r>
      <w:r>
        <w:rPr>
          <w:rFonts w:ascii="Times New Roman;serif" w:hAnsi="Times New Roman;serif"/>
          <w:b w:val="false"/>
          <w:color w:val="000000"/>
          <w:sz w:val="24"/>
        </w:rPr>
        <w:t>), and UNITED AIRLINES, INC., a corporation organized and existing under the laws of the State of Delaware, United States of America, having its principal corporate offices located at 233 South Wacker Drive, Chicago, Illinois 60606, U.S.A. (hereinafter referred to as the “</w:t>
      </w:r>
      <w:r>
        <w:rPr>
          <w:rFonts w:ascii="Times New Roman;serif" w:hAnsi="Times New Roman;serif"/>
          <w:b/>
          <w:color w:val="000000"/>
          <w:sz w:val="24"/>
        </w:rPr>
        <w:t>Buyer</w:t>
      </w:r>
      <w:r>
        <w:rPr>
          <w:color w:val="000000"/>
        </w:rPr>
        <w:t>”</w:t>
      </w:r>
      <w:r>
        <w:rPr>
          <w:rFonts w:ascii="Times New Roman;serif" w:hAnsi="Times New Roman;serif"/>
          <w:b w:val="false"/>
          <w:color w:val="000000"/>
          <w:sz w:val="24"/>
        </w:rPr>
        <w: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WITNESSETH: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WHEREAS, the Buyer and the Seller entered into the Amended and Restated A350-900 Purchase Agreement, dated as of September 1, 2017 which, together with all Exhibits, Appendices and Letter Agreements attached thereto and as amended, modified or supplemented from time to time is hereinafter called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and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br/>
        <w:t>WHEREAS, the Buyer and the Seller are ***, and ***,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WHEREAS, the Buyer and the Seller have agreed to amend certain terms of the Agreement as set forth herein,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NOW, THEREFORE, IT IS AGREED AS FOLLOWS:</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expressly defined in this Amendment shall have the meanings assigned thereto in the Agreement. The terms “herein”, “hereof”, and “hereunder” and words of similar import refer to this Amendment.</w:t>
      </w:r>
    </w:p>
    <w:p>
      <w:pPr>
        <w:pStyle w:val="TextBody"/>
        <w:bidi w:val="0"/>
        <w:spacing w:before="0" w:after="0"/>
        <w:ind w:left="0" w:right="0" w:hanging="1440"/>
        <w:jc w:val="both"/>
        <w:rPr/>
      </w:pPr>
      <w:r>
        <w:rPr/>
      </w:r>
    </w:p>
    <w:p>
      <w:pPr>
        <w:pStyle w:val="TextBody"/>
        <w:bidi w:val="0"/>
        <w:spacing w:lineRule="auto" w:line="216" w:before="0" w:after="0"/>
        <w:ind w:left="0" w:right="0" w:hanging="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AMENDMENTS</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665480"/>
                <wp:effectExtent l="0" t="0" r="0" b="0"/>
                <wp:wrapNone/>
                <wp:docPr id="210" name="Frame209"/>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 Amendment No. 11    AM11-1</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 Amendment No. 11    AM11-1</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ind w:left="0" w:right="0" w:hanging="720"/>
        <w:jc w:val="both"/>
        <w:rPr/>
      </w:pPr>
      <w:r>
        <w:rPr>
          <w:rFonts w:ascii="Times New Roman;serif" w:hAnsi="Times New Roman;serif"/>
          <w:b w:val="false"/>
          <w:color w:val="000000"/>
          <w:sz w:val="24"/>
          <w:u w:val="single"/>
        </w:rPr>
        <w:t>2.1</w:t>
      </w:r>
      <w:r>
        <w:rPr>
          <w:rFonts w:ascii="Times New Roman;serif" w:hAnsi="Times New Roman;serif"/>
          <w:b w:val="false"/>
          <w:color w:val="000000"/>
          <w:sz w:val="24"/>
        </w:rPr>
        <w:t>Definition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definition is entirely deleted and replaced by the following: </w:t>
      </w:r>
    </w:p>
    <w:p>
      <w:pPr>
        <w:pStyle w:val="TextBody"/>
        <w:bidi w:val="0"/>
        <w:spacing w:before="0" w:after="0"/>
        <w:jc w:val="both"/>
        <w:rPr/>
      </w:pPr>
      <w:r>
        <w:rPr/>
      </w:r>
    </w:p>
    <w:p>
      <w:pPr>
        <w:pStyle w:val="TextBody"/>
        <w:bidi w:val="0"/>
        <w:spacing w:lineRule="auto" w:line="288" w:before="0" w:after="0"/>
        <w:jc w:val="both"/>
        <w:rPr/>
      </w:pPr>
      <w:r>
        <w:rPr>
          <w:color w:val="000000"/>
          <w:u w:val="single"/>
        </w:rPr>
        <w:t>“</w:t>
      </w:r>
      <w:r>
        <w:rPr>
          <w:rFonts w:ascii="Times New Roman;serif" w:hAnsi="Times New Roman;serif"/>
          <w:b w:val="false"/>
          <w:color w:val="000000"/>
          <w:sz w:val="24"/>
          <w:u w:val="single"/>
        </w:rPr>
        <w:t>Scheduled Delivery ***</w:t>
      </w:r>
      <w:r>
        <w:rPr>
          <w:color w:val="000000"/>
        </w:rPr>
        <w:t xml:space="preserve"> – </w:t>
      </w:r>
      <w:r>
        <w:rPr>
          <w:rFonts w:ascii="Times New Roman;serif" w:hAnsi="Times New Roman;serif"/>
          <w:b w:val="false"/>
          <w:color w:val="000000"/>
          <w:sz w:val="24"/>
        </w:rPr>
        <w:t>for each Aircraft, the *** in which such Aircraft is scheduled to be Ready for Delivery at the Delivery Location, it being agreed that, as of *** for any Aircraft.”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2.2    Clause 9.1 of the Agreement is entirely deleted and replaced by the following: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rPr>
        <w:t>9.1    </w:t>
      </w:r>
      <w:r>
        <w:rPr>
          <w:rFonts w:ascii="Times New Roman;serif" w:hAnsi="Times New Roman;serif"/>
          <w:b w:val="false"/>
          <w:color w:val="000000"/>
          <w:sz w:val="24"/>
          <w:u w:val="single"/>
        </w:rPr>
        <w:t>Delivery Schedule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4"/>
        </w:rPr>
        <w:t xml:space="preserve">Intentionally left blank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9.1.1    The Seller will communicate to the Buyer the scheduled delivery *** of each Aircraft (its “</w:t>
      </w:r>
      <w:r>
        <w:rPr>
          <w:rFonts w:ascii="Times New Roman;serif" w:hAnsi="Times New Roman;serif"/>
          <w:b/>
          <w:color w:val="000000"/>
          <w:sz w:val="24"/>
        </w:rPr>
        <w:t>Scheduled Delivery ***</w:t>
      </w:r>
      <w:r>
        <w:rPr>
          <w:color w:val="000000"/>
        </w:rPr>
        <w:t>”</w:t>
      </w:r>
      <w:r>
        <w:rPr>
          <w:rFonts w:ascii="Times New Roman;serif" w:hAnsi="Times New Roman;serif"/>
          <w:b w:val="false"/>
          <w:color w:val="000000"/>
          <w:sz w:val="24"/>
        </w:rPr>
        <w:t xml:space="preserve">), no later than *** before the first day of the calendar year corresponding to the Scheduled Delivery *** of such Aircraft.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9.1.2    The Seller will give the Buyer ***. Thereafter the Seller will notify the Buyer of any ***.”</w:t>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 xml:space="preserve">LETTER AGREEMENTS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Amended and Restated Letter Agreement No. 14 to the Agreement dated as of February 27, 2026, is hereby deleted and replaced with the Amended and Restated Letter Agreement No. 14 dated as of the date hereof.</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EFFECT OF THE AMENDMENT</w:t>
      </w:r>
    </w:p>
    <w:p>
      <w:pPr>
        <w:pStyle w:val="TextBody"/>
        <w:bidi w:val="0"/>
        <w:spacing w:before="0" w:after="0"/>
        <w:ind w:left="0" w:right="0" w:hanging="144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Agreement shall be deemed amended to the extent herein provided, and, except as specifically amended hereby, shall continue in full force and effect in accordance with its original terms. This Amendment supersedes any previous understandings, commitments, or representations whatsoever, whether oral or written, related to the subject matter of this Amendment.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Both parties agree that this Amendment shall constitute an integral, non-severable part of the Agreement, that the provisions of the Agreement are hereby incorporated herein by reference, and that this Amendment shall be governed by the provisions of the Agreement, except that if the Agreement and this Amendment have specific provisions that are inconsistent, the specific provisions contained in this Amendment shall govern.</w:t>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 xml:space="preserve">ASSIGNMENT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This Amendment and the rights and obligations of the parties shall be subject to the provisions of Clause 21 of the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464185"/>
                <wp:effectExtent l="0" t="0" r="0" b="0"/>
                <wp:wrapNone/>
                <wp:docPr id="211" name="Frame210"/>
                <a:graphic xmlns:a="http://schemas.openxmlformats.org/drawingml/2006/main">
                  <a:graphicData uri="http://schemas.microsoft.com/office/word/2010/wordprocessingShape">
                    <wps:wsp>
                      <wps:cNvSpPr txBox="1"/>
                      <wps:spPr>
                        <a:xfrm>
                          <a:off x="0" y="0"/>
                          <a:ext cx="6480175" cy="46418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 Amendment No. 11    AM11-2</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 Amendment No. 11    AM11-2</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CONFIDENTIALITY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This Amendment is subject to the terms and conditions of Clause 22.10 of the Agreement. </w:t>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GOVERNING LAW</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governing law shall be as set forth in Clause 22.6 of the Agreement.</w:t>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COUNTERPARTS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This Amendment may be executed by the parties hereto in separate counterparts, each of which when so executed and delivered will be an original, but all such counterparts will together constitute one and the same instrument.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464185"/>
                <wp:effectExtent l="0" t="0" r="0" b="0"/>
                <wp:wrapNone/>
                <wp:docPr id="212" name="Frame211"/>
                <a:graphic xmlns:a="http://schemas.openxmlformats.org/drawingml/2006/main">
                  <a:graphicData uri="http://schemas.microsoft.com/office/word/2010/wordprocessingShape">
                    <wps:wsp>
                      <wps:cNvSpPr txBox="1"/>
                      <wps:spPr>
                        <a:xfrm>
                          <a:off x="0" y="0"/>
                          <a:ext cx="6480175" cy="46418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 Amendment No. 11    AM11-3</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 Amendment No. 11    AM11-3</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3"/>
        </w:rPr>
      </w:pPr>
      <w:r>
        <w:rPr>
          <w:rFonts w:ascii="Times New Roman;serif" w:hAnsi="Times New Roman;serif"/>
          <w:b w:val="false"/>
          <w:color w:val="000000"/>
          <w:sz w:val="23"/>
        </w:rPr>
        <w:t>IN WITNESS WHEREOF, this Amendment was entered into as of the day and year first above written.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 AIRLINES,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John Gebo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John Gebo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SVP – Treasury, Fleet &amp; Fuel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AIRBUS S.A.S.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Paul Meijers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Paul Meijers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Executive Vice President, Commercial Transactions</w:t>
      </w:r>
    </w:p>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665480"/>
                <wp:effectExtent l="0" t="0" r="0" b="0"/>
                <wp:wrapNone/>
                <wp:docPr id="213" name="Frame212"/>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 Amendment No. 11</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 Amendment No. 11</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AMENDED AND RESTATED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LETTER AGREEMENT NO. 14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TO THE AMENDED AND RESTATED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A350-900 PURCHASE AGREEMENT</w:t>
      </w:r>
    </w:p>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As of July 31, 2026</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UNITED AIRLINES,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233 South Wacker Drive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Chicago, Illinois 60606</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USA</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Re: </w:t>
      </w:r>
      <w:r>
        <w:rPr>
          <w:rFonts w:ascii="Times New Roman;serif" w:hAnsi="Times New Roman;serif"/>
          <w:b w:val="false"/>
          <w:color w:val="000000"/>
          <w:sz w:val="24"/>
          <w:u w:val="single"/>
        </w:rPr>
        <w:t>AIRCRAFT ORDER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Dear Ladies and Gentlemen,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UNITED AIRLINES, INC. (the “</w:t>
      </w:r>
      <w:r>
        <w:rPr>
          <w:rFonts w:ascii="Times New Roman;serif" w:hAnsi="Times New Roman;serif"/>
          <w:b/>
          <w:color w:val="000000"/>
          <w:sz w:val="24"/>
        </w:rPr>
        <w:t>Buyer</w:t>
      </w:r>
      <w:r>
        <w:rPr>
          <w:color w:val="000000"/>
        </w:rPr>
        <w:t>”</w:t>
      </w:r>
      <w:r>
        <w:rPr>
          <w:rFonts w:ascii="Times New Roman;serif" w:hAnsi="Times New Roman;serif"/>
          <w:b w:val="false"/>
          <w:color w:val="000000"/>
          <w:sz w:val="24"/>
        </w:rPr>
        <w:t>), and AIRBUS S.A.S. (the “</w:t>
      </w:r>
      <w:r>
        <w:rPr>
          <w:rFonts w:ascii="Times New Roman;serif" w:hAnsi="Times New Roman;serif"/>
          <w:b/>
          <w:color w:val="000000"/>
          <w:sz w:val="24"/>
        </w:rPr>
        <w:t>Seller</w:t>
      </w:r>
      <w:r>
        <w:rPr>
          <w:color w:val="000000"/>
        </w:rPr>
        <w:t>”</w:t>
      </w:r>
      <w:r>
        <w:rPr>
          <w:rFonts w:ascii="Times New Roman;serif" w:hAnsi="Times New Roman;serif"/>
          <w:b w:val="false"/>
          <w:color w:val="000000"/>
          <w:sz w:val="24"/>
        </w:rPr>
        <w:t>), have entered into an Amended and Restated A350-900 Purchase Agreement dated as of September 1, 2017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which covers, among other things, the sale by the Seller and the purchase by the Buyer of certain Aircraft, under the terms and conditions set forth in said Agreement. The Buyer and the Seller have agreed to set forth in this Amended and Restated Letter Agreement No. 14 (this “</w:t>
      </w:r>
      <w:r>
        <w:rPr>
          <w:rFonts w:ascii="Times New Roman;serif" w:hAnsi="Times New Roman;serif"/>
          <w:b/>
          <w:color w:val="000000"/>
          <w:sz w:val="24"/>
        </w:rPr>
        <w:t>Letter Agreement</w:t>
      </w:r>
      <w:r>
        <w:rPr>
          <w:color w:val="000000"/>
        </w:rPr>
        <w:t>”</w:t>
      </w:r>
      <w:r>
        <w:rPr>
          <w:rFonts w:ascii="Times New Roman;serif" w:hAnsi="Times New Roman;serif"/>
          <w:b w:val="false"/>
          <w:color w:val="000000"/>
          <w:sz w:val="24"/>
        </w:rPr>
        <w:t>) certain additional terms and conditions regarding the sale of the Aircraft. Amended and Restated Letter Agreement No. 14 dated as of February 27, 2026 to the Agreement is hereby amended and restated in its entirety to read as set forth herein. Capitalized terms used herein and not otherwise defined in this Letter Agreement will have the meanings assigned thereto in the Agreement. The terms “herein,” “hereof” and “hereunder” and words of similar import refer to this Letter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Both parties agree that this Letter Agreement will constitute an integral, nonseverable part of said Agreement, that the provisions of said Agreement are hereby incorporated herein by reference, and that this Letter Agreement will be governed by the provisions of said Agreement, except that if the Agreement and this Letter Agreement have specific provisions which are inconsistent, the specific provisions contained in this Letter Agreement will govern.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464185"/>
                <wp:effectExtent l="0" t="0" r="0" b="0"/>
                <wp:wrapNone/>
                <wp:docPr id="214" name="Frame213"/>
                <a:graphic xmlns:a="http://schemas.openxmlformats.org/drawingml/2006/main">
                  <a:graphicData uri="http://schemas.microsoft.com/office/word/2010/wordprocessingShape">
                    <wps:wsp>
                      <wps:cNvSpPr txBox="1"/>
                      <wps:spPr>
                        <a:xfrm>
                          <a:off x="0" y="0"/>
                          <a:ext cx="6480175" cy="46418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LA14-5</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LA14-5</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v:textbox>
                <w10:wrap type="none"/>
              </v:rect>
            </w:pict>
          </mc:Fallback>
        </mc:AlternateContent>
      </w:r>
    </w:p>
    <w:p>
      <w:pPr>
        <w:pStyle w:val="TextBody"/>
        <w:bidi w:val="0"/>
        <w:spacing w:lineRule="auto" w:line="240" w:before="0" w:after="0"/>
        <w:ind w:left="0" w:right="0" w:hanging="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w:t>
      </w:r>
    </w:p>
    <w:p>
      <w:pPr>
        <w:pStyle w:val="TextBody"/>
        <w:bidi w:val="0"/>
        <w:spacing w:before="0" w:after="0"/>
        <w:ind w:left="0" w:right="0" w:hanging="108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1.1The Seller offers the Buyer the *** certain Aircraft under the Agreement (the “</w:t>
      </w:r>
      <w:r>
        <w:rPr>
          <w:rFonts w:ascii="Times New Roman;serif" w:hAnsi="Times New Roman;serif"/>
          <w:b/>
          <w:color w:val="000000"/>
          <w:sz w:val="24"/>
        </w:rPr>
        <w:t>***</w:t>
      </w:r>
      <w:r>
        <w:rPr>
          <w:color w:val="000000"/>
        </w:rPr>
        <w:t>”</w:t>
      </w:r>
      <w:r>
        <w:rPr>
          <w:rFonts w:ascii="Times New Roman;serif" w:hAnsi="Times New Roman;serif"/>
          <w:b w:val="false"/>
          <w:color w:val="000000"/>
          <w:sz w:val="24"/>
        </w:rPr>
        <w:t>), subject to the following terms and conditions: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(i)The *** is only granted to the Buyer for *** of the following Aircraft which are included in the Buyer’s *** order of *** Aircraft, as follows (each a “</w:t>
      </w:r>
      <w:r>
        <w:rPr>
          <w:rFonts w:ascii="Times New Roman;serif" w:hAnsi="Times New Roman;serif"/>
          <w:b/>
          <w:color w:val="000000"/>
          <w:sz w:val="24"/>
        </w:rPr>
        <w:t>***</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12"/>
        <w:jc w:val="both"/>
        <w:rPr/>
      </w:pPr>
      <w:r>
        <w:rPr>
          <w:rFonts w:ascii="Times New Roman;serif" w:hAnsi="Times New Roman;serif"/>
          <w:b w:val="false"/>
          <w:color w:val="000000"/>
          <w:sz w:val="24"/>
          <w:u w:val="single"/>
        </w:rPr>
        <w:t>Aircraft number</w:t>
      </w:r>
      <w:r>
        <w:rPr>
          <w:color w:val="000000"/>
        </w:rPr>
        <w:t>    </w:t>
      </w:r>
      <w:r>
        <w:rPr>
          <w:rFonts w:ascii="Times New Roman;serif" w:hAnsi="Times New Roman;serif"/>
          <w:b w:val="false"/>
          <w:color w:val="000000"/>
          <w:sz w:val="24"/>
          <w:u w:val="single"/>
        </w:rPr>
        <w:t>Aircraft type</w:t>
      </w:r>
      <w:r>
        <w:rPr>
          <w:color w:val="000000"/>
        </w:rPr>
        <w:t>            </w:t>
      </w:r>
    </w:p>
    <w:p>
      <w:pPr>
        <w:pStyle w:val="TextBody"/>
        <w:bidi w:val="0"/>
        <w:spacing w:before="0" w:after="0"/>
        <w:ind w:left="0" w:right="0" w:firstLine="12"/>
        <w:jc w:val="both"/>
        <w:rPr/>
      </w:pPr>
      <w:r>
        <w:rPr/>
      </w:r>
    </w:p>
    <w:p>
      <w:pPr>
        <w:pStyle w:val="TextBody"/>
        <w:bidi w:val="0"/>
        <w:spacing w:lineRule="auto" w:line="288" w:before="0" w:after="0"/>
        <w:ind w:left="0" w:right="0" w:firstLine="12"/>
        <w:jc w:val="both"/>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before="0" w:after="0"/>
        <w:ind w:left="0" w:right="0" w:firstLine="12"/>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(ii)The Buyer will give the *** a one-time written notice of *** on a date falling between *** and *** (the “</w:t>
      </w:r>
      <w:r>
        <w:rPr>
          <w:rFonts w:ascii="Times New Roman;serif" w:hAnsi="Times New Roman;serif"/>
          <w:b/>
          <w:color w:val="000000"/>
          <w:sz w:val="24"/>
        </w:rPr>
        <w:t>***</w:t>
      </w:r>
      <w:r>
        <w:rPr>
          <w:color w:val="000000"/>
        </w:rPr>
        <w:t>”</w:t>
      </w:r>
      <w:r>
        <w:rPr>
          <w:rFonts w:ascii="Times New Roman;serif" w:hAnsi="Times New Roman;serif"/>
          <w:b w:val="false"/>
          <w:color w:val="000000"/>
          <w:sz w:val="24"/>
        </w:rPr>
        <w:t>). Such notice shall identify all of the *** with respect to which the Buyer ***.</w:t>
      </w:r>
    </w:p>
    <w:p>
      <w:pPr>
        <w:pStyle w:val="TextBody"/>
        <w:bidi w:val="0"/>
        <w:spacing w:before="0" w:after="0"/>
        <w:ind w:left="0" w:right="0" w:hanging="108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(iii)Any *** for which the (x) *** or (y) *** under the conditions set out in this Clause 1 shall be referred to as “</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and the order for such particular Aircraft will be deemed ***, and the terms of this Clause 1 hereof shall apply. </w:t>
      </w:r>
    </w:p>
    <w:p>
      <w:pPr>
        <w:pStyle w:val="TextBody"/>
        <w:bidi w:val="0"/>
        <w:spacing w:before="0" w:after="0"/>
        <w:ind w:left="0" w:right="0" w:hanging="108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(iv)Any *** for which the Buyer has *** under the conditions set out in this Clause 1 shall remain an Aircraft under the Agreement, and the Buyer’s *** with respect to such Aircraft shall lapse.</w:t>
      </w:r>
    </w:p>
    <w:p>
      <w:pPr>
        <w:pStyle w:val="TextBody"/>
        <w:bidi w:val="0"/>
        <w:spacing w:before="0" w:after="0"/>
        <w:ind w:left="0" w:right="0" w:hanging="108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(v)Should the Buyer not *** its *** pursuant to this Clause, the Buyer’s *** will lapse with respect to all ***, and the Buyer and ***. </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(vi)Notwithstanding the *** set out in this Clause 1.1, the Buyer grants the *** a *** to *** the *** (the “</w:t>
      </w:r>
      <w:r>
        <w:rPr>
          <w:rFonts w:ascii="Times New Roman;serif" w:hAnsi="Times New Roman;serif"/>
          <w:b/>
          <w:color w:val="000000"/>
          <w:sz w:val="24"/>
        </w:rPr>
        <w:t>***</w:t>
      </w:r>
      <w:r>
        <w:rPr>
          <w:color w:val="000000"/>
        </w:rPr>
        <w:t>”</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(vii)The Seller will give *** a one-time written notice of its desire *** on a date falling not later than *** (the “</w:t>
      </w:r>
      <w:r>
        <w:rPr>
          <w:rFonts w:ascii="Times New Roman;serif" w:hAnsi="Times New Roman;serif"/>
          <w:b/>
          <w:color w:val="000000"/>
          <w:sz w:val="24"/>
        </w:rPr>
        <w:t>***</w:t>
      </w:r>
      <w:r>
        <w:rPr>
          <w:color w:val="000000"/>
        </w:rPr>
        <w:t>”</w:t>
      </w:r>
      <w:r>
        <w:rPr>
          <w:rFonts w:ascii="Times New Roman;serif" w:hAnsi="Times New Roman;serif"/>
          <w:b w:val="false"/>
          <w:color w:val="000000"/>
          <w:sz w:val="24"/>
        </w:rPr>
        <w:t>). Such notice shall identify all of the *** with respect to which the *** wishes to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(viii)Should the Seller *** its *** pursuant to this Clause, the *** in respect of the *** shall be considered void and of no effect. The *** defined under Clause 1.1(i) a. to f. shall be understood to be revised by *** and the *** shall be reduced accordingly. </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(ix)Should the Seller not *** its Seller’s *** pursuant to this Clause, the Seller’s *** will lapse with respect to all ***. </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1.2Should the Buyer or the Seller *** the *** or the ***, respectively, with respect to ***, which shall in such case be Aircraft ***, then:</w:t>
      </w:r>
    </w:p>
    <w:p>
      <w:pPr>
        <w:pStyle w:val="TextBody"/>
        <w:bidi w:val="0"/>
        <w:ind w:left="0" w:right="0" w:hanging="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288925"/>
                <wp:effectExtent l="0" t="0" r="0" b="0"/>
                <wp:wrapNone/>
                <wp:docPr id="215" name="Frame214"/>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LA14-6</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LA14-6</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v:textbox>
                <w10:wrap type="none"/>
              </v:rect>
            </w:pict>
          </mc:Fallback>
        </mc:AlternateConten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(i)the *** made by the Buyer with respect to such *** and shall apply such ***, without the ***. Upon *** of the *** or *** will *** under this Agreement with respect to any such ***, and</w:t>
      </w:r>
    </w:p>
    <w:p>
      <w:pPr>
        <w:pStyle w:val="TextBody"/>
        <w:bidi w:val="0"/>
        <w:spacing w:before="0" w:after="0"/>
        <w:ind w:left="0" w:right="0" w:hanging="108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(ii)the *** advanced under the *** of even date hereof at the *** (as such terms are defined in such ***) shall ***. </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1.3Should the Buyer or the Seller *** the ***, respectively, with respect to ***, then *** with respect to any such *** and shall apply *** scheduled under ***. Upon *** of the *** or *** will *** under this Agreement with respect to any such ***. For the avoidance of doubt, any *** for *** which have become *** shall not be used to *** of the Agreement.</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1.4The exercise of the *** or *** shall not in any way be deemed *** of this Agreement or any other agreement involving Buyer or Seller.  Nor shall such exercise *** in this Clause 1.</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INTENTIONALLY LEFT BLANK</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 xml:space="preserve">INTENTIONALLY LEFT BLANK </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w:t>
      </w:r>
    </w:p>
    <w:p>
      <w:pPr>
        <w:pStyle w:val="TextBody"/>
        <w:bidi w:val="0"/>
        <w:spacing w:before="0" w:after="0"/>
        <w:ind w:left="0" w:right="0" w:hanging="108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Should the Buyer or the Seller *** the *** or the ***, respectively, with respect to any of the *** in accordance with this Letter Agreement, then all *** based on a fleet size of *** A350-900 Aircraft ***.</w:t>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ASSIGNMENT</w:t>
      </w:r>
    </w:p>
    <w:p>
      <w:pPr>
        <w:pStyle w:val="TextBody"/>
        <w:bidi w:val="0"/>
        <w:spacing w:before="0" w:after="0"/>
        <w:ind w:left="0" w:right="0" w:hanging="108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Letter Agreement and the rights and obligations of the parties will be subject to the provisions of Clause 21 of the Agreement.</w:t>
      </w:r>
    </w:p>
    <w:p>
      <w:pPr>
        <w:pStyle w:val="TextBody"/>
        <w:bidi w:val="0"/>
        <w:spacing w:before="0" w:after="0"/>
        <w:ind w:left="0" w:right="0" w:hanging="108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CONFIDENTIALITY</w:t>
      </w:r>
    </w:p>
    <w:p>
      <w:pPr>
        <w:pStyle w:val="TextBody"/>
        <w:bidi w:val="0"/>
        <w:spacing w:before="0" w:after="0"/>
        <w:ind w:left="0" w:right="0" w:hanging="108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Letter Agreement is subject to the terms and conditions of Clause 22.10 of the Agreement.</w:t>
      </w:r>
    </w:p>
    <w:p>
      <w:pPr>
        <w:pStyle w:val="TextBody"/>
        <w:bidi w:val="0"/>
        <w:spacing w:before="0" w:after="0"/>
        <w:ind w:left="0" w:right="0" w:hanging="1080"/>
        <w:jc w:val="both"/>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COUNTERPARTS</w:t>
      </w:r>
    </w:p>
    <w:p>
      <w:pPr>
        <w:pStyle w:val="TextBody"/>
        <w:bidi w:val="0"/>
        <w:spacing w:before="0" w:after="0"/>
        <w:ind w:left="0" w:right="0" w:hanging="108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Letter Agreement may be executed by the parties hereto in separate counterparts, each of which when so executed and delivered will be an original, but all such counterparts will together constitute but one and the same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288925"/>
                <wp:effectExtent l="0" t="0" r="0" b="0"/>
                <wp:wrapNone/>
                <wp:docPr id="216" name="Frame215"/>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LA14-7</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LA14-7</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the foregoing correctly sets forth your understanding, please execute the original and one (1) copy hereof in the space provided below and return a copy to the Seller.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AIRBUS S.A.S.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Paul Meijers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Paul Meijers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Executive Vice President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Commercial Transactions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 AIRLINES,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John Gebo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John Gebo</w:t>
      </w:r>
    </w:p>
    <w:p>
      <w:pPr>
        <w:pStyle w:val="TextBody"/>
        <w:bidi w:val="0"/>
        <w:spacing w:before="0" w:after="0"/>
        <w:jc w:val="left"/>
        <w:rPr/>
      </w:pPr>
      <w:r>
        <w:rPr/>
      </w:r>
    </w:p>
    <w:p>
      <w:pPr>
        <w:pStyle w:val="TextBody"/>
        <w:bidi w:val="0"/>
        <w:spacing w:lineRule="auto" w:line="288" w:before="0" w:after="0"/>
        <w:ind w:left="0" w:right="0" w:hanging="1080"/>
        <w:jc w:val="both"/>
        <w:rPr>
          <w:color w:val="000000"/>
        </w:rPr>
      </w:pPr>
      <w:r>
        <w:rPr>
          <w:color w:val="000000"/>
        </w:rPr>
        <w:t>    </w:t>
      </w:r>
      <w:r>
        <w:rPr>
          <w:rFonts w:ascii="Times New Roman;serif" w:hAnsi="Times New Roman;serif"/>
          <w:b w:val="false"/>
          <w:color w:val="000000"/>
          <w:sz w:val="24"/>
        </w:rPr>
        <w:t>Its:    SVP - Treasury, Fleet &amp; Fuel</w:t>
      </w:r>
    </w:p>
    <w:p>
      <w:pPr>
        <w:pStyle w:val="TextBody"/>
        <w:bidi w:val="0"/>
        <w:spacing w:before="0" w:after="0"/>
        <w:ind w:left="0" w:right="0" w:hanging="1080"/>
        <w:jc w:val="both"/>
        <w:rPr/>
      </w:pPr>
      <w:r>
        <w:rPr/>
      </w:r>
    </w:p>
    <w:p>
      <w:pPr>
        <w:pStyle w:val="TextBody"/>
        <w:bidi w:val="0"/>
        <w:spacing w:before="0" w:after="0"/>
        <w:ind w:left="0" w:right="0" w:hanging="1080"/>
        <w:jc w:val="both"/>
        <w:rPr/>
      </w:pPr>
      <w:r>
        <w:rPr/>
      </w:r>
    </w:p>
    <w:p>
      <w:pPr>
        <w:pStyle w:val="TextBody"/>
        <w:bidi w:val="0"/>
        <w:spacing w:before="0" w:after="0"/>
        <w:ind w:left="0" w:right="0" w:hanging="1080"/>
        <w:jc w:val="both"/>
        <w:rPr/>
      </w:pPr>
      <w:r>
        <w:rPr/>
      </w:r>
    </w:p>
    <w:p>
      <w:pPr>
        <w:pStyle w:val="TextBody"/>
        <w:bidi w:val="0"/>
        <w:spacing w:before="0" w:after="0"/>
        <w:ind w:left="0" w:right="0" w:hanging="1080"/>
        <w:jc w:val="both"/>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ind w:left="0" w:right="0" w:hanging="10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10.3</w:t>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464185"/>
                <wp:effectExtent l="0" t="0" r="0" b="0"/>
                <wp:wrapNone/>
                <wp:docPr id="217" name="Frame216"/>
                <a:graphic xmlns:a="http://schemas.openxmlformats.org/drawingml/2006/main">
                  <a:graphicData uri="http://schemas.microsoft.com/office/word/2010/wordprocessingShape">
                    <wps:wsp>
                      <wps:cNvSpPr txBox="1"/>
                      <wps:spPr>
                        <a:xfrm>
                          <a:off x="0" y="0"/>
                          <a:ext cx="6480175" cy="46418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CT1706024 – Amended and Restated A350-900 Purchase Agreement         A&amp;R LA14</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AIRBUS S.A.S. &amp; UNITED AIRLINES, INC. – PROPRIETARY AND CONFIDENTIAL</w:t>
                      </w:r>
                    </w:p>
                  </w:txbxContent>
                </v:textbox>
                <w10:wrap type="none"/>
              </v:rect>
            </w:pict>
          </mc:Fallback>
        </mc:AlternateContent>
      </w:r>
    </w:p>
    <w:p>
      <w:pPr>
        <w:pStyle w:val="TextBody"/>
        <w:bidi w:val="0"/>
        <w:spacing w:lineRule="auto" w:line="288" w:before="600" w:after="283"/>
        <w:jc w:val="center"/>
        <w:rPr>
          <w:rFonts w:ascii="Times New Roman;serif" w:hAnsi="Times New Roman;serif"/>
          <w:b/>
          <w:color w:val="000000"/>
          <w:sz w:val="24"/>
        </w:rPr>
      </w:pPr>
      <w:r>
        <w:rPr>
          <w:rFonts w:ascii="Times New Roman;serif" w:hAnsi="Times New Roman;serif"/>
          <w:b/>
          <w:color w:val="000000"/>
          <w:sz w:val="24"/>
        </w:rPr>
        <w:t xml:space="preserve">SUPPLEMENTAL AGREEMENT NO. 17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to</w:t>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PURCHASE AGREEMENT NUMBER 04815</w:t>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between</w:t>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THE BOEING COMPANY</w:t>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UNITED AIRLINES, INC.</w:t>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relating to</w:t>
      </w:r>
    </w:p>
    <w:p>
      <w:pPr>
        <w:pStyle w:val="TextBody"/>
        <w:bidi w:val="0"/>
        <w:spacing w:lineRule="auto" w:line="288" w:before="360" w:after="840"/>
        <w:jc w:val="center"/>
        <w:rPr>
          <w:rFonts w:ascii="Times New Roman;serif" w:hAnsi="Times New Roman;serif"/>
          <w:b/>
          <w:color w:val="000000"/>
          <w:sz w:val="24"/>
        </w:rPr>
      </w:pPr>
      <w:r>
        <w:rPr>
          <w:rFonts w:ascii="Times New Roman;serif" w:hAnsi="Times New Roman;serif"/>
          <w:b/>
          <w:color w:val="000000"/>
          <w:sz w:val="24"/>
        </w:rPr>
        <w:t>BOEING MODEL 787 AIRCRAFT</w:t>
      </w:r>
    </w:p>
    <w:p>
      <w:pPr>
        <w:pStyle w:val="TextBody"/>
        <w:bidi w:val="0"/>
        <w:spacing w:lineRule="auto" w:line="288" w:before="240" w:after="60"/>
        <w:ind w:left="0" w:right="0" w:firstLine="720"/>
        <w:jc w:val="both"/>
        <w:rPr/>
      </w:pPr>
      <w:r>
        <w:rPr>
          <w:rFonts w:ascii="Times New Roman;serif" w:hAnsi="Times New Roman;serif"/>
          <w:b w:val="false"/>
          <w:color w:val="000000"/>
          <w:sz w:val="24"/>
        </w:rPr>
        <w:t>THIS SUPPLEMENTAL AGREEMENT No. 17 (</w:t>
      </w:r>
      <w:r>
        <w:rPr>
          <w:rFonts w:ascii="Times New Roman;serif" w:hAnsi="Times New Roman;serif"/>
          <w:b/>
          <w:color w:val="000000"/>
          <w:sz w:val="24"/>
        </w:rPr>
        <w:t>SA-17</w:t>
      </w:r>
      <w:r>
        <w:rPr>
          <w:rFonts w:ascii="Times New Roman;serif" w:hAnsi="Times New Roman;serif"/>
          <w:b w:val="false"/>
          <w:color w:val="000000"/>
          <w:sz w:val="24"/>
        </w:rPr>
        <w:t xml:space="preserve">) is entered into as of August </w:t>
      </w:r>
      <w:r>
        <w:rPr>
          <w:rFonts w:ascii="Times New Roman;serif" w:hAnsi="Times New Roman;serif"/>
          <w:b w:val="false"/>
          <w:color w:val="000000"/>
          <w:sz w:val="24"/>
          <w:u w:val="single"/>
        </w:rPr>
        <w:t>28</w:t>
      </w:r>
      <w:r>
        <w:rPr>
          <w:rFonts w:ascii="Times New Roman;serif" w:hAnsi="Times New Roman;serif"/>
          <w:b w:val="false"/>
          <w:color w:val="000000"/>
          <w:sz w:val="24"/>
        </w:rPr>
        <w:t>, 2026 by and between The Boeing Company, a Delaware corporation, (</w:t>
      </w:r>
      <w:r>
        <w:rPr>
          <w:rFonts w:ascii="Times New Roman;serif" w:hAnsi="Times New Roman;serif"/>
          <w:b/>
          <w:color w:val="000000"/>
          <w:sz w:val="24"/>
        </w:rPr>
        <w:t>Boeing</w:t>
      </w:r>
      <w:r>
        <w:rPr>
          <w:rFonts w:ascii="Times New Roman;serif" w:hAnsi="Times New Roman;serif"/>
          <w:b w:val="false"/>
          <w:color w:val="000000"/>
          <w:sz w:val="24"/>
        </w:rPr>
        <w:t>) and United Airlines, Inc., a Delaware corporation, (</w:t>
      </w:r>
      <w:r>
        <w:rPr>
          <w:rFonts w:ascii="Times New Roman;serif" w:hAnsi="Times New Roman;serif"/>
          <w:b/>
          <w:color w:val="000000"/>
          <w:sz w:val="24"/>
        </w:rPr>
        <w:t>Customer</w:t>
      </w:r>
      <w:r>
        <w:rPr>
          <w:rFonts w:ascii="Times New Roman;serif" w:hAnsi="Times New Roman;serif"/>
          <w:b w:val="false"/>
          <w:color w:val="000000"/>
          <w:sz w:val="24"/>
        </w:rPr>
        <w:t>);</w:t>
      </w:r>
    </w:p>
    <w:p>
      <w:pPr>
        <w:pStyle w:val="TextBody"/>
        <w:bidi w:val="0"/>
        <w:spacing w:lineRule="auto" w:line="288" w:before="240" w:after="60"/>
        <w:ind w:left="0" w:right="0" w:firstLine="720"/>
        <w:jc w:val="both"/>
        <w:rPr/>
      </w:pPr>
      <w:r>
        <w:rPr>
          <w:rFonts w:ascii="Times New Roman;serif" w:hAnsi="Times New Roman;serif"/>
          <w:b w:val="false"/>
          <w:color w:val="000000"/>
          <w:sz w:val="24"/>
        </w:rPr>
        <w:t>WHEREAS, Customer and Boeing entered into Purchase Agreement No. 04815 dated as of the 31st day of May of 2018 as amended and supplemented (</w:t>
      </w:r>
      <w:r>
        <w:rPr>
          <w:rFonts w:ascii="Times New Roman;serif" w:hAnsi="Times New Roman;serif"/>
          <w:b/>
          <w:color w:val="000000"/>
          <w:sz w:val="24"/>
        </w:rPr>
        <w:t>Purchase Agreement</w:t>
      </w:r>
      <w:r>
        <w:rPr>
          <w:rFonts w:ascii="Times New Roman;serif" w:hAnsi="Times New Roman;serif"/>
          <w:b w:val="false"/>
          <w:color w:val="000000"/>
          <w:sz w:val="24"/>
        </w:rPr>
        <w:t>), relating to the purchase and sale of Model 787 aircraft. This Supplemental Agreement is an amendment to the Purchase Agreement.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solely to conform and further amend the Purchase Agreement to reflect Customer and Boeing’s agreement as follows:</w:t>
      </w:r>
    </w:p>
    <w:p>
      <w:pPr>
        <w:pStyle w:val="TextBody"/>
        <w:bidi w:val="0"/>
        <w:spacing w:lineRule="auto" w:line="288" w:before="0" w:after="0"/>
        <w:ind w:left="0" w:right="0" w:hanging="720"/>
        <w:jc w:val="both"/>
        <w:rPr/>
      </w:pPr>
      <w:r>
        <w:rPr>
          <w:rFonts w:ascii="Times New Roman;serif" w:hAnsi="Times New Roman;serif"/>
          <w:b w:val="false"/>
          <w:color w:val="000000"/>
          <w:sz w:val="24"/>
        </w:rPr>
        <w:t>(i)Customer’s purchase of *** 787-*** Aircraft arising from Customer’s *** in *** 787-*** Aircraft *** to the Purchase Agreement (</w:t>
      </w:r>
      <w:r>
        <w:rPr>
          <w:rFonts w:ascii="Times New Roman;serif" w:hAnsi="Times New Roman;serif"/>
          <w:b/>
          <w:color w:val="000000"/>
          <w:sz w:val="24"/>
        </w:rPr>
        <w:t>SA-17 *** Aircraft</w:t>
      </w:r>
      <w:r>
        <w:rPr>
          <w:rFonts w:ascii="Times New Roman;serif" w:hAnsi="Times New Roman;serif"/>
          <w:b w:val="false"/>
          <w:color w:val="000000"/>
          <w:sz w:val="24"/>
        </w:rPr>
        <w:t>) as follows:</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 will be *** and *** to the Purchase Agreement as Boeing model 787-*** aircraft; and</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 to the Purchase Agreement as a Boeing model 787-*** aircraft with the *** configuration.</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(ii)Relative to *** Aircraft, this SA-17 will *** the aggregate quantity of available 787-*** Aircraft by a quantity of *** due to Customer’s *** in the SA-17 *** Aircraft.</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85445"/>
                <wp:effectExtent l="0" t="0" r="0" b="0"/>
                <wp:wrapNone/>
                <wp:docPr id="218" name="Frame2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    SA-17    Page 1</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    SA-17    Page 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v:textbox>
                <w10:wrap type="none"/>
              </v:rect>
            </w:pict>
          </mc:Fallback>
        </mc:AlternateConten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 of *** model 787-*** aircraft with the *** configuration to *** model 787-*** aircraft with the *** configuration.</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(iv)Notwithstanding its current inclusion in “Table 1 *** 787-*** Aircraft”, (a) Customer has expressed its desire to *** configuration of the Boeing model 787-*** aircraft and Boeing has agreed to *** 787-*** aircraft configuration under mutually agreed terms for ***; and (b) the parties wish to make certain clarifications to the Exhibit A2 relative to the 787-*** Aircraft configuration.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herein contained, the parties agree to amend the Purchase Agreement as follows:</w:t>
      </w:r>
    </w:p>
    <w:p>
      <w:pPr>
        <w:pStyle w:val="TextBody"/>
        <w:bidi w:val="0"/>
        <w:spacing w:lineRule="auto" w:line="288" w:before="240" w:after="283"/>
        <w:ind w:left="0" w:right="0" w:hanging="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Table of Contents</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“Table of Contents” is deleted in its entirety and replaced with the attached “Table of Contents” (identified by “SA-17”).</w:t>
      </w:r>
    </w:p>
    <w:p>
      <w:pPr>
        <w:pStyle w:val="TextBody"/>
        <w:bidi w:val="0"/>
        <w:spacing w:lineRule="auto" w:line="288" w:before="240" w:after="283"/>
        <w:ind w:left="0" w:right="0" w:hanging="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 xml:space="preserve">Tables.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rPr>
        <w:t>The Table 1 entitled “</w:t>
      </w:r>
      <w:r>
        <w:rPr>
          <w:rFonts w:ascii="Times New Roman;serif" w:hAnsi="Times New Roman;serif"/>
          <w:b w:val="false"/>
          <w:i/>
          <w:color w:val="000000"/>
          <w:sz w:val="24"/>
        </w:rPr>
        <w:t>*** 787-*** Aircraft Delivery, Description, Price and ***</w:t>
      </w:r>
      <w:r>
        <w:rPr>
          <w:color w:val="000000"/>
        </w:rPr>
        <w:t xml:space="preserve">” </w:t>
      </w:r>
      <w:r>
        <w:rPr>
          <w:rFonts w:ascii="Times New Roman;serif" w:hAnsi="Times New Roman;serif"/>
          <w:b w:val="false"/>
          <w:color w:val="000000"/>
          <w:sz w:val="24"/>
        </w:rPr>
        <w:t>is deleted in its entirety and replaced with the similarly titled Table 1 (identified by a “SA-17” footer) to *** the available quantity of *** 787-*** Aircraft by *** a result of (i) *** into *** model 787-*** aircraft with the *** configuration from the *** 787-*** Aircraft configuration; and (ii) *** in *** Aircraft in the *** 787-*** Aircraft configuration.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rPr>
        <w:t>The Table 1 entitled “</w:t>
      </w:r>
      <w:r>
        <w:rPr>
          <w:rFonts w:ascii="Times New Roman;serif" w:hAnsi="Times New Roman;serif"/>
          <w:b w:val="false"/>
          <w:i/>
          <w:color w:val="000000"/>
          <w:sz w:val="24"/>
        </w:rPr>
        <w:t>*** 787-*** Aircraft Delivery, Description, Price and ***</w:t>
      </w:r>
      <w:r>
        <w:rPr>
          <w:color w:val="000000"/>
        </w:rPr>
        <w:t xml:space="preserve">” </w:t>
      </w:r>
      <w:r>
        <w:rPr>
          <w:rFonts w:ascii="Times New Roman;serif" w:hAnsi="Times New Roman;serif"/>
          <w:b w:val="false"/>
          <w:color w:val="000000"/>
          <w:sz w:val="24"/>
        </w:rPr>
        <w:t xml:space="preserve">(identified by a “SA-17” footer) is deleted in its entirety and replaced with the similarly titled Table 1 (identified by a “SA-17” footer) to *** the available quantity of *** 787-*** Aircraft by *** as a result of *** into *** model 787-*** aircraft with the *** configuration in lieu of the *** 787-*** Aircraft configuration.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rPr>
        <w:t>The Table 1 entitled “</w:t>
      </w:r>
      <w:r>
        <w:rPr>
          <w:rFonts w:ascii="Times New Roman;serif" w:hAnsi="Times New Roman;serif"/>
          <w:b w:val="false"/>
          <w:i/>
          <w:color w:val="000000"/>
          <w:sz w:val="24"/>
        </w:rPr>
        <w:t>*** 787-*** Aircraft with *** Engines Delivery, Description, Price and ***</w:t>
      </w:r>
      <w:r>
        <w:rPr>
          <w:color w:val="000000"/>
        </w:rPr>
        <w:t xml:space="preserve">” </w:t>
      </w:r>
      <w:r>
        <w:rPr>
          <w:rFonts w:ascii="Times New Roman;serif" w:hAnsi="Times New Roman;serif"/>
          <w:b w:val="false"/>
          <w:color w:val="000000"/>
          <w:sz w:val="24"/>
        </w:rPr>
        <w:t>is deleted in its entirety and replaced with the similarly titled Table 1 (identified by a “SA-17” footer) to *** the available quantity of Boeing model 787-*** aircraft by ***.</w:t>
      </w:r>
    </w:p>
    <w:p>
      <w:pPr>
        <w:pStyle w:val="TextBody"/>
        <w:bidi w:val="0"/>
        <w:spacing w:lineRule="auto" w:line="288" w:before="240" w:after="283"/>
        <w:ind w:left="0" w:right="0" w:hanging="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Exhibit and Letter Agreement Revisions</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rPr>
        <w:t>Exhibit A2 titled “787-*** Aircraft Configuration</w:t>
      </w:r>
      <w:r>
        <w:rPr>
          <w:color w:val="000000"/>
        </w:rPr>
        <w:t xml:space="preserve">” </w:t>
      </w:r>
      <w:r>
        <w:rPr>
          <w:rFonts w:ascii="Times New Roman;serif" w:hAnsi="Times New Roman;serif"/>
          <w:b/>
          <w:color w:val="000000"/>
          <w:sz w:val="24"/>
        </w:rPr>
        <w:t>i</w:t>
      </w:r>
      <w:r>
        <w:rPr>
          <w:rFonts w:ascii="Times New Roman;serif" w:hAnsi="Times New Roman;serif"/>
          <w:b w:val="false"/>
          <w:color w:val="000000"/>
          <w:sz w:val="24"/>
        </w:rPr>
        <w:t>s deleted in its entirety and replaced with the similarly titled Exhibit A2 (identified by a “SA-17” footer) to make certain clarifications relative to the existing 787-*** Aircraft configuration.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rPr>
        <w:t>Letter Agreement No. UAL-PA-04815-LA-1802897R5 is deleted in its entirety and replaced with Letter Agreement No. UAL-PA-04815-LA-1802897R6 entitled “*** Aircraft” (identified by “SA-17”) to *** the aggregate quantity of *** Aircraft by *** in Attachment A-1.</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85445"/>
                <wp:effectExtent l="0" t="0" r="0" b="0"/>
                <wp:wrapNone/>
                <wp:docPr id="219" name="Frame2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    SA-17    Page 2</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    SA-17    Page 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v:textbox>
                <w10:wrap type="none"/>
              </v:rect>
            </w:pict>
          </mc:Fallback>
        </mc:AlternateContent>
      </w:r>
    </w:p>
    <w:p>
      <w:pPr>
        <w:pStyle w:val="TextBody"/>
        <w:bidi w:val="0"/>
        <w:spacing w:lineRule="auto" w:line="288" w:before="240" w:after="283"/>
        <w:ind w:left="0" w:right="0" w:hanging="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 xml:space="preserve">Miscellaneous.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Boeing and Customer agree that there is *** upon execution of this SA-17 as a result of the amendments set forth in this SA-17 due to the 787 ***. </w:t>
      </w:r>
    </w:p>
    <w:p>
      <w:pPr>
        <w:pStyle w:val="TextBody"/>
        <w:bidi w:val="0"/>
        <w:spacing w:before="0" w:after="0"/>
        <w:jc w:val="left"/>
        <w:rPr/>
      </w:pPr>
      <w:r>
        <w:rPr/>
      </w:r>
    </w:p>
    <w:p>
      <w:pPr>
        <w:pStyle w:val="TextBody"/>
        <w:bidi w:val="0"/>
        <w:spacing w:lineRule="auto" w:line="288"/>
        <w:jc w:val="center"/>
        <w:rPr>
          <w:rFonts w:ascii="Times New Roman;serif" w:hAnsi="Times New Roman;serif"/>
          <w:b/>
          <w:i/>
          <w:color w:val="000000"/>
          <w:sz w:val="24"/>
        </w:rPr>
      </w:pPr>
      <w:r>
        <w:rPr>
          <w:rFonts w:ascii="Times New Roman;serif" w:hAnsi="Times New Roman;serif"/>
          <w:b/>
          <w:i/>
          <w:color w:val="000000"/>
          <w:sz w:val="24"/>
        </w:rPr>
        <w:t>The rest of the page is intentionally blank. 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85445"/>
                <wp:effectExtent l="0" t="0" r="0" b="0"/>
                <wp:wrapNone/>
                <wp:docPr id="220" name="Frame2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    SA-17    Page 3</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    SA-17    Page 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v:textbox>
                <w10:wrap type="none"/>
              </v:rect>
            </w:pict>
          </mc:Fallback>
        </mc:AlternateContent>
      </w:r>
    </w:p>
    <w:p>
      <w:pPr>
        <w:pStyle w:val="TextBody"/>
        <w:bidi w:val="0"/>
        <w:spacing w:lineRule="auto" w:line="288" w:before="360" w:after="283"/>
        <w:jc w:val="both"/>
        <w:rPr>
          <w:rFonts w:ascii="Times New Roman;serif" w:hAnsi="Times New Roman;serif"/>
          <w:b w:val="false"/>
          <w:color w:val="000000"/>
          <w:sz w:val="24"/>
        </w:rPr>
      </w:pPr>
      <w:r>
        <w:rPr>
          <w:rFonts w:ascii="Times New Roman;serif" w:hAnsi="Times New Roman;serif"/>
          <w:b w:val="false"/>
          <w:color w:val="000000"/>
          <w:sz w:val="24"/>
        </w:rPr>
        <w:t>The Purchase Agreement will be deemed supplemented to the extent provided herein as of the date hereof and as so supplemented will continue in full force and effect.</w:t>
      </w:r>
    </w:p>
    <w:p>
      <w:pPr>
        <w:pStyle w:val="TextBody"/>
        <w:bidi w:val="0"/>
        <w:spacing w:before="0" w:after="0"/>
        <w:jc w:val="left"/>
        <w:rPr/>
      </w:pPr>
      <w:r>
        <w:rPr/>
      </w:r>
    </w:p>
    <w:p>
      <w:pPr>
        <w:pStyle w:val="TextBody"/>
        <w:bidi w:val="0"/>
        <w:spacing w:lineRule="atLeast" w:line="240" w:before="0" w:after="0"/>
        <w:jc w:val="left"/>
        <w:rPr>
          <w:rFonts w:ascii="Times New Roman;serif" w:hAnsi="Times New Roman;serif"/>
          <w:b w:val="false"/>
          <w:color w:val="000000"/>
          <w:sz w:val="24"/>
        </w:rPr>
      </w:pPr>
      <w:r>
        <w:rPr>
          <w:rFonts w:ascii="Times New Roman;serif" w:hAnsi="Times New Roman;serif"/>
          <w:b w:val="false"/>
          <w:color w:val="000000"/>
          <w:sz w:val="24"/>
        </w:rPr>
        <w:t>EXECUTED IN DUPLICATE as of the day and year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295" w:type="dxa"/>
        <w:jc w:val="left"/>
        <w:tblInd w:w="0" w:type="dxa"/>
        <w:tblLayout w:type="fixed"/>
        <w:tblCellMar>
          <w:top w:w="28" w:type="dxa"/>
          <w:left w:w="28" w:type="dxa"/>
          <w:bottom w:w="28" w:type="dxa"/>
          <w:right w:w="28" w:type="dxa"/>
        </w:tblCellMar>
      </w:tblPr>
      <w:tblGrid>
        <w:gridCol w:w="1082"/>
        <w:gridCol w:w="949"/>
        <w:gridCol w:w="953"/>
        <w:gridCol w:w="109"/>
        <w:gridCol w:w="109"/>
        <w:gridCol w:w="109"/>
        <w:gridCol w:w="874"/>
        <w:gridCol w:w="874"/>
        <w:gridCol w:w="1236"/>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THE BOEING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UNITED AIRLINES, INC.</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 Irma L. Krueger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 John Gebo</w:t>
            </w:r>
          </w:p>
        </w:tc>
      </w:tr>
      <w:tr>
        <w:trPr/>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Signature</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360" w:after="283"/>
              <w:jc w:val="center"/>
              <w:rPr>
                <w:rFonts w:ascii="Times New Roman;serif" w:hAnsi="Times New Roman;serif"/>
                <w:b w:val="false"/>
                <w:color w:val="000000"/>
                <w:sz w:val="24"/>
              </w:rPr>
            </w:pPr>
            <w:r>
              <w:rPr>
                <w:rFonts w:ascii="Times New Roman;serif" w:hAnsi="Times New Roman;serif"/>
                <w:b w:val="false"/>
                <w:color w:val="000000"/>
                <w:sz w:val="24"/>
              </w:rPr>
              <w:t>Irma. L. Krueger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John Gebo</w:t>
            </w:r>
          </w:p>
        </w:tc>
      </w:tr>
      <w:tr>
        <w:trPr/>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Printed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Printed Name</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40"/>
              <w:jc w:val="left"/>
              <w:rPr/>
            </w:pPr>
            <w:r>
              <w:rPr/>
            </w:r>
          </w:p>
          <w:p>
            <w:pPr>
              <w:pStyle w:val="TableContents"/>
              <w:bidi w:val="0"/>
              <w:spacing w:lineRule="auto" w:line="288" w:before="0" w:after="40"/>
              <w:jc w:val="center"/>
              <w:rPr>
                <w:rFonts w:ascii="Times New Roman;serif" w:hAnsi="Times New Roman;serif"/>
                <w:b w:val="false"/>
                <w:color w:val="000000"/>
                <w:sz w:val="24"/>
              </w:rPr>
            </w:pPr>
            <w:r>
              <w:rPr>
                <w:rFonts w:ascii="Times New Roman;serif" w:hAnsi="Times New Roman;serif"/>
                <w:b w:val="false"/>
                <w:color w:val="000000"/>
                <w:sz w:val="24"/>
              </w:rPr>
              <w:t>Attorney-in-Fact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40"/>
              <w:jc w:val="left"/>
              <w:rPr/>
            </w:pPr>
            <w:r>
              <w:rPr/>
            </w:r>
          </w:p>
          <w:p>
            <w:pPr>
              <w:pStyle w:val="TableContents"/>
              <w:bidi w:val="0"/>
              <w:spacing w:lineRule="auto" w:line="288" w:before="0" w:after="40"/>
              <w:jc w:val="center"/>
              <w:rPr>
                <w:rFonts w:ascii="Times New Roman;serif" w:hAnsi="Times New Roman;serif"/>
                <w:b w:val="false"/>
                <w:color w:val="000000"/>
                <w:sz w:val="24"/>
              </w:rPr>
            </w:pPr>
            <w:r>
              <w:rPr>
                <w:rFonts w:ascii="Times New Roman;serif" w:hAnsi="Times New Roman;serif"/>
                <w:b w:val="false"/>
                <w:color w:val="000000"/>
                <w:sz w:val="24"/>
              </w:rPr>
              <w:t>SVP Treasury, Fleet &amp; Fuel</w:t>
            </w:r>
          </w:p>
        </w:tc>
      </w:tr>
      <w:tr>
        <w:trPr/>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85445"/>
                <wp:effectExtent l="0" t="0" r="0" b="0"/>
                <wp:wrapNone/>
                <wp:docPr id="221" name="Frame2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    SA-17    Page 4</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    SA-17    Page 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643"/>
        <w:gridCol w:w="566"/>
        <w:gridCol w:w="565"/>
        <w:gridCol w:w="2383"/>
        <w:gridCol w:w="2270"/>
        <w:gridCol w:w="2294"/>
        <w:gridCol w:w="433"/>
        <w:gridCol w:w="433"/>
        <w:gridCol w:w="618"/>
      </w:tblGrid>
      <w:tr>
        <w:trPr/>
        <w:tc>
          <w:tcPr>
            <w:tcW w:w="64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8721" w:type="dxa"/>
            <w:gridSpan w:val="6"/>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4"/>
              </w:rPr>
              <w:br/>
            </w:r>
            <w:r>
              <w:rPr>
                <w:rFonts w:ascii="Times New Roman;serif" w:hAnsi="Times New Roman;serif"/>
                <w:b/>
                <w:color w:val="000000"/>
                <w:sz w:val="24"/>
                <w:u w:val="single"/>
              </w:rPr>
              <w:t>ARTICLES</w:t>
            </w:r>
          </w:p>
        </w:tc>
        <w:tc>
          <w:tcPr>
            <w:tcW w:w="1484" w:type="dxa"/>
            <w:gridSpan w:val="3"/>
            <w:tcBorders/>
            <w:tcMar>
              <w:top w:w="0" w:type="dxa"/>
              <w:left w:w="0" w:type="dxa"/>
              <w:bottom w:w="0" w:type="dxa"/>
              <w:right w:w="0" w:type="dxa"/>
            </w:tcMar>
            <w:vAlign w:val="center"/>
          </w:tcPr>
          <w:p>
            <w:pPr>
              <w:pStyle w:val="TableContents"/>
              <w:bidi w:val="0"/>
              <w:spacing w:lineRule="auto" w:line="288" w:before="60" w:after="60"/>
              <w:jc w:val="center"/>
              <w:rPr/>
            </w:pPr>
            <w:r>
              <w:rPr>
                <w:rFonts w:ascii="Times New Roman;serif" w:hAnsi="Times New Roman;serif"/>
                <w:b/>
                <w:color w:val="000000"/>
                <w:sz w:val="24"/>
              </w:rPr>
              <w:t xml:space="preserve">SA </w:t>
            </w:r>
            <w:r>
              <w:rPr>
                <w:rFonts w:ascii="Times New Roman;serif" w:hAnsi="Times New Roman;serif"/>
                <w:b/>
                <w:color w:val="000000"/>
                <w:sz w:val="24"/>
                <w:u w:val="single"/>
              </w:rPr>
              <w:t>NUMBER</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Article 1.</w:t>
            </w:r>
          </w:p>
        </w:tc>
        <w:tc>
          <w:tcPr>
            <w:tcW w:w="6947"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Quantity, Model and Description</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Article 2.</w:t>
            </w:r>
          </w:p>
        </w:tc>
        <w:tc>
          <w:tcPr>
            <w:tcW w:w="6947"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Delivery Schedule</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Article 3.</w:t>
            </w:r>
          </w:p>
        </w:tc>
        <w:tc>
          <w:tcPr>
            <w:tcW w:w="6947"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Price</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Article 4.</w:t>
            </w:r>
          </w:p>
        </w:tc>
        <w:tc>
          <w:tcPr>
            <w:tcW w:w="6947"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Payment</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60" w:after="283"/>
              <w:jc w:val="left"/>
              <w:rPr>
                <w:color w:val="000000"/>
              </w:rPr>
            </w:pPr>
            <w:r>
              <w:rPr>
                <w:color w:val="000000"/>
              </w:rPr>
              <w:t>   </w:t>
            </w:r>
            <w:r>
              <w:rPr>
                <w:rFonts w:ascii="Times New Roman;serif" w:hAnsi="Times New Roman;serif"/>
                <w:b w:val="false"/>
                <w:color w:val="000000"/>
                <w:sz w:val="24"/>
              </w:rPr>
              <w:t>Article 5.</w:t>
            </w:r>
          </w:p>
        </w:tc>
        <w:tc>
          <w:tcPr>
            <w:tcW w:w="6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Additional Terms</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TABLE</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0" w:after="60"/>
              <w:jc w:val="left"/>
              <w:rPr>
                <w:color w:val="000000"/>
              </w:rPr>
            </w:pPr>
            <w:r>
              <w:rPr>
                <w:color w:val="000000"/>
              </w:rPr>
              <w:t>    </w:t>
            </w:r>
            <w:r>
              <w:rPr>
                <w:rFonts w:ascii="Times New Roman;serif" w:hAnsi="Times New Roman;serif"/>
                <w:b w:val="false"/>
                <w:color w:val="000000"/>
                <w:sz w:val="24"/>
              </w:rPr>
              <w:t>1</w:t>
            </w:r>
          </w:p>
        </w:tc>
        <w:tc>
          <w:tcPr>
            <w:tcW w:w="6947" w:type="dxa"/>
            <w:gridSpan w:val="3"/>
            <w:tcBorders/>
            <w:tcMar>
              <w:top w:w="0" w:type="dxa"/>
              <w:left w:w="0" w:type="dxa"/>
              <w:bottom w:w="0" w:type="dxa"/>
              <w:right w:w="0" w:type="dxa"/>
            </w:tcMar>
            <w:vAlign w:val="center"/>
          </w:tcPr>
          <w:p>
            <w:pPr>
              <w:pStyle w:val="TableContents"/>
              <w:bidi w:val="0"/>
              <w:spacing w:lineRule="auto" w:line="288" w:before="0" w:after="60"/>
              <w:ind w:left="0" w:right="0" w:hanging="414"/>
              <w:jc w:val="left"/>
              <w:rPr>
                <w:rFonts w:ascii="Times New Roman;serif" w:hAnsi="Times New Roman;serif"/>
                <w:b w:val="false"/>
                <w:color w:val="000000"/>
                <w:sz w:val="24"/>
              </w:rPr>
            </w:pPr>
            <w:r>
              <w:rPr>
                <w:rFonts w:ascii="Times New Roman;serif" w:hAnsi="Times New Roman;serif"/>
                <w:b w:val="false"/>
                <w:color w:val="000000"/>
                <w:sz w:val="24"/>
              </w:rPr>
              <w:t xml:space="preserve">787-*** Aircraft Delivery, Description, Price and *** </w:t>
              <w:br/>
              <w:t>(*** 787-*** Aircraft)</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SA-6</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1</w:t>
            </w:r>
          </w:p>
        </w:tc>
        <w:tc>
          <w:tcPr>
            <w:tcW w:w="6947" w:type="dxa"/>
            <w:gridSpan w:val="3"/>
            <w:tcBorders/>
            <w:tcMar>
              <w:top w:w="0" w:type="dxa"/>
              <w:left w:w="0" w:type="dxa"/>
              <w:bottom w:w="0" w:type="dxa"/>
              <w:right w:w="0" w:type="dxa"/>
            </w:tcMar>
            <w:vAlign w:val="center"/>
          </w:tcPr>
          <w:p>
            <w:pPr>
              <w:pStyle w:val="TableContents"/>
              <w:bidi w:val="0"/>
              <w:spacing w:lineRule="auto" w:line="288" w:before="60" w:after="60"/>
              <w:ind w:left="0" w:right="0" w:hanging="414"/>
              <w:jc w:val="left"/>
              <w:rPr>
                <w:rFonts w:ascii="Times New Roman;serif" w:hAnsi="Times New Roman;serif"/>
                <w:b w:val="false"/>
                <w:color w:val="000000"/>
                <w:sz w:val="24"/>
              </w:rPr>
            </w:pPr>
            <w:r>
              <w:rPr>
                <w:rFonts w:ascii="Times New Roman;serif" w:hAnsi="Times New Roman;serif"/>
                <w:b w:val="false"/>
                <w:color w:val="000000"/>
                <w:sz w:val="24"/>
              </w:rPr>
              <w:t>*** 787 -*** Aircraft (Prior to *** Configuration) Delivery, Description, Price and *** 787-*** Aircraft)</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1</w:t>
            </w:r>
          </w:p>
        </w:tc>
        <w:tc>
          <w:tcPr>
            <w:tcW w:w="6947" w:type="dxa"/>
            <w:gridSpan w:val="3"/>
            <w:tcBorders/>
            <w:tcMar>
              <w:top w:w="0" w:type="dxa"/>
              <w:left w:w="0" w:type="dxa"/>
              <w:bottom w:w="0" w:type="dxa"/>
              <w:right w:w="0" w:type="dxa"/>
            </w:tcMar>
            <w:vAlign w:val="center"/>
          </w:tcPr>
          <w:p>
            <w:pPr>
              <w:pStyle w:val="TableContents"/>
              <w:bidi w:val="0"/>
              <w:spacing w:lineRule="auto" w:line="288" w:before="60" w:after="60"/>
              <w:ind w:left="0" w:right="0" w:hanging="414"/>
              <w:jc w:val="left"/>
              <w:rPr>
                <w:rFonts w:ascii="Times New Roman;serif" w:hAnsi="Times New Roman;serif"/>
                <w:b w:val="false"/>
                <w:color w:val="000000"/>
                <w:sz w:val="24"/>
              </w:rPr>
            </w:pPr>
            <w:r>
              <w:rPr>
                <w:rFonts w:ascii="Times New Roman;serif" w:hAnsi="Times New Roman;serif"/>
                <w:b w:val="false"/>
                <w:color w:val="000000"/>
                <w:sz w:val="24"/>
              </w:rPr>
              <w:t>*** 787-*** Aircraft Delivery, Description, Price and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color w:val="000000"/>
                <w:sz w:val="24"/>
              </w:rPr>
              <w:t>1</w:t>
            </w:r>
          </w:p>
        </w:tc>
        <w:tc>
          <w:tcPr>
            <w:tcW w:w="6947" w:type="dxa"/>
            <w:gridSpan w:val="3"/>
            <w:tcBorders/>
            <w:tcMar>
              <w:top w:w="0" w:type="dxa"/>
              <w:left w:w="0" w:type="dxa"/>
              <w:bottom w:w="0" w:type="dxa"/>
              <w:right w:w="0" w:type="dxa"/>
            </w:tcMar>
            <w:vAlign w:val="center"/>
          </w:tcPr>
          <w:p>
            <w:pPr>
              <w:pStyle w:val="TableContents"/>
              <w:bidi w:val="0"/>
              <w:spacing w:lineRule="auto" w:line="288" w:before="60" w:after="60"/>
              <w:ind w:left="0" w:right="0" w:hanging="414"/>
              <w:jc w:val="left"/>
              <w:rPr>
                <w:rFonts w:ascii="Times New Roman;serif" w:hAnsi="Times New Roman;serif"/>
                <w:b/>
                <w:color w:val="000000"/>
                <w:sz w:val="24"/>
              </w:rPr>
            </w:pPr>
            <w:r>
              <w:rPr>
                <w:rFonts w:ascii="Times New Roman;serif" w:hAnsi="Times New Roman;serif"/>
                <w:b/>
                <w:color w:val="000000"/>
                <w:sz w:val="24"/>
              </w:rPr>
              <w:t>*** 787-*** Aircraft Delivery, Description, Price and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SA-17</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1</w:t>
            </w:r>
          </w:p>
        </w:tc>
        <w:tc>
          <w:tcPr>
            <w:tcW w:w="6947" w:type="dxa"/>
            <w:gridSpan w:val="3"/>
            <w:tcBorders/>
            <w:tcMar>
              <w:top w:w="0" w:type="dxa"/>
              <w:left w:w="0" w:type="dxa"/>
              <w:bottom w:w="0" w:type="dxa"/>
              <w:right w:w="0" w:type="dxa"/>
            </w:tcMar>
            <w:vAlign w:val="center"/>
          </w:tcPr>
          <w:p>
            <w:pPr>
              <w:pStyle w:val="TableContents"/>
              <w:bidi w:val="0"/>
              <w:spacing w:lineRule="auto" w:line="288" w:before="60" w:after="60"/>
              <w:ind w:left="0" w:right="0" w:hanging="414"/>
              <w:jc w:val="left"/>
              <w:rPr>
                <w:rFonts w:ascii="Times New Roman;serif" w:hAnsi="Times New Roman;serif"/>
                <w:b w:val="false"/>
                <w:color w:val="000000"/>
                <w:sz w:val="24"/>
              </w:rPr>
            </w:pPr>
            <w:r>
              <w:rPr>
                <w:rFonts w:ascii="Times New Roman;serif" w:hAnsi="Times New Roman;serif"/>
                <w:b w:val="false"/>
                <w:color w:val="000000"/>
                <w:sz w:val="24"/>
              </w:rPr>
              <w:t>*** 787-*** Aircraft Delivery, Description, Price and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SA-16</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color w:val="000000"/>
                <w:sz w:val="24"/>
              </w:rPr>
              <w:t>1</w:t>
            </w:r>
          </w:p>
        </w:tc>
        <w:tc>
          <w:tcPr>
            <w:tcW w:w="6947" w:type="dxa"/>
            <w:gridSpan w:val="3"/>
            <w:tcBorders/>
            <w:tcMar>
              <w:top w:w="0" w:type="dxa"/>
              <w:left w:w="0" w:type="dxa"/>
              <w:bottom w:w="0" w:type="dxa"/>
              <w:right w:w="0" w:type="dxa"/>
            </w:tcMar>
            <w:vAlign w:val="center"/>
          </w:tcPr>
          <w:p>
            <w:pPr>
              <w:pStyle w:val="TableContents"/>
              <w:bidi w:val="0"/>
              <w:spacing w:lineRule="auto" w:line="288" w:before="60" w:after="60"/>
              <w:ind w:left="0" w:right="0" w:hanging="414"/>
              <w:jc w:val="left"/>
              <w:rPr>
                <w:rFonts w:ascii="Times New Roman;serif" w:hAnsi="Times New Roman;serif"/>
                <w:b/>
                <w:color w:val="000000"/>
                <w:sz w:val="24"/>
              </w:rPr>
            </w:pPr>
            <w:r>
              <w:rPr>
                <w:rFonts w:ascii="Times New Roman;serif" w:hAnsi="Times New Roman;serif"/>
                <w:b/>
                <w:color w:val="000000"/>
                <w:sz w:val="24"/>
              </w:rPr>
              <w:t>*** 787-*** Aircraft Delivery, Description, Price and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SA-17</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1</w:t>
            </w:r>
          </w:p>
        </w:tc>
        <w:tc>
          <w:tcPr>
            <w:tcW w:w="6947" w:type="dxa"/>
            <w:gridSpan w:val="3"/>
            <w:tcBorders/>
            <w:tcMar>
              <w:top w:w="0" w:type="dxa"/>
              <w:left w:w="0" w:type="dxa"/>
              <w:bottom w:w="0" w:type="dxa"/>
              <w:right w:w="0" w:type="dxa"/>
            </w:tcMar>
            <w:vAlign w:val="center"/>
          </w:tcPr>
          <w:p>
            <w:pPr>
              <w:pStyle w:val="TableContents"/>
              <w:bidi w:val="0"/>
              <w:spacing w:lineRule="auto" w:line="288" w:before="60" w:after="60"/>
              <w:ind w:left="0" w:right="0" w:hanging="414"/>
              <w:jc w:val="left"/>
              <w:rPr>
                <w:rFonts w:ascii="Times New Roman;serif" w:hAnsi="Times New Roman;serif"/>
                <w:b w:val="false"/>
                <w:color w:val="000000"/>
                <w:sz w:val="24"/>
              </w:rPr>
            </w:pPr>
            <w:r>
              <w:rPr>
                <w:rFonts w:ascii="Times New Roman;serif" w:hAnsi="Times New Roman;serif"/>
                <w:b w:val="false"/>
                <w:color w:val="000000"/>
                <w:sz w:val="24"/>
              </w:rPr>
              <w:t>787-*** Aircraft Delivery, Description, Price and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SA-8</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color w:val="000000"/>
                <w:sz w:val="24"/>
              </w:rPr>
              <w:t>1</w:t>
            </w:r>
          </w:p>
        </w:tc>
        <w:tc>
          <w:tcPr>
            <w:tcW w:w="6947"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418"/>
              <w:jc w:val="left"/>
              <w:rPr>
                <w:rFonts w:ascii="Times New Roman;serif" w:hAnsi="Times New Roman;serif"/>
                <w:b/>
                <w:color w:val="000000"/>
                <w:sz w:val="21"/>
              </w:rPr>
            </w:pPr>
            <w:r>
              <w:rPr>
                <w:rFonts w:ascii="Times New Roman;serif" w:hAnsi="Times New Roman;serif"/>
                <w:b/>
                <w:color w:val="000000"/>
                <w:sz w:val="21"/>
              </w:rPr>
              <w:t>*** 787-*** Aircraft with *** Engines Delivery, Description, Price and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SA-17</w:t>
            </w:r>
          </w:p>
        </w:tc>
      </w:tr>
      <w:tr>
        <w:trPr/>
        <w:tc>
          <w:tcPr>
            <w:tcW w:w="10205" w:type="dxa"/>
            <w:gridSpan w:val="9"/>
            <w:tcBorders/>
            <w:tcMar>
              <w:top w:w="0" w:type="dxa"/>
              <w:left w:w="0" w:type="dxa"/>
              <w:bottom w:w="0" w:type="dxa"/>
              <w:right w:w="0" w:type="dxa"/>
            </w:tcMar>
            <w:vAlign w:val="center"/>
          </w:tcPr>
          <w:p>
            <w:pPr>
              <w:pStyle w:val="TableContents"/>
              <w:bidi w:val="0"/>
              <w:spacing w:before="0" w:after="120"/>
              <w:ind w:left="0" w:right="0" w:hanging="187"/>
              <w:jc w:val="left"/>
              <w:rPr/>
            </w:pPr>
            <w:r>
              <w:rPr/>
            </w:r>
          </w:p>
        </w:tc>
      </w:tr>
      <w:tr>
        <w:trPr/>
        <w:tc>
          <w:tcPr>
            <w:tcW w:w="872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EXHIBITS</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0" w:after="60"/>
              <w:jc w:val="left"/>
              <w:rPr>
                <w:color w:val="000000"/>
              </w:rPr>
            </w:pPr>
            <w:r>
              <w:rPr>
                <w:color w:val="000000"/>
              </w:rPr>
              <w:t>    </w:t>
            </w:r>
            <w:r>
              <w:rPr>
                <w:rFonts w:ascii="Times New Roman;serif" w:hAnsi="Times New Roman;serif"/>
                <w:b w:val="false"/>
                <w:color w:val="000000"/>
                <w:sz w:val="24"/>
              </w:rPr>
              <w:t>A</w:t>
            </w:r>
          </w:p>
        </w:tc>
        <w:tc>
          <w:tcPr>
            <w:tcW w:w="6947" w:type="dxa"/>
            <w:gridSpan w:val="3"/>
            <w:tcBorders/>
            <w:tcMar>
              <w:top w:w="0" w:type="dxa"/>
              <w:left w:w="0" w:type="dxa"/>
              <w:bottom w:w="0" w:type="dxa"/>
              <w:right w:w="0" w:type="dxa"/>
            </w:tcMar>
            <w:vAlign w:val="center"/>
          </w:tcPr>
          <w:p>
            <w:pPr>
              <w:pStyle w:val="TableContents"/>
              <w:bidi w:val="0"/>
              <w:spacing w:lineRule="auto" w:line="288" w:before="0" w:after="60"/>
              <w:ind w:left="0" w:right="0" w:hanging="691"/>
              <w:jc w:val="left"/>
              <w:rPr>
                <w:rFonts w:ascii="Times New Roman;serif" w:hAnsi="Times New Roman;serif"/>
                <w:b w:val="false"/>
                <w:color w:val="000000"/>
                <w:sz w:val="24"/>
              </w:rPr>
            </w:pPr>
            <w:r>
              <w:rPr>
                <w:rFonts w:ascii="Times New Roman;serif" w:hAnsi="Times New Roman;serif"/>
                <w:b w:val="false"/>
                <w:color w:val="000000"/>
                <w:sz w:val="24"/>
              </w:rPr>
              <w:t xml:space="preserve">787-*** Aircraft Configuration for the *** 787-*** Aircraft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SA-6</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0" w:after="60"/>
              <w:jc w:val="left"/>
              <w:rPr>
                <w:color w:val="000000"/>
              </w:rPr>
            </w:pPr>
            <w:r>
              <w:rPr>
                <w:color w:val="000000"/>
              </w:rPr>
              <w:t>    </w:t>
            </w:r>
            <w:r>
              <w:rPr>
                <w:rFonts w:ascii="Times New Roman;serif" w:hAnsi="Times New Roman;serif"/>
                <w:b w:val="false"/>
                <w:color w:val="000000"/>
                <w:sz w:val="24"/>
              </w:rPr>
              <w:t>A</w:t>
            </w:r>
          </w:p>
        </w:tc>
        <w:tc>
          <w:tcPr>
            <w:tcW w:w="6947" w:type="dxa"/>
            <w:gridSpan w:val="3"/>
            <w:tcBorders/>
            <w:tcMar>
              <w:top w:w="0" w:type="dxa"/>
              <w:left w:w="0" w:type="dxa"/>
              <w:bottom w:w="0" w:type="dxa"/>
              <w:right w:w="0" w:type="dxa"/>
            </w:tcMar>
            <w:vAlign w:val="center"/>
          </w:tcPr>
          <w:p>
            <w:pPr>
              <w:pStyle w:val="TableContents"/>
              <w:bidi w:val="0"/>
              <w:spacing w:lineRule="auto" w:line="288" w:before="0" w:after="60"/>
              <w:ind w:left="0" w:right="0" w:hanging="684"/>
              <w:jc w:val="left"/>
              <w:rPr>
                <w:rFonts w:ascii="Times New Roman;serif" w:hAnsi="Times New Roman;serif"/>
                <w:b w:val="false"/>
                <w:color w:val="000000"/>
                <w:sz w:val="24"/>
              </w:rPr>
            </w:pPr>
            <w:r>
              <w:rPr>
                <w:rFonts w:ascii="Times New Roman;serif" w:hAnsi="Times New Roman;serif"/>
                <w:b w:val="false"/>
                <w:color w:val="000000"/>
                <w:sz w:val="24"/>
              </w:rPr>
              <w:t>787-*** Aircraft Configuration for the *** Aircraft</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A</w:t>
            </w:r>
          </w:p>
        </w:tc>
        <w:tc>
          <w:tcPr>
            <w:tcW w:w="6947" w:type="dxa"/>
            <w:gridSpan w:val="3"/>
            <w:tcBorders/>
            <w:tcMar>
              <w:top w:w="0" w:type="dxa"/>
              <w:left w:w="0" w:type="dxa"/>
              <w:bottom w:w="0" w:type="dxa"/>
              <w:right w:w="0" w:type="dxa"/>
            </w:tcMar>
            <w:vAlign w:val="center"/>
          </w:tcPr>
          <w:p>
            <w:pPr>
              <w:pStyle w:val="TableContents"/>
              <w:bidi w:val="0"/>
              <w:spacing w:lineRule="auto" w:line="288" w:before="60" w:after="60"/>
              <w:ind w:left="0" w:right="0" w:hanging="684"/>
              <w:jc w:val="left"/>
              <w:rPr>
                <w:rFonts w:ascii="Times New Roman;serif" w:hAnsi="Times New Roman;serif"/>
                <w:b w:val="false"/>
                <w:color w:val="000000"/>
                <w:sz w:val="24"/>
              </w:rPr>
            </w:pPr>
            <w:r>
              <w:rPr>
                <w:rFonts w:ascii="Times New Roman;serif" w:hAnsi="Times New Roman;serif"/>
                <w:b w:val="false"/>
                <w:color w:val="000000"/>
                <w:sz w:val="24"/>
              </w:rPr>
              <w:t>787-*** Aircraft *** Configuration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SA-16</w:t>
            </w:r>
          </w:p>
        </w:tc>
      </w:tr>
      <w:tr>
        <w:trPr/>
        <w:tc>
          <w:tcPr>
            <w:tcW w:w="87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TABLE OF CONTENTS, CONTINUED</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color w:val="000000"/>
                <w:sz w:val="21"/>
                <w:u w:val="single"/>
              </w:rPr>
            </w:pPr>
            <w:r>
              <w:rPr>
                <w:rFonts w:ascii="Times New Roman;serif" w:hAnsi="Times New Roman;serif"/>
                <w:b/>
                <w:color w:val="000000"/>
                <w:sz w:val="21"/>
                <w:u w:val="single"/>
              </w:rPr>
              <w:br/>
              <w:t>EXHIBITS, continued</w:t>
            </w:r>
          </w:p>
        </w:tc>
        <w:tc>
          <w:tcPr>
            <w:tcW w:w="6947" w:type="dxa"/>
            <w:gridSpan w:val="3"/>
            <w:tcBorders/>
            <w:tcMar>
              <w:top w:w="0" w:type="dxa"/>
              <w:left w:w="0" w:type="dxa"/>
              <w:bottom w:w="0" w:type="dxa"/>
              <w:right w:w="0" w:type="dxa"/>
            </w:tcMar>
            <w:vAlign w:val="center"/>
          </w:tcPr>
          <w:p>
            <w:pPr>
              <w:pStyle w:val="TableContents"/>
              <w:bidi w:val="0"/>
              <w:spacing w:before="60" w:after="60"/>
              <w:ind w:left="0" w:right="0" w:hanging="684"/>
              <w:jc w:val="left"/>
              <w:rPr/>
            </w:pPr>
            <w:r>
              <w:rPr/>
            </w:r>
          </w:p>
        </w:tc>
        <w:tc>
          <w:tcPr>
            <w:tcW w:w="1484" w:type="dxa"/>
            <w:gridSpan w:val="3"/>
            <w:tcBorders/>
            <w:tcMar>
              <w:top w:w="0" w:type="dxa"/>
              <w:left w:w="0" w:type="dxa"/>
              <w:bottom w:w="0" w:type="dxa"/>
              <w:right w:w="0" w:type="dxa"/>
            </w:tcMar>
            <w:vAlign w:val="center"/>
          </w:tcPr>
          <w:p>
            <w:pPr>
              <w:pStyle w:val="TableContents"/>
              <w:bidi w:val="0"/>
              <w:spacing w:lineRule="auto" w:line="288" w:before="60" w:after="60"/>
              <w:jc w:val="center"/>
              <w:rPr/>
            </w:pPr>
            <w:r>
              <w:rPr>
                <w:rFonts w:ascii="Times New Roman;serif" w:hAnsi="Times New Roman;serif"/>
                <w:b/>
                <w:color w:val="000000"/>
                <w:sz w:val="24"/>
              </w:rPr>
              <w:t>SA</w:t>
            </w:r>
            <w:r>
              <w:rPr>
                <w:rFonts w:ascii="Times New Roman;serif" w:hAnsi="Times New Roman;serif"/>
                <w:b/>
                <w:color w:val="000000"/>
                <w:sz w:val="24"/>
                <w:u w:val="single"/>
              </w:rPr>
              <w:br/>
              <w:t>NUMBER</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color w:val="000000"/>
                <w:sz w:val="24"/>
              </w:rPr>
              <w:t>A2</w:t>
            </w:r>
          </w:p>
        </w:tc>
        <w:tc>
          <w:tcPr>
            <w:tcW w:w="6947" w:type="dxa"/>
            <w:gridSpan w:val="3"/>
            <w:tcBorders/>
            <w:tcMar>
              <w:top w:w="0" w:type="dxa"/>
              <w:left w:w="0" w:type="dxa"/>
              <w:bottom w:w="0" w:type="dxa"/>
              <w:right w:w="0" w:type="dxa"/>
            </w:tcMar>
            <w:vAlign w:val="center"/>
          </w:tcPr>
          <w:p>
            <w:pPr>
              <w:pStyle w:val="TableContents"/>
              <w:bidi w:val="0"/>
              <w:spacing w:lineRule="auto" w:line="288" w:before="60" w:after="60"/>
              <w:ind w:left="0" w:right="0" w:hanging="684"/>
              <w:jc w:val="left"/>
              <w:rPr>
                <w:rFonts w:ascii="Times New Roman;serif" w:hAnsi="Times New Roman;serif"/>
                <w:b/>
                <w:color w:val="000000"/>
                <w:sz w:val="24"/>
              </w:rPr>
            </w:pPr>
            <w:r>
              <w:rPr>
                <w:rFonts w:ascii="Times New Roman;serif" w:hAnsi="Times New Roman;serif"/>
                <w:b/>
                <w:color w:val="000000"/>
                <w:sz w:val="24"/>
              </w:rPr>
              <w:t>787-*** Aircraft Configuration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SA-17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717550"/>
                <wp:effectExtent l="0" t="0" r="0" b="0"/>
                <wp:wrapNone/>
                <wp:docPr id="222" name="Frame221"/>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1 of 5     SA-17</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1 of 5     SA-17</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81"/>
        <w:gridCol w:w="512"/>
        <w:gridCol w:w="513"/>
        <w:gridCol w:w="2360"/>
        <w:gridCol w:w="2324"/>
        <w:gridCol w:w="2329"/>
        <w:gridCol w:w="463"/>
        <w:gridCol w:w="463"/>
        <w:gridCol w:w="660"/>
      </w:tblGrid>
      <w:tr>
        <w:trPr/>
        <w:tc>
          <w:tcPr>
            <w:tcW w:w="58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B</w:t>
            </w:r>
          </w:p>
        </w:tc>
        <w:tc>
          <w:tcPr>
            <w:tcW w:w="7013"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24"/>
              <w:jc w:val="left"/>
              <w:rPr>
                <w:rFonts w:ascii="Times New Roman;serif" w:hAnsi="Times New Roman;serif"/>
                <w:b w:val="false"/>
                <w:color w:val="000000"/>
                <w:sz w:val="24"/>
              </w:rPr>
            </w:pPr>
            <w:r>
              <w:rPr>
                <w:rFonts w:ascii="Times New Roman;serif" w:hAnsi="Times New Roman;serif"/>
                <w:b w:val="false"/>
                <w:color w:val="000000"/>
                <w:sz w:val="24"/>
              </w:rPr>
              <w:t>Aircraft Delivery Requirements and Responsibilities</w:t>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6"/>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4"/>
              </w:rPr>
              <w:br/>
            </w:r>
            <w:r>
              <w:rPr>
                <w:rFonts w:ascii="Times New Roman;serif" w:hAnsi="Times New Roman;serif"/>
                <w:b/>
                <w:color w:val="000000"/>
                <w:sz w:val="24"/>
                <w:u w:val="single"/>
              </w:rPr>
              <w:t>SUPPLEMENTAL EXHIBITS</w:t>
            </w:r>
          </w:p>
        </w:tc>
        <w:tc>
          <w:tcPr>
            <w:tcW w:w="158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4"/>
              </w:rPr>
              <w:t>SA</w:t>
            </w:r>
            <w:r>
              <w:rPr>
                <w:rFonts w:ascii="Times New Roman;serif" w:hAnsi="Times New Roman;serif"/>
                <w:b/>
                <w:color w:val="000000"/>
                <w:sz w:val="24"/>
                <w:u w:val="single"/>
              </w:rPr>
              <w:br/>
              <w:t>NUMBER</w:t>
            </w:r>
          </w:p>
        </w:tc>
      </w:tr>
      <w:tr>
        <w:trPr/>
        <w:tc>
          <w:tcPr>
            <w:tcW w:w="1606"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AE1</w:t>
            </w:r>
          </w:p>
        </w:tc>
        <w:tc>
          <w:tcPr>
            <w:tcW w:w="7013"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 Features for the 787 Aircraft</w:t>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BFE1</w:t>
            </w:r>
          </w:p>
        </w:tc>
        <w:tc>
          <w:tcPr>
            <w:tcW w:w="7013"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BFE Variables 787-*** Aircraft for the *** Aircraft</w:t>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1606"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BFE1</w:t>
            </w:r>
          </w:p>
        </w:tc>
        <w:tc>
          <w:tcPr>
            <w:tcW w:w="7013"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BFE Variables *** 787-*** Aircraft</w:t>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1606"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BFE1</w:t>
            </w:r>
          </w:p>
        </w:tc>
        <w:tc>
          <w:tcPr>
            <w:tcW w:w="7013"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BFE Variables *** 787-*** Aircraft</w:t>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SA-16</w:t>
            </w:r>
          </w:p>
        </w:tc>
      </w:tr>
      <w:tr>
        <w:trPr/>
        <w:tc>
          <w:tcPr>
            <w:tcW w:w="1606"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BFE1</w:t>
            </w:r>
          </w:p>
        </w:tc>
        <w:tc>
          <w:tcPr>
            <w:tcW w:w="7013"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BFE Variables 787-*** Aircraft</w:t>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SA-6</w:t>
            </w:r>
          </w:p>
        </w:tc>
      </w:tr>
      <w:tr>
        <w:trPr/>
        <w:tc>
          <w:tcPr>
            <w:tcW w:w="1606"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CS1</w:t>
            </w:r>
          </w:p>
        </w:tc>
        <w:tc>
          <w:tcPr>
            <w:tcW w:w="7013"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Customer Support Document</w:t>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SA-10</w:t>
            </w:r>
          </w:p>
        </w:tc>
      </w:tr>
      <w:tr>
        <w:trPr/>
        <w:tc>
          <w:tcPr>
            <w:tcW w:w="1606"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EE1</w:t>
            </w:r>
          </w:p>
        </w:tc>
        <w:tc>
          <w:tcPr>
            <w:tcW w:w="7013"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Engine ***, Engine Warranty and ***</w:t>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    </w:t>
            </w:r>
            <w:r>
              <w:rPr>
                <w:rFonts w:ascii="Times New Roman;serif" w:hAnsi="Times New Roman;serif"/>
                <w:b w:val="false"/>
                <w:color w:val="000000"/>
                <w:sz w:val="24"/>
              </w:rPr>
              <w:t>SLP1</w:t>
            </w:r>
          </w:p>
        </w:tc>
        <w:tc>
          <w:tcPr>
            <w:tcW w:w="7013" w:type="dxa"/>
            <w:gridSpan w:val="3"/>
            <w:tcBorders/>
            <w:tcMar>
              <w:top w:w="0" w:type="dxa"/>
              <w:left w:w="0" w:type="dxa"/>
              <w:bottom w:w="0" w:type="dxa"/>
              <w:right w:w="0" w:type="dxa"/>
            </w:tcMar>
            <w:vAlign w:val="center"/>
          </w:tcPr>
          <w:p>
            <w:pPr>
              <w:pStyle w:val="TableContents"/>
              <w:bidi w:val="0"/>
              <w:spacing w:lineRule="auto" w:line="288" w:before="60" w:after="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Service Life Policy Components</w:t>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6"/>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4"/>
              </w:rPr>
              <w:br/>
            </w:r>
            <w:r>
              <w:rPr>
                <w:rFonts w:ascii="Times New Roman;serif" w:hAnsi="Times New Roman;serif"/>
                <w:b/>
                <w:color w:val="000000"/>
                <w:sz w:val="24"/>
                <w:u w:val="single"/>
              </w:rPr>
              <w:t>LETTER AGREEMENTS</w:t>
            </w:r>
          </w:p>
        </w:tc>
        <w:tc>
          <w:tcPr>
            <w:tcW w:w="1586" w:type="dxa"/>
            <w:gridSpan w:val="3"/>
            <w:tcBorders/>
            <w:tcMar>
              <w:top w:w="0" w:type="dxa"/>
              <w:left w:w="0" w:type="dxa"/>
              <w:bottom w:w="0" w:type="dxa"/>
              <w:right w:w="0" w:type="dxa"/>
            </w:tcMar>
            <w:vAlign w:val="center"/>
          </w:tcPr>
          <w:p>
            <w:pPr>
              <w:pStyle w:val="TableContents"/>
              <w:bidi w:val="0"/>
              <w:spacing w:lineRule="auto" w:line="288" w:before="40" w:after="40"/>
              <w:jc w:val="center"/>
              <w:rPr/>
            </w:pPr>
            <w:r>
              <w:rPr>
                <w:rFonts w:ascii="Times New Roman;serif" w:hAnsi="Times New Roman;serif"/>
                <w:b/>
                <w:color w:val="000000"/>
                <w:sz w:val="24"/>
              </w:rPr>
              <w:t xml:space="preserve">SA </w:t>
            </w:r>
            <w:r>
              <w:rPr>
                <w:rFonts w:ascii="Times New Roman;serif" w:hAnsi="Times New Roman;serif"/>
                <w:b/>
                <w:color w:val="000000"/>
                <w:sz w:val="24"/>
                <w:u w:val="single"/>
              </w:rPr>
              <w:t>NUMBER</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LA-1802882</w:t>
            </w:r>
          </w:p>
        </w:tc>
        <w:tc>
          <w:tcPr>
            <w:tcW w:w="7013"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Special Matters Relating to COTS Software and End User License Agreements</w:t>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LA-1802883</w:t>
            </w:r>
          </w:p>
        </w:tc>
        <w:tc>
          <w:tcPr>
            <w:tcW w:w="7013"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702"/>
              <w:jc w:val="left"/>
              <w:rPr>
                <w:rFonts w:ascii="Times New Roman;serif" w:hAnsi="Times New Roman;serif"/>
                <w:b w:val="false"/>
                <w:color w:val="000000"/>
                <w:sz w:val="24"/>
              </w:rPr>
            </w:pPr>
            <w:r>
              <w:rPr>
                <w:rFonts w:ascii="Times New Roman;serif" w:hAnsi="Times New Roman;serif"/>
                <w:b w:val="false"/>
                <w:color w:val="000000"/>
                <w:sz w:val="24"/>
              </w:rPr>
              <w:t>Installation of Cabin Systems Equipment</w:t>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LA-1802884</w:t>
            </w:r>
          </w:p>
        </w:tc>
        <w:tc>
          <w:tcPr>
            <w:tcW w:w="7013"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702"/>
              <w:jc w:val="left"/>
              <w:rPr>
                <w:rFonts w:ascii="Times New Roman;serif" w:hAnsi="Times New Roman;serif"/>
                <w:b w:val="false"/>
                <w:color w:val="000000"/>
                <w:sz w:val="24"/>
              </w:rPr>
            </w:pPr>
            <w:r>
              <w:rPr>
                <w:rFonts w:ascii="Times New Roman;serif" w:hAnsi="Times New Roman;serif"/>
                <w:b w:val="false"/>
                <w:color w:val="000000"/>
                <w:sz w:val="24"/>
              </w:rPr>
              <w:t>Model 787 Post-Delivery Software &amp; Data Loading</w:t>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LA-1802885R2</w:t>
            </w:r>
          </w:p>
        </w:tc>
        <w:tc>
          <w:tcPr>
            <w:tcW w:w="7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Aircraft Model ***</w:t>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SA-13</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lineRule="auto" w:line="288" w:before="60" w:after="6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Attachment A, 787-*** with ***</w:t>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SA-12</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3"/>
            <w:tcBorders/>
            <w:tcMar>
              <w:top w:w="0" w:type="dxa"/>
              <w:left w:w="0" w:type="dxa"/>
              <w:bottom w:w="0" w:type="dxa"/>
              <w:right w:w="0" w:type="dxa"/>
            </w:tcMar>
            <w:vAlign w:val="center"/>
          </w:tcPr>
          <w:p>
            <w:pPr>
              <w:pStyle w:val="TableContents"/>
              <w:bidi w:val="0"/>
              <w:spacing w:lineRule="auto" w:line="288" w:before="60" w:after="6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Attachment B, 787-***</w:t>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SA-12</w:t>
            </w:r>
          </w:p>
        </w:tc>
      </w:tr>
      <w:tr>
        <w:trPr/>
        <w:tc>
          <w:tcPr>
            <w:tcW w:w="1606" w:type="dxa"/>
            <w:gridSpan w:val="3"/>
            <w:tcBorders/>
            <w:tcMar>
              <w:top w:w="0" w:type="dxa"/>
              <w:left w:w="0" w:type="dxa"/>
              <w:bottom w:w="0" w:type="dxa"/>
              <w:right w:w="0" w:type="dxa"/>
            </w:tcMar>
            <w:vAlign w:val="center"/>
          </w:tcPr>
          <w:p>
            <w:pPr>
              <w:pStyle w:val="TableContents"/>
              <w:bidi w:val="0"/>
              <w:spacing w:lineRule="auto" w:line="288" w:before="120" w:after="40"/>
              <w:jc w:val="left"/>
              <w:rPr>
                <w:color w:val="000000"/>
              </w:rPr>
            </w:pPr>
            <w:r>
              <w:rPr>
                <w:color w:val="000000"/>
              </w:rPr>
              <w:t>    </w:t>
            </w:r>
          </w:p>
        </w:tc>
        <w:tc>
          <w:tcPr>
            <w:tcW w:w="7013" w:type="dxa"/>
            <w:gridSpan w:val="3"/>
            <w:tcBorders/>
            <w:tcMar>
              <w:top w:w="0" w:type="dxa"/>
              <w:left w:w="0" w:type="dxa"/>
              <w:bottom w:w="0" w:type="dxa"/>
              <w:right w:w="0" w:type="dxa"/>
            </w:tcMar>
            <w:vAlign w:val="center"/>
          </w:tcPr>
          <w:p>
            <w:pPr>
              <w:pStyle w:val="TableContents"/>
              <w:bidi w:val="0"/>
              <w:spacing w:lineRule="auto" w:line="288" w:before="60" w:after="6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Attachment C, 787-*** Airframe *** Aircraft with ***</w:t>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SA-12</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LA-1802886R8</w:t>
            </w:r>
          </w:p>
        </w:tc>
        <w:tc>
          <w:tcPr>
            <w:tcW w:w="7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Special Matters </w:t>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SA-16</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LA-1802887</w:t>
            </w:r>
          </w:p>
        </w:tc>
        <w:tc>
          <w:tcPr>
            <w:tcW w:w="7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TABLE OF CONTENTS, CONTINUED</w:t>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9" w:type="dxa"/>
            <w:gridSpan w:val="6"/>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4"/>
              </w:rPr>
              <w:br/>
            </w:r>
            <w:r>
              <w:rPr>
                <w:rFonts w:ascii="Times New Roman;serif" w:hAnsi="Times New Roman;serif"/>
                <w:b/>
                <w:color w:val="000000"/>
                <w:sz w:val="24"/>
                <w:u w:val="single"/>
              </w:rPr>
              <w:t>LETTER AGREEMENTS</w:t>
            </w:r>
          </w:p>
        </w:tc>
        <w:tc>
          <w:tcPr>
            <w:tcW w:w="1586" w:type="dxa"/>
            <w:gridSpan w:val="3"/>
            <w:tcBorders/>
            <w:tcMar>
              <w:top w:w="0" w:type="dxa"/>
              <w:left w:w="0" w:type="dxa"/>
              <w:bottom w:w="0" w:type="dxa"/>
              <w:right w:w="0" w:type="dxa"/>
            </w:tcMar>
            <w:vAlign w:val="center"/>
          </w:tcPr>
          <w:p>
            <w:pPr>
              <w:pStyle w:val="TableContents"/>
              <w:bidi w:val="0"/>
              <w:spacing w:lineRule="auto" w:line="288" w:before="40" w:after="40"/>
              <w:jc w:val="center"/>
              <w:rPr/>
            </w:pPr>
            <w:r>
              <w:rPr>
                <w:rFonts w:ascii="Times New Roman;serif" w:hAnsi="Times New Roman;serif"/>
                <w:b/>
                <w:color w:val="000000"/>
                <w:sz w:val="24"/>
              </w:rPr>
              <w:t xml:space="preserve">SA </w:t>
            </w:r>
            <w:r>
              <w:rPr>
                <w:rFonts w:ascii="Times New Roman;serif" w:hAnsi="Times New Roman;serif"/>
                <w:b/>
                <w:color w:val="000000"/>
                <w:sz w:val="24"/>
                <w:u w:val="single"/>
              </w:rPr>
              <w:t>NUMBER</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LA-1802888</w:t>
            </w:r>
          </w:p>
        </w:tc>
        <w:tc>
          <w:tcPr>
            <w:tcW w:w="7013" w:type="dxa"/>
            <w:gridSpan w:val="3"/>
            <w:tcBorders/>
            <w:tcMar>
              <w:top w:w="0" w:type="dxa"/>
              <w:left w:w="0" w:type="dxa"/>
              <w:bottom w:w="0" w:type="dxa"/>
              <w:right w:w="0" w:type="dxa"/>
            </w:tcMar>
            <w:vAlign w:val="center"/>
          </w:tcPr>
          <w:p>
            <w:pPr>
              <w:pStyle w:val="TableContents"/>
              <w:bidi w:val="0"/>
              <w:spacing w:lineRule="auto" w:line="288" w:before="7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 for 787-*** Aircraft</w:t>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LA-1802889</w:t>
            </w:r>
          </w:p>
        </w:tc>
        <w:tc>
          <w:tcPr>
            <w:tcW w:w="7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Demonstration Flight Waiver</w:t>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LA-1802890</w:t>
            </w:r>
          </w:p>
        </w:tc>
        <w:tc>
          <w:tcPr>
            <w:tcW w:w="7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Privileged and Confidential Matters</w:t>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LA-1802891R3</w:t>
            </w:r>
          </w:p>
        </w:tc>
        <w:tc>
          <w:tcPr>
            <w:tcW w:w="7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717550"/>
                <wp:effectExtent l="0" t="0" r="0" b="0"/>
                <wp:wrapNone/>
                <wp:docPr id="223" name="Frame222"/>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2 of 5     SA-17</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2 of 5     SA-17</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v:textbox>
                <w10:wrap type="none"/>
              </v:rect>
            </w:pict>
          </mc:Fallback>
        </mc:AlternateContent>
      </w:r>
    </w:p>
    <w:tbl>
      <w:tblPr>
        <w:tblW w:w="7454" w:type="dxa"/>
        <w:jc w:val="left"/>
        <w:tblInd w:w="0" w:type="dxa"/>
        <w:tblLayout w:type="fixed"/>
        <w:tblCellMar>
          <w:top w:w="28" w:type="dxa"/>
          <w:left w:w="28" w:type="dxa"/>
          <w:bottom w:w="28" w:type="dxa"/>
          <w:right w:w="28" w:type="dxa"/>
        </w:tblCellMar>
      </w:tblPr>
      <w:tblGrid>
        <w:gridCol w:w="640"/>
        <w:gridCol w:w="563"/>
        <w:gridCol w:w="566"/>
        <w:gridCol w:w="1353"/>
        <w:gridCol w:w="1353"/>
        <w:gridCol w:w="1359"/>
        <w:gridCol w:w="472"/>
        <w:gridCol w:w="472"/>
        <w:gridCol w:w="676"/>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LA-1802892</w:t>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787 Special Terms – Seats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LA-1802893</w:t>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AGTA Matters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LA-1802894</w:t>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Assignment Matters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LA-1802895R7</w:t>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Matters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LA-1802896</w:t>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Model 787 e- Enabling</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LA-1802897R6</w:t>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Aircraft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SA-17</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612"/>
              <w:jc w:val="left"/>
              <w:rPr>
                <w:rFonts w:ascii="Times New Roman;serif" w:hAnsi="Times New Roman;serif"/>
                <w:b/>
                <w:color w:val="000000"/>
                <w:sz w:val="24"/>
              </w:rPr>
            </w:pPr>
            <w:r>
              <w:rPr>
                <w:rFonts w:ascii="Times New Roman;serif" w:hAnsi="Times New Roman;serif"/>
                <w:b/>
                <w:color w:val="000000"/>
                <w:sz w:val="24"/>
              </w:rPr>
              <w:t>Attachment A-1: 787-*** with ***</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SA-17</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LA-1907123</w:t>
            </w:r>
          </w:p>
        </w:tc>
        <w:tc>
          <w:tcPr>
            <w:tcW w:w="4065"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Other Special Matters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SA-5</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LA-2000321</w:t>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Rights for Certain 787 Aircraft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SA-6</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LA-2000325R1</w:t>
            </w:r>
          </w:p>
        </w:tc>
        <w:tc>
          <w:tcPr>
            <w:tcW w:w="4065"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 for 787-*** Aircraft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SA-12</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LA-2000327</w:t>
            </w:r>
          </w:p>
        </w:tc>
        <w:tc>
          <w:tcPr>
            <w:tcW w:w="4065"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 for 787-*** Aircraft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SA-6</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LA-2000341</w:t>
            </w:r>
          </w:p>
        </w:tc>
        <w:tc>
          <w:tcPr>
            <w:tcW w:w="406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 xml:space="preserve">CS1 Special Matters </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SA-6</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LA-2000366R1</w:t>
            </w:r>
          </w:p>
        </w:tc>
        <w:tc>
          <w:tcPr>
            <w:tcW w:w="406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 for 787-*** Aircraft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SA-12</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LA-2001835R1</w:t>
            </w:r>
          </w:p>
        </w:tc>
        <w:tc>
          <w:tcPr>
            <w:tcW w:w="406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Certain Special Matters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SA-8</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LA-22004030R1</w:t>
            </w:r>
          </w:p>
        </w:tc>
        <w:tc>
          <w:tcPr>
            <w:tcW w:w="406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 Rights for *** 787-*** Aircraft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SA-11</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LA-22006156R1</w:t>
            </w:r>
          </w:p>
        </w:tc>
        <w:tc>
          <w:tcPr>
            <w:tcW w:w="406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787 ***</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SA-13</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LA-22006204R1</w:t>
            </w:r>
          </w:p>
        </w:tc>
        <w:tc>
          <w:tcPr>
            <w:tcW w:w="406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787 Delivery *** Matters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SA-13</w:t>
            </w:r>
          </w:p>
        </w:tc>
      </w:tr>
      <w:tr>
        <w:trPr/>
        <w:tc>
          <w:tcPr>
            <w:tcW w:w="58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TABLE OF CONTENTS, CONTINUED</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6"/>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4"/>
              </w:rPr>
              <w:br/>
            </w:r>
            <w:r>
              <w:rPr>
                <w:rFonts w:ascii="Times New Roman;serif" w:hAnsi="Times New Roman;serif"/>
                <w:b/>
                <w:color w:val="000000"/>
                <w:sz w:val="24"/>
                <w:u w:val="single"/>
              </w:rPr>
              <w:t>LETTER AGREEMENTS</w:t>
            </w:r>
          </w:p>
        </w:tc>
        <w:tc>
          <w:tcPr>
            <w:tcW w:w="1620" w:type="dxa"/>
            <w:gridSpan w:val="3"/>
            <w:tcBorders/>
            <w:tcMar>
              <w:top w:w="0" w:type="dxa"/>
              <w:left w:w="0" w:type="dxa"/>
              <w:bottom w:w="0" w:type="dxa"/>
              <w:right w:w="0" w:type="dxa"/>
            </w:tcMar>
            <w:vAlign w:val="center"/>
          </w:tcPr>
          <w:p>
            <w:pPr>
              <w:pStyle w:val="TableContents"/>
              <w:bidi w:val="0"/>
              <w:spacing w:lineRule="auto" w:line="288" w:before="40" w:after="40"/>
              <w:jc w:val="center"/>
              <w:rPr/>
            </w:pPr>
            <w:r>
              <w:rPr>
                <w:rFonts w:ascii="Times New Roman;serif" w:hAnsi="Times New Roman;serif"/>
                <w:b/>
                <w:color w:val="000000"/>
                <w:sz w:val="24"/>
              </w:rPr>
              <w:t xml:space="preserve">SA </w:t>
            </w:r>
            <w:r>
              <w:rPr>
                <w:rFonts w:ascii="Times New Roman;serif" w:hAnsi="Times New Roman;serif"/>
                <w:b/>
                <w:color w:val="000000"/>
                <w:sz w:val="24"/>
                <w:u w:val="single"/>
              </w:rPr>
              <w:t>NUMBER</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LA-22006226</w:t>
            </w:r>
          </w:p>
        </w:tc>
        <w:tc>
          <w:tcPr>
            <w:tcW w:w="406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Training Support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SA-12</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LA-22006285</w:t>
            </w:r>
          </w:p>
        </w:tc>
        <w:tc>
          <w:tcPr>
            <w:tcW w:w="406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SA-12</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LA-22006311R2</w:t>
            </w:r>
          </w:p>
        </w:tc>
        <w:tc>
          <w:tcPr>
            <w:tcW w:w="406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787 Open Matters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SA-16</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LA-23005341R1</w:t>
            </w:r>
          </w:p>
        </w:tc>
        <w:tc>
          <w:tcPr>
            <w:tcW w:w="4065" w:type="dxa"/>
            <w:gridSpan w:val="3"/>
            <w:tcBorders/>
            <w:tcMar>
              <w:top w:w="0" w:type="dxa"/>
              <w:left w:w="0" w:type="dxa"/>
              <w:bottom w:w="0" w:type="dxa"/>
              <w:right w:w="0" w:type="dxa"/>
            </w:tcMar>
            <w:vAlign w:val="center"/>
          </w:tcPr>
          <w:p>
            <w:pPr>
              <w:pStyle w:val="TableContents"/>
              <w:bidi w:val="0"/>
              <w:spacing w:lineRule="auto" w:line="288" w:before="240" w:after="40"/>
              <w:ind w:left="0" w:right="0" w:hanging="612"/>
              <w:jc w:val="left"/>
              <w:rPr>
                <w:rFonts w:ascii="Times New Roman;serif" w:hAnsi="Times New Roman;serif"/>
                <w:b w:val="false"/>
                <w:color w:val="000000"/>
                <w:sz w:val="24"/>
              </w:rPr>
            </w:pPr>
            <w:r>
              <w:rPr>
                <w:rFonts w:ascii="Times New Roman;serif" w:hAnsi="Times New Roman;serif"/>
                <w:b w:val="false"/>
                <w:color w:val="000000"/>
                <w:sz w:val="24"/>
              </w:rPr>
              <w:t>Special Matters – SA-13 *** 787 Aircraft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LA-2505473</w:t>
            </w:r>
          </w:p>
        </w:tc>
        <w:tc>
          <w:tcPr>
            <w:tcW w:w="4065" w:type="dxa"/>
            <w:gridSpan w:val="3"/>
            <w:tcBorders/>
            <w:tcMar>
              <w:top w:w="0" w:type="dxa"/>
              <w:left w:w="0" w:type="dxa"/>
              <w:bottom w:w="0" w:type="dxa"/>
              <w:right w:w="0" w:type="dxa"/>
            </w:tcMar>
            <w:vAlign w:val="center"/>
          </w:tcPr>
          <w:p>
            <w:pPr>
              <w:pStyle w:val="TableContents"/>
              <w:bidi w:val="0"/>
              <w:spacing w:lineRule="auto" w:line="288" w:before="120" w:after="4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787 ***</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SA-15</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before="120" w:after="40"/>
              <w:ind w:left="0" w:right="0" w:hanging="612"/>
              <w:jc w:val="left"/>
              <w:rPr/>
            </w:pPr>
            <w:r>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before="120" w:after="40"/>
              <w:ind w:left="0" w:right="0" w:hanging="612"/>
              <w:jc w:val="left"/>
              <w:rPr/>
            </w:pPr>
            <w:r>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before="240" w:after="40"/>
              <w:ind w:left="0" w:right="0" w:hanging="612"/>
              <w:jc w:val="left"/>
              <w:rPr/>
            </w:pPr>
            <w:r>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before="240" w:after="40"/>
              <w:ind w:left="0" w:right="0" w:hanging="612"/>
              <w:jc w:val="left"/>
              <w:rPr/>
            </w:pPr>
            <w:r>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before="240" w:after="40"/>
              <w:ind w:left="0" w:right="0" w:hanging="612"/>
              <w:jc w:val="left"/>
              <w:rPr/>
            </w:pPr>
            <w:r>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717550"/>
                <wp:effectExtent l="0" t="0" r="0" b="0"/>
                <wp:wrapNone/>
                <wp:docPr id="224" name="Frame223"/>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3 of 5     SA-17</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3 of 5     SA-17</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240" w:after="40"/>
              <w:ind w:left="0" w:right="0" w:hanging="612"/>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240" w:after="40"/>
              <w:ind w:left="0" w:right="0" w:hanging="612"/>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717550"/>
                <wp:effectExtent l="0" t="0" r="0" b="0"/>
                <wp:wrapNone/>
                <wp:docPr id="225" name="Frame224"/>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4 of 5     SA-17</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4 of 5     SA-17</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v:textbox>
                <w10:wrap type="none"/>
              </v:rect>
            </w:pict>
          </mc:Fallback>
        </mc:AlternateContent>
      </w:r>
    </w:p>
    <w:tbl>
      <w:tblPr>
        <w:tblW w:w="8773" w:type="dxa"/>
        <w:jc w:val="left"/>
        <w:tblInd w:w="0" w:type="dxa"/>
        <w:tblLayout w:type="fixed"/>
        <w:tblCellMar>
          <w:top w:w="28" w:type="dxa"/>
          <w:left w:w="28" w:type="dxa"/>
          <w:bottom w:w="28" w:type="dxa"/>
          <w:right w:w="28" w:type="dxa"/>
        </w:tblCellMar>
      </w:tblPr>
      <w:tblGrid>
        <w:gridCol w:w="1740"/>
        <w:gridCol w:w="1527"/>
        <w:gridCol w:w="1532"/>
        <w:gridCol w:w="1164"/>
        <w:gridCol w:w="1164"/>
        <w:gridCol w:w="1646"/>
      </w:tblGrid>
      <w:tr>
        <w:trPr/>
        <w:tc>
          <w:tcPr>
            <w:tcW w:w="1740"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SUPPLEMENTAL AGREEMENTS</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DATED AS OF</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1 . .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September 25, 2018</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2 .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November 1, 2018</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3 .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December 12, 2018</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4 .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April 26, 2019</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5.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October 31, 2019</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6.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February 7, 2020</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7.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March 20, 2020</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8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June 30, 2020</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9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 February 26, 2021</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10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August 25, 2022</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11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September 27, 2022</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12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December 12, 2022</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13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September 28, 2023</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14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 . . . October 24, 2024</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15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December 30, 2025</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 xml:space="preserve">Supplemental Agreement No. 16 . . . . . . . . . . .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 . . . . . . . . April 30, 2026</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 xml:space="preserve">Supplemental Agreement No. 17 . . . . . . . . . . . </w:t>
            </w:r>
          </w:p>
        </w:tc>
        <w:tc>
          <w:tcPr>
            <w:tcW w:w="3974" w:type="dxa"/>
            <w:gridSpan w:val="3"/>
            <w:tcBorders/>
            <w:tcMar>
              <w:top w:w="0" w:type="dxa"/>
              <w:left w:w="0" w:type="dxa"/>
              <w:bottom w:w="0" w:type="dxa"/>
              <w:right w:w="0" w:type="dxa"/>
            </w:tcMar>
            <w:vAlign w:val="center"/>
          </w:tcPr>
          <w:p>
            <w:pPr>
              <w:pStyle w:val="TableContents"/>
              <w:bidi w:val="0"/>
              <w:spacing w:lineRule="auto" w:line="288" w:before="120" w:after="60"/>
              <w:jc w:val="left"/>
              <w:rPr/>
            </w:pPr>
            <w:r>
              <w:rPr>
                <w:rFonts w:ascii="Times New Roman;serif" w:hAnsi="Times New Roman;serif"/>
                <w:b/>
                <w:color w:val="000000"/>
                <w:sz w:val="24"/>
              </w:rPr>
              <w:t xml:space="preserve">. . . . . . . . . . . August </w:t>
            </w:r>
            <w:r>
              <w:rPr>
                <w:rFonts w:ascii="Times New Roman;serif" w:hAnsi="Times New Roman;serif"/>
                <w:b/>
                <w:color w:val="000000"/>
                <w:sz w:val="24"/>
                <w:u w:val="single"/>
              </w:rPr>
              <w:t>28</w:t>
            </w:r>
            <w:r>
              <w:rPr>
                <w:rFonts w:ascii="Times New Roman;serif" w:hAnsi="Times New Roman;serif"/>
                <w:b/>
                <w:color w:val="000000"/>
                <w:sz w:val="24"/>
              </w:rPr>
              <w:t>, 2026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Table 1 to Purchase Agreement No. 04815</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717550"/>
                <wp:effectExtent l="0" t="0" r="0" b="0"/>
                <wp:wrapNone/>
                <wp:docPr id="226" name="Frame225"/>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5 of 5     SA-17</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107.45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UAL-PA-04815    Table of Contents, Page 5 of 5     SA-17</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787-*** Aircraft Delivery, Description, Price and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(787-***) </w:t>
      </w:r>
    </w:p>
    <w:p>
      <w:pPr>
        <w:pStyle w:val="TextBody"/>
        <w:bidi w:val="0"/>
        <w:spacing w:before="0" w:after="0"/>
        <w:jc w:val="left"/>
        <w:rPr/>
      </w:pPr>
      <w:r>
        <w:rPr/>
      </w:r>
    </w:p>
    <w:tbl>
      <w:tblPr>
        <w:tblW w:w="10594" w:type="dxa"/>
        <w:jc w:val="left"/>
        <w:tblInd w:w="0" w:type="dxa"/>
        <w:tblLayout w:type="fixed"/>
        <w:tblCellMar>
          <w:top w:w="28" w:type="dxa"/>
          <w:left w:w="28" w:type="dxa"/>
          <w:bottom w:w="28" w:type="dxa"/>
          <w:right w:w="28" w:type="dxa"/>
        </w:tblCellMar>
      </w:tblPr>
      <w:tblGrid>
        <w:gridCol w:w="268"/>
        <w:gridCol w:w="234"/>
        <w:gridCol w:w="234"/>
        <w:gridCol w:w="410"/>
        <w:gridCol w:w="410"/>
        <w:gridCol w:w="276"/>
        <w:gridCol w:w="410"/>
        <w:gridCol w:w="292"/>
        <w:gridCol w:w="109"/>
        <w:gridCol w:w="264"/>
        <w:gridCol w:w="264"/>
        <w:gridCol w:w="223"/>
        <w:gridCol w:w="360"/>
        <w:gridCol w:w="360"/>
        <w:gridCol w:w="361"/>
        <w:gridCol w:w="355"/>
        <w:gridCol w:w="355"/>
        <w:gridCol w:w="356"/>
        <w:gridCol w:w="380"/>
        <w:gridCol w:w="380"/>
        <w:gridCol w:w="381"/>
        <w:gridCol w:w="400"/>
        <w:gridCol w:w="400"/>
        <w:gridCol w:w="401"/>
        <w:gridCol w:w="390"/>
        <w:gridCol w:w="390"/>
        <w:gridCol w:w="391"/>
        <w:gridCol w:w="140"/>
        <w:gridCol w:w="140"/>
        <w:gridCol w:w="140"/>
        <w:gridCol w:w="140"/>
        <w:gridCol w:w="140"/>
        <w:gridCol w:w="141"/>
        <w:gridCol w:w="109"/>
        <w:gridCol w:w="109"/>
        <w:gridCol w:w="109"/>
        <w:gridCol w:w="109"/>
        <w:gridCol w:w="109"/>
        <w:gridCol w:w="154"/>
      </w:tblGrid>
      <w:tr>
        <w:trPr/>
        <w:tc>
          <w:tcPr>
            <w:tcW w:w="2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Model/MTOW:</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pounds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Configuration Specification: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Model/Thrust:</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pounds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Price Base Year/*** Formula: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Price:</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Price Base Year/*** Formula: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Features:</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of Airframe and Features:</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Price (Per Aircraft):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(ECI):</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Basic Price (Excluding BFE/SPE):</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(CPI):</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Buyer Furnished Equipment (BFE) Estimate:</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Seller Purchased Equipment (SPE)</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(ECI):</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per Aircraft: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(CPI):</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Aircraft</w:t>
            </w:r>
          </w:p>
        </w:tc>
        <w:tc>
          <w:tcPr>
            <w:tcW w:w="109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81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Contract Delivery ***</w:t>
            </w:r>
          </w:p>
        </w:tc>
        <w:tc>
          <w:tcPr>
            <w:tcW w:w="75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Aircraft</w:t>
            </w:r>
          </w:p>
        </w:tc>
        <w:tc>
          <w:tcPr>
            <w:tcW w:w="108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Factor (Airframe)</w:t>
            </w:r>
          </w:p>
        </w:tc>
        <w:tc>
          <w:tcPr>
            <w:tcW w:w="106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Factor (Engine)</w:t>
            </w:r>
          </w:p>
        </w:tc>
        <w:tc>
          <w:tcPr>
            <w:tcW w:w="114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Forecast</w:t>
            </w:r>
          </w:p>
        </w:tc>
        <w:tc>
          <w:tcPr>
            <w:tcW w:w="120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Manufacturer Serial Number##</w:t>
            </w:r>
          </w:p>
        </w:tc>
        <w:tc>
          <w:tcPr>
            <w:tcW w:w="1171"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Estimate *** Base Price Per A/P</w:t>
            </w:r>
          </w:p>
        </w:tc>
        <w:tc>
          <w:tcPr>
            <w:tcW w:w="1540"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(Amts. Due/*** Prior to Delivery):</w:t>
            </w:r>
          </w:p>
        </w:tc>
      </w:tr>
      <w:tr>
        <w:trPr/>
        <w:tc>
          <w:tcPr>
            <w:tcW w:w="73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9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81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75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8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6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4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20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71"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4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3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9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81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75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8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6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4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20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71"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4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4"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w:t>
            </w:r>
          </w:p>
        </w:tc>
      </w:tr>
      <w:tr>
        <w:trPr/>
        <w:tc>
          <w:tcPr>
            <w:tcW w:w="10594"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w:t>
            </w:r>
          </w:p>
        </w:tc>
      </w:tr>
      <w:tr>
        <w:trPr/>
        <w:tc>
          <w:tcPr>
            <w:tcW w:w="10594"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w:t>
            </w:r>
          </w:p>
        </w:tc>
      </w:tr>
      <w:tr>
        <w:trPr/>
        <w:tc>
          <w:tcPr>
            <w:tcW w:w="447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Manufacturer Serial Numbers identified above ***.</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4"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Table 1 to Purchase Agreement No. 04815</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891540"/>
                <wp:effectExtent l="0" t="0" r="0" b="0"/>
                <wp:wrapNone/>
                <wp:docPr id="227" name="Frame22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9388" w:type="dxa"/>
                              <w:jc w:val="left"/>
                              <w:tblInd w:w="0" w:type="dxa"/>
                              <w:tblLayout w:type="fixed"/>
                              <w:tblCellMar>
                                <w:top w:w="28" w:type="dxa"/>
                                <w:left w:w="28" w:type="dxa"/>
                                <w:bottom w:w="28" w:type="dxa"/>
                                <w:right w:w="28" w:type="dxa"/>
                              </w:tblCellMar>
                            </w:tblPr>
                            <w:tblGrid>
                              <w:gridCol w:w="1090"/>
                              <w:gridCol w:w="959"/>
                              <w:gridCol w:w="965"/>
                              <w:gridCol w:w="1139"/>
                              <w:gridCol w:w="1139"/>
                              <w:gridCol w:w="1142"/>
                              <w:gridCol w:w="865"/>
                              <w:gridCol w:w="865"/>
                              <w:gridCol w:w="1224"/>
                            </w:tblGrid>
                            <w:tr>
                              <w:trPr/>
                              <w:tc>
                                <w:tcPr>
                                  <w:tcW w:w="1090" w:type="dxa"/>
                                  <w:tcBorders/>
                                  <w:vAlign w:val="center"/>
                                </w:tcPr>
                                <w:p>
                                  <w:pPr>
                                    <w:pStyle w:val="TableContents"/>
                                    <w:bidi w:val="0"/>
                                    <w:spacing w:before="0" w:after="283"/>
                                    <w:jc w:val="left"/>
                                    <w:rPr>
                                      <w:sz w:val="4"/>
                                      <w:szCs w:val="4"/>
                                    </w:rPr>
                                  </w:pPr>
                                  <w:r>
                                    <w:rPr>
                                      <w:sz w:val="4"/>
                                      <w:szCs w:val="4"/>
                                    </w:rPr>
                                  </w:r>
                                  <w:r>
                                    <w:br w:type="page"/>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UAL-PA-04815</w:t>
                                    <w:br/>
                                    <w:t>APR 125312 - *** 787-*** Aircraft</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Boeing / United Airlines Proprietary</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 xml:space="preserve">787-*** Table 1: SA-17, Page 1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107.45pt;mso-position-horizontal:left;mso-position-horizontal-relative:text">
                <v:textbox>
                  <w:txbxContent>
                    <w:tbl>
                      <w:tblPr>
                        <w:tblW w:w="9388" w:type="dxa"/>
                        <w:jc w:val="left"/>
                        <w:tblInd w:w="0" w:type="dxa"/>
                        <w:tblLayout w:type="fixed"/>
                        <w:tblCellMar>
                          <w:top w:w="28" w:type="dxa"/>
                          <w:left w:w="28" w:type="dxa"/>
                          <w:bottom w:w="28" w:type="dxa"/>
                          <w:right w:w="28" w:type="dxa"/>
                        </w:tblCellMar>
                      </w:tblPr>
                      <w:tblGrid>
                        <w:gridCol w:w="1090"/>
                        <w:gridCol w:w="959"/>
                        <w:gridCol w:w="965"/>
                        <w:gridCol w:w="1139"/>
                        <w:gridCol w:w="1139"/>
                        <w:gridCol w:w="1142"/>
                        <w:gridCol w:w="865"/>
                        <w:gridCol w:w="865"/>
                        <w:gridCol w:w="1224"/>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UAL-PA-04815</w:t>
                              <w:br/>
                              <w:t>APR 125312 - *** 787-*** Aircraft</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Boeing / United Airlines Proprietary</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 xml:space="preserve">787-*** Table 1: SA-17, Page 1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787-*** Aircraft Delivery, Description, Price and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(787-***) </w:t>
      </w:r>
    </w:p>
    <w:tbl>
      <w:tblPr>
        <w:tblW w:w="11398" w:type="dxa"/>
        <w:jc w:val="left"/>
        <w:tblInd w:w="0" w:type="dxa"/>
        <w:tblLayout w:type="fixed"/>
        <w:tblCellMar>
          <w:top w:w="28" w:type="dxa"/>
          <w:left w:w="28" w:type="dxa"/>
          <w:bottom w:w="28" w:type="dxa"/>
          <w:right w:w="28" w:type="dxa"/>
        </w:tblCellMar>
      </w:tblPr>
      <w:tblGrid>
        <w:gridCol w:w="405"/>
        <w:gridCol w:w="356"/>
        <w:gridCol w:w="335"/>
        <w:gridCol w:w="564"/>
        <w:gridCol w:w="303"/>
        <w:gridCol w:w="304"/>
        <w:gridCol w:w="109"/>
        <w:gridCol w:w="109"/>
        <w:gridCol w:w="109"/>
        <w:gridCol w:w="270"/>
        <w:gridCol w:w="270"/>
        <w:gridCol w:w="271"/>
        <w:gridCol w:w="225"/>
        <w:gridCol w:w="225"/>
        <w:gridCol w:w="226"/>
        <w:gridCol w:w="359"/>
        <w:gridCol w:w="359"/>
        <w:gridCol w:w="363"/>
        <w:gridCol w:w="355"/>
        <w:gridCol w:w="355"/>
        <w:gridCol w:w="356"/>
        <w:gridCol w:w="380"/>
        <w:gridCol w:w="380"/>
        <w:gridCol w:w="381"/>
        <w:gridCol w:w="400"/>
        <w:gridCol w:w="400"/>
        <w:gridCol w:w="401"/>
        <w:gridCol w:w="550"/>
        <w:gridCol w:w="411"/>
        <w:gridCol w:w="210"/>
        <w:gridCol w:w="210"/>
        <w:gridCol w:w="210"/>
        <w:gridCol w:w="211"/>
        <w:gridCol w:w="109"/>
        <w:gridCol w:w="109"/>
        <w:gridCol w:w="109"/>
        <w:gridCol w:w="109"/>
        <w:gridCol w:w="109"/>
        <w:gridCol w:w="109"/>
        <w:gridCol w:w="109"/>
        <w:gridCol w:w="109"/>
        <w:gridCol w:w="154"/>
      </w:tblGrid>
      <w:tr>
        <w:trPr/>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Model/MTOW:</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pounds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Configuration Specification: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Model/Thrust:</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pounds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Price Base Year/*** Formula: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Price Base Year/*** Formula: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Features: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of Airframe and Features: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 Data:</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Price (Per Aircraft):</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(ECI):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Basic Price (Excluding BFE/SPE):</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(CPI):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Buyer Furnished Equipment (BFE) Estimate:</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 Data:</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Seller Purchased Equipment (SPE)</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(ECI):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per Aircraft:</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(CPI):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 Aircraft</w:t>
            </w:r>
          </w:p>
        </w:tc>
        <w:tc>
          <w:tcPr>
            <w:tcW w:w="117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Changes</w:t>
            </w:r>
          </w:p>
        </w:tc>
        <w:tc>
          <w:tcPr>
            <w:tcW w:w="327"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Contract Delivery ***</w:t>
            </w:r>
          </w:p>
        </w:tc>
        <w:tc>
          <w:tcPr>
            <w:tcW w:w="67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 of Aircraft</w:t>
            </w:r>
          </w:p>
        </w:tc>
        <w:tc>
          <w:tcPr>
            <w:tcW w:w="108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 Factor (Airframe)</w:t>
            </w:r>
          </w:p>
        </w:tc>
        <w:tc>
          <w:tcPr>
            <w:tcW w:w="106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Factor (Engine)</w:t>
            </w:r>
          </w:p>
        </w:tc>
        <w:tc>
          <w:tcPr>
            <w:tcW w:w="114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Forecast</w:t>
            </w:r>
          </w:p>
        </w:tc>
        <w:tc>
          <w:tcPr>
            <w:tcW w:w="120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Manufacturer Serial Number##</w:t>
            </w:r>
          </w:p>
        </w:tc>
        <w:tc>
          <w:tcPr>
            <w:tcW w:w="1171"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Estimate *** Base Price Per A/P</w:t>
            </w:r>
          </w:p>
        </w:tc>
        <w:tc>
          <w:tcPr>
            <w:tcW w:w="1657"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(Amts. Due/*** Prior to Delivery):</w:t>
            </w:r>
          </w:p>
        </w:tc>
      </w:tr>
      <w:tr>
        <w:trPr/>
        <w:tc>
          <w:tcPr>
            <w:tcW w:w="109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7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327"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81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67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8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6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4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20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7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7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327"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81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67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8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6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4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20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7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9"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1 </w:t>
            </w:r>
            <w:r>
              <w:rPr>
                <w:rFonts w:ascii="Times New Roman;serif" w:hAnsi="Times New Roman;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8"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2 </w:t>
            </w:r>
            <w:r>
              <w:rPr>
                <w:rFonts w:ascii="Times New Roman;serif" w:hAnsi="Times New Roman;serif"/>
                <w:b w:val="false"/>
                <w:color w:val="000000"/>
                <w:sz w:val="24"/>
              </w:rPr>
              <w:t>***</w:t>
            </w:r>
          </w:p>
        </w:tc>
      </w:tr>
      <w:tr>
        <w:trPr/>
        <w:tc>
          <w:tcPr>
            <w:tcW w:w="11398"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3 </w:t>
            </w:r>
            <w:r>
              <w:rPr>
                <w:rFonts w:ascii="Times New Roman;serif" w:hAnsi="Times New Roman;serif"/>
                <w:b w:val="false"/>
                <w:color w:val="000000"/>
                <w:sz w:val="24"/>
              </w:rPr>
              <w:t>***</w:t>
            </w:r>
          </w:p>
        </w:tc>
      </w:tr>
      <w:tr>
        <w:trPr/>
        <w:tc>
          <w:tcPr>
            <w:tcW w:w="11398"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4 </w:t>
            </w:r>
            <w:r>
              <w:rPr>
                <w:rFonts w:ascii="Times New Roman;serif" w:hAnsi="Times New Roman;serif"/>
                <w:b w:val="false"/>
                <w:color w:val="000000"/>
                <w:sz w:val="24"/>
              </w:rPr>
              <w:t>***</w:t>
            </w:r>
          </w:p>
        </w:tc>
      </w:tr>
      <w:tr>
        <w:trPr/>
        <w:tc>
          <w:tcPr>
            <w:tcW w:w="11398"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Manufacturer Serial Numbers identified above ***.</w:t>
            </w:r>
          </w:p>
        </w:tc>
      </w:tr>
      <w:tr>
        <w:trPr/>
        <w:tc>
          <w:tcPr>
            <w:tcW w:w="11398"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Table 1 to Purchase Agreement No. 04815</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745490"/>
                <wp:effectExtent l="0" t="0" r="0" b="0"/>
                <wp:wrapNone/>
                <wp:docPr id="228" name="Frame227"/>
                <a:graphic xmlns:a="http://schemas.openxmlformats.org/drawingml/2006/main">
                  <a:graphicData uri="http://schemas.microsoft.com/office/word/2010/wordprocessingShape">
                    <wps:wsp>
                      <wps:cNvSpPr txBox="1"/>
                      <wps:spPr>
                        <a:xfrm>
                          <a:off x="0" y="0"/>
                          <a:ext cx="6480175" cy="745490"/>
                        </a:xfrm>
                        <a:prstGeom prst="rect"/>
                        <a:solidFill>
                          <a:srgbClr val="FFFFFF"/>
                        </a:solidFill>
                      </wps:spPr>
                      <wps:txbx>
                        <w:txbxContent>
                          <w:tbl>
                            <w:tblPr>
                              <w:tblW w:w="8579" w:type="dxa"/>
                              <w:jc w:val="left"/>
                              <w:tblInd w:w="0" w:type="dxa"/>
                              <w:tblLayout w:type="fixed"/>
                              <w:tblCellMar>
                                <w:top w:w="28" w:type="dxa"/>
                                <w:left w:w="28" w:type="dxa"/>
                                <w:bottom w:w="28" w:type="dxa"/>
                                <w:right w:w="28" w:type="dxa"/>
                              </w:tblCellMar>
                            </w:tblPr>
                            <w:tblGrid>
                              <w:gridCol w:w="1090"/>
                              <w:gridCol w:w="959"/>
                              <w:gridCol w:w="965"/>
                              <w:gridCol w:w="1139"/>
                              <w:gridCol w:w="1139"/>
                              <w:gridCol w:w="1142"/>
                              <w:gridCol w:w="628"/>
                              <w:gridCol w:w="628"/>
                              <w:gridCol w:w="889"/>
                            </w:tblGrid>
                            <w:tr>
                              <w:trPr/>
                              <w:tc>
                                <w:tcPr>
                                  <w:tcW w:w="1090" w:type="dxa"/>
                                  <w:tcBorders/>
                                  <w:vAlign w:val="center"/>
                                </w:tcPr>
                                <w:p>
                                  <w:pPr>
                                    <w:pStyle w:val="TableContents"/>
                                    <w:bidi w:val="0"/>
                                    <w:spacing w:before="0" w:after="283"/>
                                    <w:jc w:val="left"/>
                                    <w:rPr>
                                      <w:sz w:val="4"/>
                                      <w:szCs w:val="4"/>
                                    </w:rPr>
                                  </w:pPr>
                                  <w:r>
                                    <w:rPr>
                                      <w:sz w:val="4"/>
                                      <w:szCs w:val="4"/>
                                    </w:rPr>
                                  </w:r>
                                  <w:r>
                                    <w:br w:type="page"/>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UAL-PA-04815</w:t>
                                  </w:r>
                                </w:p>
                                <w:p>
                                  <w:pPr>
                                    <w:pStyle w:val="TableContents"/>
                                    <w:bidi w:val="0"/>
                                    <w:spacing w:lineRule="auto" w:line="240" w:before="0" w:after="0"/>
                                    <w:jc w:val="left"/>
                                    <w:rPr/>
                                  </w:pPr>
                                  <w:r>
                                    <w:rPr>
                                      <w:rFonts w:ascii="Arial;sans-serif" w:hAnsi="Arial;sans-serif"/>
                                      <w:b w:val="false"/>
                                      <w:color w:val="000000"/>
                                      <w:sz w:val="20"/>
                                    </w:rPr>
                                    <w:t xml:space="preserve">APR </w:t>
                                  </w:r>
                                  <w:r>
                                    <w:rPr>
                                      <w:rFonts w:ascii="Arial;sans-serif" w:hAnsi="Arial;sans-serif"/>
                                      <w:b/>
                                      <w:color w:val="000000"/>
                                      <w:sz w:val="20"/>
                                    </w:rPr>
                                    <w:t>126761 - *** 787-*** Aircraft</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Boeing / United Airlines Proprietary</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787-*** Table 1: SA-17</w:t>
                                  </w:r>
                                </w:p>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Page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107.45pt;mso-position-horizontal:left;mso-position-horizontal-relative:text">
                <v:textbox>
                  <w:txbxContent>
                    <w:tbl>
                      <w:tblPr>
                        <w:tblW w:w="8579" w:type="dxa"/>
                        <w:jc w:val="left"/>
                        <w:tblInd w:w="0" w:type="dxa"/>
                        <w:tblLayout w:type="fixed"/>
                        <w:tblCellMar>
                          <w:top w:w="28" w:type="dxa"/>
                          <w:left w:w="28" w:type="dxa"/>
                          <w:bottom w:w="28" w:type="dxa"/>
                          <w:right w:w="28" w:type="dxa"/>
                        </w:tblCellMar>
                      </w:tblPr>
                      <w:tblGrid>
                        <w:gridCol w:w="1090"/>
                        <w:gridCol w:w="959"/>
                        <w:gridCol w:w="965"/>
                        <w:gridCol w:w="1139"/>
                        <w:gridCol w:w="1139"/>
                        <w:gridCol w:w="1142"/>
                        <w:gridCol w:w="628"/>
                        <w:gridCol w:w="628"/>
                        <w:gridCol w:w="889"/>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UAL-PA-04815</w:t>
                            </w:r>
                          </w:p>
                          <w:p>
                            <w:pPr>
                              <w:pStyle w:val="TableContents"/>
                              <w:bidi w:val="0"/>
                              <w:spacing w:lineRule="auto" w:line="240" w:before="0" w:after="0"/>
                              <w:jc w:val="left"/>
                              <w:rPr/>
                            </w:pPr>
                            <w:r>
                              <w:rPr>
                                <w:rFonts w:ascii="Arial;sans-serif" w:hAnsi="Arial;sans-serif"/>
                                <w:b w:val="false"/>
                                <w:color w:val="000000"/>
                                <w:sz w:val="20"/>
                              </w:rPr>
                              <w:t xml:space="preserve">APR </w:t>
                            </w:r>
                            <w:r>
                              <w:rPr>
                                <w:rFonts w:ascii="Arial;sans-serif" w:hAnsi="Arial;sans-serif"/>
                                <w:b/>
                                <w:color w:val="000000"/>
                                <w:sz w:val="20"/>
                              </w:rPr>
                              <w:t>126761 - *** 787-*** Aircraft</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Boeing / United Airlines Proprietary</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787-*** Table 1: SA-17</w:t>
                            </w:r>
                          </w:p>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Page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787-*** Aircraft Delivery, Description, Price and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(787-***) </w:t>
      </w:r>
    </w:p>
    <w:tbl>
      <w:tblPr>
        <w:tblW w:w="12002" w:type="dxa"/>
        <w:jc w:val="left"/>
        <w:tblInd w:w="0" w:type="dxa"/>
        <w:tblLayout w:type="fixed"/>
        <w:tblCellMar>
          <w:top w:w="28" w:type="dxa"/>
          <w:left w:w="28" w:type="dxa"/>
          <w:bottom w:w="28" w:type="dxa"/>
          <w:right w:w="28" w:type="dxa"/>
        </w:tblCellMar>
      </w:tblPr>
      <w:tblGrid>
        <w:gridCol w:w="268"/>
        <w:gridCol w:w="234"/>
        <w:gridCol w:w="234"/>
        <w:gridCol w:w="521"/>
        <w:gridCol w:w="279"/>
        <w:gridCol w:w="281"/>
        <w:gridCol w:w="390"/>
        <w:gridCol w:w="390"/>
        <w:gridCol w:w="391"/>
        <w:gridCol w:w="109"/>
        <w:gridCol w:w="109"/>
        <w:gridCol w:w="109"/>
        <w:gridCol w:w="270"/>
        <w:gridCol w:w="270"/>
        <w:gridCol w:w="271"/>
        <w:gridCol w:w="264"/>
        <w:gridCol w:w="251"/>
        <w:gridCol w:w="161"/>
        <w:gridCol w:w="360"/>
        <w:gridCol w:w="360"/>
        <w:gridCol w:w="361"/>
        <w:gridCol w:w="355"/>
        <w:gridCol w:w="355"/>
        <w:gridCol w:w="356"/>
        <w:gridCol w:w="380"/>
        <w:gridCol w:w="380"/>
        <w:gridCol w:w="381"/>
        <w:gridCol w:w="400"/>
        <w:gridCol w:w="400"/>
        <w:gridCol w:w="401"/>
        <w:gridCol w:w="550"/>
        <w:gridCol w:w="481"/>
        <w:gridCol w:w="140"/>
        <w:gridCol w:w="140"/>
        <w:gridCol w:w="140"/>
        <w:gridCol w:w="140"/>
        <w:gridCol w:w="140"/>
        <w:gridCol w:w="140"/>
        <w:gridCol w:w="141"/>
        <w:gridCol w:w="109"/>
        <w:gridCol w:w="109"/>
        <w:gridCol w:w="109"/>
        <w:gridCol w:w="109"/>
        <w:gridCol w:w="109"/>
        <w:gridCol w:w="154"/>
      </w:tblGrid>
      <w:tr>
        <w:trPr/>
        <w:tc>
          <w:tcPr>
            <w:tcW w:w="2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Model/MTOW: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pounds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Configuration Specification: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Model/Thrust: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pounds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Price Base Year/*** Formula: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Price:</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Price Base Year/*** Formula: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Features:</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of Airframe and Features: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 Data:</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Price (Per Aircraft):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(ECI):</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Basic Price (Excluding BFE/SPE):</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(CPI):</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Buyer Furnished Equipment (BFE) Estimate:</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 Data:</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Seller Purchased Equipment (SPE)</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(ECI):</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per Aircraft:</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(CPI):</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Aircraft</w:t>
            </w:r>
          </w:p>
        </w:tc>
        <w:tc>
          <w:tcPr>
            <w:tcW w:w="108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 Aircraft</w:t>
            </w:r>
          </w:p>
        </w:tc>
        <w:tc>
          <w:tcPr>
            <w:tcW w:w="117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Changes</w:t>
            </w:r>
          </w:p>
        </w:tc>
        <w:tc>
          <w:tcPr>
            <w:tcW w:w="327"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Contract Delivery ***</w:t>
            </w:r>
          </w:p>
        </w:tc>
        <w:tc>
          <w:tcPr>
            <w:tcW w:w="67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 of Aircraft</w:t>
            </w:r>
          </w:p>
        </w:tc>
        <w:tc>
          <w:tcPr>
            <w:tcW w:w="108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 Factor (Airframe)</w:t>
            </w:r>
          </w:p>
        </w:tc>
        <w:tc>
          <w:tcPr>
            <w:tcW w:w="106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Factor (Engine)</w:t>
            </w:r>
          </w:p>
        </w:tc>
        <w:tc>
          <w:tcPr>
            <w:tcW w:w="114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Forecast</w:t>
            </w:r>
          </w:p>
        </w:tc>
        <w:tc>
          <w:tcPr>
            <w:tcW w:w="120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Manufacturer Serial Number##</w:t>
            </w:r>
          </w:p>
        </w:tc>
        <w:tc>
          <w:tcPr>
            <w:tcW w:w="1171"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Estimate *** Base Price Per A/P</w:t>
            </w:r>
          </w:p>
        </w:tc>
        <w:tc>
          <w:tcPr>
            <w:tcW w:w="1540"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(Amts. Due/*** Prior to Delivery):</w:t>
            </w:r>
          </w:p>
        </w:tc>
      </w:tr>
      <w:tr>
        <w:trPr/>
        <w:tc>
          <w:tcPr>
            <w:tcW w:w="73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8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7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327"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81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67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8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6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4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20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7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4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3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8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7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327"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81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67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8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6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4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20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7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4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4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4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8"/>
              </w:rPr>
            </w:pPr>
            <w:r>
              <w:rPr>
                <w:rFonts w:ascii="Times New Roman;serif" w:hAnsi="Times New Roman;serif"/>
                <w:b w:val="false"/>
                <w:color w:val="000000"/>
                <w:sz w:val="2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03"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1 </w:t>
            </w:r>
            <w:r>
              <w:rPr>
                <w:rFonts w:ascii="Times New Roman;serif" w:hAnsi="Times New Roman;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2" w:type="dxa"/>
            <w:gridSpan w:val="4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2 </w:t>
            </w:r>
            <w:r>
              <w:rPr>
                <w:rFonts w:ascii="Times New Roman;serif" w:hAnsi="Times New Roman;serif"/>
                <w:b w:val="false"/>
                <w:color w:val="000000"/>
                <w:sz w:val="24"/>
              </w:rPr>
              <w:t>***</w:t>
            </w:r>
          </w:p>
        </w:tc>
      </w:tr>
      <w:tr>
        <w:trPr/>
        <w:tc>
          <w:tcPr>
            <w:tcW w:w="12002" w:type="dxa"/>
            <w:gridSpan w:val="4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3 </w:t>
            </w:r>
            <w:r>
              <w:rPr>
                <w:rFonts w:ascii="Times New Roman;serif" w:hAnsi="Times New Roman;serif"/>
                <w:b w:val="false"/>
                <w:color w:val="000000"/>
                <w:sz w:val="24"/>
              </w:rPr>
              <w:t>***</w:t>
            </w:r>
          </w:p>
        </w:tc>
      </w:tr>
      <w:tr>
        <w:trPr/>
        <w:tc>
          <w:tcPr>
            <w:tcW w:w="12002" w:type="dxa"/>
            <w:gridSpan w:val="4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4 </w:t>
            </w:r>
            <w:r>
              <w:rPr>
                <w:rFonts w:ascii="Times New Roman;serif" w:hAnsi="Times New Roman;serif"/>
                <w:b w:val="false"/>
                <w:color w:val="000000"/>
                <w:sz w:val="24"/>
              </w:rPr>
              <w:t>***</w:t>
            </w:r>
          </w:p>
        </w:tc>
      </w:tr>
      <w:tr>
        <w:trPr/>
        <w:tc>
          <w:tcPr>
            <w:tcW w:w="588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Manufacturer Serial Numbers identified above ***</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135" w:type="dxa"/>
        <w:jc w:val="left"/>
        <w:tblInd w:w="0" w:type="dxa"/>
        <w:tblLayout w:type="fixed"/>
        <w:tblCellMar>
          <w:top w:w="28" w:type="dxa"/>
          <w:left w:w="28" w:type="dxa"/>
          <w:bottom w:w="28" w:type="dxa"/>
          <w:right w:w="28" w:type="dxa"/>
        </w:tblCellMar>
      </w:tblPr>
      <w:tblGrid>
        <w:gridCol w:w="267"/>
        <w:gridCol w:w="234"/>
        <w:gridCol w:w="234"/>
        <w:gridCol w:w="234"/>
        <w:gridCol w:w="234"/>
        <w:gridCol w:w="234"/>
        <w:gridCol w:w="234"/>
        <w:gridCol w:w="234"/>
        <w:gridCol w:w="234"/>
        <w:gridCol w:w="264"/>
        <w:gridCol w:w="264"/>
        <w:gridCol w:w="266"/>
        <w:gridCol w:w="355"/>
        <w:gridCol w:w="355"/>
        <w:gridCol w:w="356"/>
        <w:gridCol w:w="109"/>
        <w:gridCol w:w="109"/>
        <w:gridCol w:w="109"/>
        <w:gridCol w:w="109"/>
        <w:gridCol w:w="109"/>
        <w:gridCol w:w="109"/>
        <w:gridCol w:w="363"/>
        <w:gridCol w:w="363"/>
        <w:gridCol w:w="363"/>
        <w:gridCol w:w="363"/>
        <w:gridCol w:w="363"/>
        <w:gridCol w:w="363"/>
        <w:gridCol w:w="363"/>
        <w:gridCol w:w="363"/>
        <w:gridCol w:w="366"/>
        <w:gridCol w:w="140"/>
        <w:gridCol w:w="140"/>
        <w:gridCol w:w="140"/>
        <w:gridCol w:w="140"/>
        <w:gridCol w:w="140"/>
        <w:gridCol w:w="140"/>
        <w:gridCol w:w="109"/>
        <w:gridCol w:w="109"/>
        <w:gridCol w:w="154"/>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Model/MTOW:</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787-***</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pounds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Configuration Specification:</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Model/Thrust:</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3"/>
              </w:rPr>
              <w:t>1</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pounds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Price Base Year/*** Formula:</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Price:</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Price Base Year/*** Formula:</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Table 1 to Purchase Agreement No. 4815</w: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891540"/>
                <wp:effectExtent l="0" t="0" r="0" b="0"/>
                <wp:wrapNone/>
                <wp:docPr id="229" name="Frame22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9328" w:type="dxa"/>
                              <w:jc w:val="left"/>
                              <w:tblInd w:w="0" w:type="dxa"/>
                              <w:tblLayout w:type="fixed"/>
                              <w:tblCellMar>
                                <w:top w:w="28" w:type="dxa"/>
                                <w:left w:w="28" w:type="dxa"/>
                                <w:bottom w:w="28" w:type="dxa"/>
                                <w:right w:w="28" w:type="dxa"/>
                              </w:tblCellMar>
                            </w:tblPr>
                            <w:tblGrid>
                              <w:gridCol w:w="1090"/>
                              <w:gridCol w:w="959"/>
                              <w:gridCol w:w="965"/>
                              <w:gridCol w:w="1139"/>
                              <w:gridCol w:w="1139"/>
                              <w:gridCol w:w="1142"/>
                              <w:gridCol w:w="847"/>
                              <w:gridCol w:w="847"/>
                              <w:gridCol w:w="1200"/>
                            </w:tblGrid>
                            <w:tr>
                              <w:trPr/>
                              <w:tc>
                                <w:tcPr>
                                  <w:tcW w:w="1090" w:type="dxa"/>
                                  <w:tcBorders/>
                                  <w:vAlign w:val="center"/>
                                </w:tcPr>
                                <w:p>
                                  <w:pPr>
                                    <w:pStyle w:val="TableContents"/>
                                    <w:bidi w:val="0"/>
                                    <w:spacing w:before="0" w:after="283"/>
                                    <w:jc w:val="left"/>
                                    <w:rPr>
                                      <w:sz w:val="4"/>
                                      <w:szCs w:val="4"/>
                                    </w:rPr>
                                  </w:pPr>
                                  <w:r>
                                    <w:rPr>
                                      <w:sz w:val="4"/>
                                      <w:szCs w:val="4"/>
                                    </w:rPr>
                                  </w:r>
                                  <w:r>
                                    <w:br w:type="page"/>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UAL-PA-04815</w:t>
                                    <w:br/>
                                    <w:t>APR 126760 - *** 787-*** Aircraft</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20"/>
                                    </w:rPr>
                                    <w:br/>
                                  </w:r>
                                  <w:r>
                                    <w:rPr>
                                      <w:rFonts w:ascii="Arial;sans-serif" w:hAnsi="Arial;sans-serif"/>
                                      <w:b/>
                                      <w:color w:val="000000"/>
                                      <w:sz w:val="20"/>
                                    </w:rPr>
                                    <w:t>Boeing / United Airlines Proprietary</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787-*** Table 1: SA-17, Page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110.8pt;mso-position-horizontal:left;mso-position-horizontal-relative:text">
                <v:textbox>
                  <w:txbxContent>
                    <w:tbl>
                      <w:tblPr>
                        <w:tblW w:w="9328" w:type="dxa"/>
                        <w:jc w:val="left"/>
                        <w:tblInd w:w="0" w:type="dxa"/>
                        <w:tblLayout w:type="fixed"/>
                        <w:tblCellMar>
                          <w:top w:w="28" w:type="dxa"/>
                          <w:left w:w="28" w:type="dxa"/>
                          <w:bottom w:w="28" w:type="dxa"/>
                          <w:right w:w="28" w:type="dxa"/>
                        </w:tblCellMar>
                      </w:tblPr>
                      <w:tblGrid>
                        <w:gridCol w:w="1090"/>
                        <w:gridCol w:w="959"/>
                        <w:gridCol w:w="965"/>
                        <w:gridCol w:w="1139"/>
                        <w:gridCol w:w="1139"/>
                        <w:gridCol w:w="1142"/>
                        <w:gridCol w:w="847"/>
                        <w:gridCol w:w="847"/>
                        <w:gridCol w:w="1200"/>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UAL-PA-04815</w:t>
                              <w:br/>
                              <w:t>APR 126760 - *** 787-*** Aircraft</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20"/>
                              </w:rPr>
                              <w:br/>
                            </w:r>
                            <w:r>
                              <w:rPr>
                                <w:rFonts w:ascii="Arial;sans-serif" w:hAnsi="Arial;sans-serif"/>
                                <w:b/>
                                <w:color w:val="000000"/>
                                <w:sz w:val="20"/>
                              </w:rPr>
                              <w:t>Boeing / United Airlines Proprietary</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787-*** Table 1: SA-17, Page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24"/>
        </w:rPr>
        <w:t>***</w:t>
      </w:r>
      <w:r>
        <w:rPr>
          <w:rFonts w:ascii="Arial;sans-serif" w:hAnsi="Arial;sans-serif"/>
          <w:b/>
          <w:color w:val="000000"/>
          <w:sz w:val="16"/>
        </w:rPr>
        <w:t>3</w:t>
      </w:r>
      <w:r>
        <w:rPr>
          <w:color w:val="000000"/>
        </w:rPr>
        <w:t xml:space="preserve"> </w:t>
      </w:r>
      <w:r>
        <w:rPr>
          <w:rFonts w:ascii="Arial;sans-serif" w:hAnsi="Arial;sans-serif"/>
          <w:b/>
          <w:color w:val="000000"/>
          <w:sz w:val="24"/>
        </w:rPr>
        <w:t>787-*** Aircraft with *** Engines Delivery, Description, Price and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(787-***)</w:t>
      </w:r>
    </w:p>
    <w:tbl>
      <w:tblPr>
        <w:tblW w:w="10205" w:type="dxa"/>
        <w:jc w:val="left"/>
        <w:tblInd w:w="0" w:type="dxa"/>
        <w:tblLayout w:type="fixed"/>
        <w:tblCellMar>
          <w:top w:w="28" w:type="dxa"/>
          <w:left w:w="28" w:type="dxa"/>
          <w:bottom w:w="28" w:type="dxa"/>
          <w:right w:w="28" w:type="dxa"/>
        </w:tblCellMar>
      </w:tblPr>
      <w:tblGrid>
        <w:gridCol w:w="355"/>
        <w:gridCol w:w="281"/>
        <w:gridCol w:w="129"/>
        <w:gridCol w:w="125"/>
        <w:gridCol w:w="125"/>
        <w:gridCol w:w="125"/>
        <w:gridCol w:w="316"/>
        <w:gridCol w:w="316"/>
        <w:gridCol w:w="213"/>
        <w:gridCol w:w="327"/>
        <w:gridCol w:w="327"/>
        <w:gridCol w:w="168"/>
        <w:gridCol w:w="349"/>
        <w:gridCol w:w="349"/>
        <w:gridCol w:w="350"/>
        <w:gridCol w:w="345"/>
        <w:gridCol w:w="345"/>
        <w:gridCol w:w="346"/>
        <w:gridCol w:w="380"/>
        <w:gridCol w:w="380"/>
        <w:gridCol w:w="381"/>
        <w:gridCol w:w="439"/>
        <w:gridCol w:w="439"/>
        <w:gridCol w:w="440"/>
        <w:gridCol w:w="442"/>
        <w:gridCol w:w="442"/>
        <w:gridCol w:w="443"/>
        <w:gridCol w:w="133"/>
        <w:gridCol w:w="133"/>
        <w:gridCol w:w="133"/>
        <w:gridCol w:w="121"/>
        <w:gridCol w:w="121"/>
        <w:gridCol w:w="121"/>
        <w:gridCol w:w="116"/>
        <w:gridCol w:w="116"/>
        <w:gridCol w:w="116"/>
        <w:gridCol w:w="116"/>
        <w:gridCol w:w="116"/>
        <w:gridCol w:w="186"/>
      </w:tblGrid>
      <w:tr>
        <w:trPr/>
        <w:tc>
          <w:tcPr>
            <w:tcW w:w="35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80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Features:</w:t>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Airframe *** Data:</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of Airframe and Features:</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(ECI):</w:t>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Price (Per Aircraft) :</w:t>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(CPI):</w:t>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Basic Price (Excluding BFE/SPE):</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Engine *** Data:</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Buyer Furnished Equipment (BFE) Estimate:</w:t>
            </w:r>
          </w:p>
        </w:tc>
        <w:tc>
          <w:tcPr>
            <w:tcW w:w="1048"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(ECI):</w:t>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Seller Purchased Equipment (SPE)</w:t>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(CPI):</w:t>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per Aircraft:</w:t>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Aircraft</w:t>
            </w:r>
          </w:p>
        </w:tc>
        <w:tc>
          <w:tcPr>
            <w:tcW w:w="375"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 Date</w:t>
            </w:r>
          </w:p>
        </w:tc>
        <w:tc>
          <w:tcPr>
            <w:tcW w:w="822"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Aircraft</w:t>
            </w:r>
          </w:p>
        </w:tc>
        <w:tc>
          <w:tcPr>
            <w:tcW w:w="1048"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Factor (Airframe)</w:t>
            </w:r>
          </w:p>
        </w:tc>
        <w:tc>
          <w:tcPr>
            <w:tcW w:w="1036"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Factor (Engine)</w:t>
            </w:r>
          </w:p>
        </w:tc>
        <w:tc>
          <w:tcPr>
            <w:tcW w:w="1141"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Forecast</w:t>
            </w:r>
          </w:p>
        </w:tc>
        <w:tc>
          <w:tcPr>
            <w:tcW w:w="1318"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Manufacturer Serial Number##</w:t>
            </w:r>
          </w:p>
        </w:tc>
        <w:tc>
          <w:tcPr>
            <w:tcW w:w="1327"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Estimate *** Base Price Per A/P</w:t>
            </w:r>
          </w:p>
        </w:tc>
        <w:tc>
          <w:tcPr>
            <w:tcW w:w="1528"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(Amts. Due/*** Prior to Delivery):</w:t>
            </w:r>
          </w:p>
        </w:tc>
      </w:tr>
      <w:tr>
        <w:trPr/>
        <w:tc>
          <w:tcPr>
            <w:tcW w:w="765"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375"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845"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822"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48"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3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4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318"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327"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3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375"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845"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822"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48"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036"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141"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318"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327"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3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22"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1 </w:t>
            </w:r>
            <w:r>
              <w:rPr>
                <w:rFonts w:ascii="Times New Roman;serif" w:hAnsi="Times New Roman;serif"/>
                <w:b w:val="false"/>
                <w:color w:val="000000"/>
                <w:sz w:val="24"/>
              </w:rPr>
              <w:t>***</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2 </w:t>
            </w:r>
            <w:r>
              <w:rPr>
                <w:rFonts w:ascii="Times New Roman;serif" w:hAnsi="Times New Roman;serif"/>
                <w:b w:val="false"/>
                <w:color w:val="000000"/>
                <w:sz w:val="24"/>
              </w:rPr>
              <w:t>***</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3 </w:t>
            </w:r>
            <w:r>
              <w:rPr>
                <w:rFonts w:ascii="Times New Roman;serif" w:hAnsi="Times New Roman;serif"/>
                <w:b w:val="false"/>
                <w:color w:val="000000"/>
                <w:sz w:val="24"/>
              </w:rPr>
              <w:t>***</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4 </w:t>
            </w:r>
            <w:r>
              <w:rPr>
                <w:rFonts w:ascii="Times New Roman;serif" w:hAnsi="Times New Roman;serif"/>
                <w:b w:val="false"/>
                <w:color w:val="000000"/>
                <w:sz w:val="24"/>
              </w:rPr>
              <w:t>***</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Manufacturer Serial Numbers identified above ***.</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745490"/>
                <wp:effectExtent l="0" t="0" r="0" b="0"/>
                <wp:wrapNone/>
                <wp:docPr id="230" name="Frame229"/>
                <a:graphic xmlns:a="http://schemas.openxmlformats.org/drawingml/2006/main">
                  <a:graphicData uri="http://schemas.microsoft.com/office/word/2010/wordprocessingShape">
                    <wps:wsp>
                      <wps:cNvSpPr txBox="1"/>
                      <wps:spPr>
                        <a:xfrm>
                          <a:off x="0" y="0"/>
                          <a:ext cx="6480175" cy="74549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541"/>
                              <w:gridCol w:w="476"/>
                              <w:gridCol w:w="479"/>
                              <w:gridCol w:w="1400"/>
                              <w:gridCol w:w="1400"/>
                              <w:gridCol w:w="1403"/>
                              <w:gridCol w:w="1315"/>
                              <w:gridCol w:w="1315"/>
                              <w:gridCol w:w="1876"/>
                            </w:tblGrid>
                            <w:tr>
                              <w:trPr/>
                              <w:tc>
                                <w:tcPr>
                                  <w:tcW w:w="541" w:type="dxa"/>
                                  <w:tcBorders/>
                                  <w:vAlign w:val="center"/>
                                </w:tcPr>
                                <w:p>
                                  <w:pPr>
                                    <w:pStyle w:val="TableContents"/>
                                    <w:bidi w:val="0"/>
                                    <w:spacing w:before="0" w:after="283"/>
                                    <w:jc w:val="left"/>
                                    <w:rPr>
                                      <w:sz w:val="4"/>
                                      <w:szCs w:val="4"/>
                                    </w:rPr>
                                  </w:pPr>
                                  <w:r>
                                    <w:rPr>
                                      <w:sz w:val="4"/>
                                      <w:szCs w:val="4"/>
                                    </w:rPr>
                                  </w:r>
                                  <w:r>
                                    <w:br w:type="page"/>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APR-125267</w:t>
                                  </w:r>
                                </w:p>
                              </w:tc>
                              <w:tc>
                                <w:tcPr>
                                  <w:tcW w:w="4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BOEING / UNITED AIRLINES PROPRIETARY</w:t>
                                  </w:r>
                                </w:p>
                              </w:tc>
                              <w:tc>
                                <w:tcPr>
                                  <w:tcW w:w="45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787-*** with *** Engines Table 1 (SA-17), Page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541"/>
                        <w:gridCol w:w="476"/>
                        <w:gridCol w:w="479"/>
                        <w:gridCol w:w="1400"/>
                        <w:gridCol w:w="1400"/>
                        <w:gridCol w:w="1403"/>
                        <w:gridCol w:w="1315"/>
                        <w:gridCol w:w="1315"/>
                        <w:gridCol w:w="1876"/>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APR-125267</w:t>
                            </w:r>
                          </w:p>
                        </w:tc>
                        <w:tc>
                          <w:tcPr>
                            <w:tcW w:w="4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BOEING / UNITED AIRLINES PROPRIETARY</w:t>
                            </w:r>
                          </w:p>
                        </w:tc>
                        <w:tc>
                          <w:tcPr>
                            <w:tcW w:w="45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787-*** with *** Engines Table 1 (SA-17), Page 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787-*** AIRCRAFT CONFIGURATION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between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THE BOEING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UNITED AIRLINES,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A2 to Purchase Agreement Number 04815 for</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787-*** Aircraft with *** Engines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A2 to</w:t>
        <w:br/>
        <w:t>Purchase Agreement No. 04815</w:t>
        <w:br/>
        <w:t>Page 2</w:t>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595630"/>
                <wp:effectExtent l="0" t="0" r="0" b="0"/>
                <wp:wrapNone/>
                <wp:docPr id="231" name="Frame230"/>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 No. 04815    A2    SA-17</w:t>
                            </w:r>
                            <w:r>
                              <w:br w:type="page"/>
                            </w:r>
                          </w:p>
                          <w:p>
                            <w:pPr>
                              <w:pStyle w:val="TextBody"/>
                              <w:bidi w:val="0"/>
                              <w:spacing w:lineRule="auto" w:line="288" w:before="0" w:after="0"/>
                              <w:jc w:val="left"/>
                              <w:rPr/>
                            </w:pPr>
                            <w:r>
                              <w:rPr>
                                <w:color w:val="000000"/>
                              </w:rPr>
                              <w:t>    </w:t>
                            </w:r>
                            <w:r>
                              <w:rPr>
                                <w:rFonts w:ascii="Times New Roman;serif" w:hAnsi="Times New Roman;serif"/>
                                <w:b/>
                                <w:color w:val="000000"/>
                                <w:sz w:val="24"/>
                              </w:rPr>
                              <w:t>BOEING / UNITED AIRLINES PROPRIETARY</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 No. 04815    A2    SA-17</w:t>
                      </w:r>
                    </w:p>
                    <w:p>
                      <w:pPr>
                        <w:pStyle w:val="TextBody"/>
                        <w:bidi w:val="0"/>
                        <w:spacing w:lineRule="auto" w:line="288" w:before="0" w:after="0"/>
                        <w:jc w:val="left"/>
                        <w:rPr/>
                      </w:pPr>
                      <w:r>
                        <w:rPr>
                          <w:color w:val="000000"/>
                        </w:rPr>
                        <w:t>    </w:t>
                      </w:r>
                      <w:r>
                        <w:rPr>
                          <w:rFonts w:ascii="Times New Roman;serif" w:hAnsi="Times New Roman;serif"/>
                          <w:b/>
                          <w:color w:val="000000"/>
                          <w:sz w:val="24"/>
                        </w:rPr>
                        <w:t>BOEING / UNITED AIRLINES PROPRIETARY</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AIRCRAFT CONFIGURATION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relating to</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BOEING MODEL 787-*** AIRCRAFT</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The Detail Specification is Boeing document entitled Detail specification D019E001UAL81P-1-TBD. (The designator is TBD due to the Detail Specification being aligned by manufacturer serial number (</w:t>
      </w:r>
      <w:r>
        <w:rPr>
          <w:rFonts w:ascii="Times New Roman;serif" w:hAnsi="Times New Roman;serif"/>
          <w:b/>
          <w:color w:val="000000"/>
          <w:sz w:val="24"/>
        </w:rPr>
        <w:t>MSN</w:t>
      </w:r>
      <w:r>
        <w:rPr>
          <w:rFonts w:ascii="Times New Roman;serif" w:hAnsi="Times New Roman;serif"/>
          <w:b w:val="false"/>
          <w:color w:val="000000"/>
          <w:sz w:val="24"/>
        </w:rPr>
        <w:t>), e.g., for the 787-*** aircraft ***, the Detail Specification is number D019E001UAL81P-1-40936, Rev (New)). The Detail Specification provides further description of Customer’s configuration set forth in this Exhibit A and will be *** as amended to incorporate the optional features (</w:t>
      </w:r>
      <w:r>
        <w:rPr>
          <w:rFonts w:ascii="Times New Roman;serif" w:hAnsi="Times New Roman;serif"/>
          <w:b/>
          <w:color w:val="000000"/>
          <w:sz w:val="24"/>
        </w:rPr>
        <w:t>***</w:t>
      </w:r>
      <w:r>
        <w:rPr>
          <w:rFonts w:ascii="Times New Roman;serif" w:hAnsi="Times New Roman;serif"/>
          <w:b w:val="false"/>
          <w:color w:val="000000"/>
          <w:sz w:val="24"/>
        </w:rPr>
        <w:t xml:space="preserve">) listed below, including the effects on *** and ***. The *** reflects and includes all effects of such *** except such *** does not include the *** of any Buyer Furnished Equipment or Seller Purchased Equipment. As soon as practicable, Boeing will furnish to Customer copies of the Detail Specification, which copies will reflect ***.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A2 to</w:t>
        <w:br/>
        <w:t>Purchase Agreement No. 04815</w:t>
        <w:br/>
        <w:t>Page 3</w:t>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595630"/>
                <wp:effectExtent l="0" t="0" r="0" b="0"/>
                <wp:wrapNone/>
                <wp:docPr id="232" name="Frame231"/>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 No. 04815    A2-2    SA-17</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 No. 04815    A2-2    SA-17</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4"/>
        <w:gridCol w:w="425"/>
        <w:gridCol w:w="427"/>
        <w:gridCol w:w="360"/>
        <w:gridCol w:w="360"/>
        <w:gridCol w:w="365"/>
        <w:gridCol w:w="1625"/>
        <w:gridCol w:w="1625"/>
        <w:gridCol w:w="1628"/>
        <w:gridCol w:w="848"/>
        <w:gridCol w:w="848"/>
        <w:gridCol w:w="1210"/>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Number</w:t>
            </w:r>
          </w:p>
        </w:tc>
        <w:tc>
          <w:tcPr>
            <w:tcW w:w="108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Title</w:t>
            </w:r>
          </w:p>
        </w:tc>
        <w:tc>
          <w:tcPr>
            <w:tcW w:w="487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60" w:after="60"/>
              <w:jc w:val="center"/>
              <w:rPr/>
            </w:pPr>
            <w:r>
              <w:rPr>
                <w:rFonts w:ascii="Times New Roman;serif" w:hAnsi="Times New Roman;serif"/>
                <w:b/>
                <w:color w:val="000000"/>
                <w:sz w:val="22"/>
              </w:rPr>
              <w:t xml:space="preserve">*** </w:t>
              <w:br/>
              <w:t>Price/787-*** Aircraft (</w:t>
            </w:r>
            <w:r>
              <w:rPr>
                <w:rFonts w:ascii="Times New Roman;serif" w:hAnsi="Times New Roman;serif"/>
                <w:b/>
                <w:color w:val="000000"/>
                <w:sz w:val="16"/>
              </w:rPr>
              <w:t>Purchase Agreement No. 3860)</w:t>
            </w:r>
            <w:r>
              <w:rPr>
                <w:color w:val="000000"/>
              </w:rPr>
              <w:t xml:space="preserve"> </w:t>
            </w:r>
            <w:r>
              <w:rPr>
                <w:rFonts w:ascii="Times New Roman;serif" w:hAnsi="Times New Roman;serif"/>
                <w:b/>
                <w:color w:val="000000"/>
                <w:sz w:val="22"/>
              </w:rPr>
              <w:t>***$</w:t>
            </w:r>
          </w:p>
        </w:tc>
        <w:tc>
          <w:tcPr>
            <w:tcW w:w="290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60" w:after="60"/>
              <w:jc w:val="center"/>
              <w:rPr/>
            </w:pPr>
            <w:r>
              <w:rPr>
                <w:rFonts w:ascii="Times New Roman;serif" w:hAnsi="Times New Roman;serif"/>
                <w:b/>
                <w:color w:val="000000"/>
                <w:sz w:val="22"/>
              </w:rPr>
              <w:t xml:space="preserve">*** </w:t>
              <w:br/>
              <w:t xml:space="preserve">Price/787-*** Aircraft </w:t>
              <w:br/>
            </w:r>
            <w:r>
              <w:rPr>
                <w:rFonts w:ascii="Times New Roman;serif" w:hAnsi="Times New Roman;serif"/>
                <w:b/>
                <w:color w:val="000000"/>
                <w:sz w:val="14"/>
              </w:rPr>
              <w:t>(Purchase Agreement 787-***</w:t>
            </w:r>
            <w:r>
              <w:rPr>
                <w:color w:val="000000"/>
              </w:rPr>
              <w:t xml:space="preserve"> </w:t>
            </w:r>
            <w:r>
              <w:rPr>
                <w:rFonts w:ascii="Times New Roman;serif" w:hAnsi="Times New Roman;serif"/>
                <w:b/>
                <w:color w:val="000000"/>
                <w:sz w:val="14"/>
              </w:rPr>
              <w:t>Table 1s)</w:t>
            </w:r>
            <w:r>
              <w:rPr>
                <w:color w:val="000000"/>
              </w:rPr>
              <w:t xml:space="preserve"> </w:t>
            </w:r>
            <w:r>
              <w:rPr>
                <w:rFonts w:ascii="Times New Roman;serif" w:hAnsi="Times New Roman;serif"/>
                <w:b/>
                <w:color w:val="000000"/>
                <w:sz w:val="22"/>
              </w:rPr>
              <w:t>***$</w:t>
            </w:r>
          </w:p>
        </w:tc>
      </w:tr>
      <w:tr>
        <w:trPr/>
        <w:tc>
          <w:tcPr>
            <w:tcW w:w="133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9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t>
            </w:r>
          </w:p>
        </w:tc>
        <w:tc>
          <w:tcPr>
            <w:tcW w:w="108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TOTALS:</w:t>
            </w:r>
          </w:p>
        </w:tc>
        <w:tc>
          <w:tcPr>
            <w:tcW w:w="4878"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t>
            </w:r>
          </w:p>
        </w:tc>
        <w:tc>
          <w:tcPr>
            <w:tcW w:w="290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60" w:after="60"/>
              <w:jc w:val="center"/>
              <w:rPr>
                <w:rFonts w:ascii="Times New Roman;serif" w:hAnsi="Times New Roman;serif"/>
                <w:b/>
                <w:color w:val="000000"/>
                <w:sz w:val="22"/>
              </w:rPr>
            </w:pPr>
            <w:r>
              <w:rPr>
                <w:rFonts w:ascii="Times New Roman;serif" w:hAnsi="Times New Roman;serif"/>
                <w:b/>
                <w:color w:val="000000"/>
                <w:sz w:val="22"/>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595630"/>
                <wp:effectExtent l="0" t="0" r="0" b="0"/>
                <wp:wrapNone/>
                <wp:docPr id="233" name="Frame232"/>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 No. 04815    A2-3    SA-17</w:t>
                            </w:r>
                            <w:r>
                              <w:br w:type="page"/>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 No. 04815    A2-3    SA-17</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BOEING / UNITED AIRLINES PROPRIETARY</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The Boeing Company</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P.O. Box 3707</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Seattle, WA 98124 2207</w:t>
      </w:r>
      <w:r>
        <w:rPr/>
        <w:drawing>
          <wp:inline distT="0" distB="0" distL="0" distR="0">
            <wp:extent cx="1733550" cy="400050"/>
            <wp:effectExtent l="0" t="0" r="0" b="0"/>
            <wp:docPr id="2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 descr=""/>
                    <pic:cNvPicPr>
                      <a:picLocks noChangeAspect="1" noChangeArrowheads="1"/>
                    </pic:cNvPicPr>
                  </pic:nvPicPr>
                  <pic:blipFill>
                    <a:blip r:embed="rId3"/>
                    <a:stretch>
                      <a:fillRect/>
                    </a:stretch>
                  </pic:blipFill>
                  <pic:spPr bwMode="auto">
                    <a:xfrm>
                      <a:off x="0" y="0"/>
                      <a:ext cx="1733550" cy="4000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UAL-PA-04815-LA-1802897R6</w:t>
      </w:r>
    </w:p>
    <w:p>
      <w:pPr>
        <w:pStyle w:val="TextBody"/>
        <w:bidi w:val="0"/>
        <w:spacing w:lineRule="auto" w:line="288" w:before="600" w:after="283"/>
        <w:jc w:val="left"/>
        <w:rPr>
          <w:rFonts w:ascii="Times New Roman;serif" w:hAnsi="Times New Roman;serif"/>
          <w:b w:val="false"/>
          <w:color w:val="000000"/>
          <w:sz w:val="24"/>
        </w:rPr>
      </w:pPr>
      <w:r>
        <w:rPr>
          <w:rFonts w:ascii="Times New Roman;serif" w:hAnsi="Times New Roman;serif"/>
          <w:b w:val="false"/>
          <w:color w:val="000000"/>
          <w:sz w:val="24"/>
        </w:rPr>
        <w:t>United Airlines, Inc.</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233 South Wacker Drive</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Chicago, Illinois 60606</w:t>
      </w:r>
    </w:p>
    <w:p>
      <w:pPr>
        <w:pStyle w:val="TextBody"/>
        <w:bidi w:val="0"/>
        <w:spacing w:lineRule="auto" w:line="288" w:before="600" w:after="283"/>
        <w:jc w:val="left"/>
        <w:rPr>
          <w:rFonts w:ascii="Times New Roman;serif" w:hAnsi="Times New Roman;serif"/>
          <w:b w:val="false"/>
          <w:color w:val="000000"/>
          <w:sz w:val="24"/>
        </w:rPr>
      </w:pPr>
      <w:r>
        <w:rPr>
          <w:rFonts w:ascii="Times New Roman;serif" w:hAnsi="Times New Roman;serif"/>
          <w:b w:val="false"/>
          <w:color w:val="000000"/>
          <w:sz w:val="24"/>
        </w:rPr>
        <w:t>Subject:    *** Aircraft</w:t>
      </w:r>
    </w:p>
    <w:p>
      <w:pPr>
        <w:pStyle w:val="TextBody"/>
        <w:bidi w:val="0"/>
        <w:spacing w:lineRule="auto" w:line="288" w:before="240" w:after="283"/>
        <w:ind w:left="0" w:right="0" w:hanging="1440"/>
        <w:jc w:val="both"/>
        <w:rPr/>
      </w:pPr>
      <w:r>
        <w:rPr>
          <w:rFonts w:ascii="Times New Roman;serif" w:hAnsi="Times New Roman;serif"/>
          <w:b w:val="false"/>
          <w:color w:val="000000"/>
          <w:sz w:val="24"/>
        </w:rPr>
        <w:t>Reference:    Purchase Agreement 04815 (</w:t>
      </w:r>
      <w:r>
        <w:rPr>
          <w:rFonts w:ascii="Times New Roman;serif" w:hAnsi="Times New Roman;serif"/>
          <w:b/>
          <w:color w:val="000000"/>
          <w:sz w:val="24"/>
        </w:rPr>
        <w:t>Purchase Agreement</w:t>
      </w:r>
      <w:r>
        <w:rPr>
          <w:rFonts w:ascii="Times New Roman;serif" w:hAnsi="Times New Roman;serif"/>
          <w:b w:val="false"/>
          <w:color w:val="000000"/>
          <w:sz w:val="24"/>
        </w:rPr>
        <w:t>) between The Boeing Company (</w:t>
      </w:r>
      <w:r>
        <w:rPr>
          <w:rFonts w:ascii="Times New Roman;serif" w:hAnsi="Times New Roman;serif"/>
          <w:b/>
          <w:color w:val="000000"/>
          <w:sz w:val="24"/>
        </w:rPr>
        <w:t>Boeing</w:t>
      </w:r>
      <w:r>
        <w:rPr>
          <w:rFonts w:ascii="Times New Roman;serif" w:hAnsi="Times New Roman;serif"/>
          <w:b w:val="false"/>
          <w:color w:val="000000"/>
          <w:sz w:val="24"/>
        </w:rPr>
        <w:t>) and United Airlines, Inc. (</w:t>
      </w:r>
      <w:r>
        <w:rPr>
          <w:rFonts w:ascii="Times New Roman;serif" w:hAnsi="Times New Roman;serif"/>
          <w:b/>
          <w:color w:val="000000"/>
          <w:sz w:val="24"/>
        </w:rPr>
        <w:t>Customer</w:t>
      </w:r>
      <w:r>
        <w:rPr>
          <w:rFonts w:ascii="Times New Roman;serif" w:hAnsi="Times New Roman;serif"/>
          <w:b w:val="false"/>
          <w:color w:val="000000"/>
          <w:sz w:val="24"/>
        </w:rPr>
        <w:t>) relating to Model 787 aircraft (</w:t>
      </w:r>
      <w:r>
        <w:rPr>
          <w:rFonts w:ascii="Times New Roman;serif" w:hAnsi="Times New Roman;serif"/>
          <w:b/>
          <w:color w:val="000000"/>
          <w:sz w:val="24"/>
        </w:rPr>
        <w:t>Aircraft</w:t>
      </w:r>
      <w:r>
        <w:rPr>
          <w:rFonts w:ascii="Times New Roman;serif" w:hAnsi="Times New Roman;serif"/>
          <w:b w:val="false"/>
          <w:color w:val="000000"/>
          <w:sz w:val="24"/>
        </w:rPr>
        <w:t>)</w:t>
      </w:r>
    </w:p>
    <w:p>
      <w:pPr>
        <w:pStyle w:val="TextBody"/>
        <w:bidi w:val="0"/>
        <w:spacing w:lineRule="auto" w:line="288" w:before="360" w:after="283"/>
        <w:ind w:left="0" w:right="0" w:firstLine="994"/>
        <w:jc w:val="both"/>
        <w:rPr/>
      </w:pPr>
      <w:r>
        <w:rPr>
          <w:rFonts w:ascii="Times New Roman;serif" w:hAnsi="Times New Roman;serif"/>
          <w:b w:val="false"/>
          <w:color w:val="000000"/>
          <w:sz w:val="24"/>
        </w:rPr>
        <w:t>This letter agreement (</w:t>
      </w:r>
      <w:r>
        <w:rPr>
          <w:rFonts w:ascii="Times New Roman;serif" w:hAnsi="Times New Roman;serif"/>
          <w:b/>
          <w:color w:val="000000"/>
          <w:sz w:val="24"/>
        </w:rPr>
        <w:t>Letter Agreement</w:t>
      </w:r>
      <w:r>
        <w:rPr>
          <w:rFonts w:ascii="Times New Roman;serif" w:hAnsi="Times New Roman;serif"/>
          <w:b w:val="false"/>
          <w:color w:val="000000"/>
          <w:sz w:val="24"/>
        </w:rPr>
        <w:t xml:space="preserve">) amends and supplements the Purchase Agreement. All terms used but not defined in this Letter Agreement have the same meaning as in the Purchase Agreement. This Letter Agreement supersedes and replaces in its entirety Letter Agreement UAL-PA-04815-LA-1802897R5 dated April 30, 2026.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Boeing agrees to manufacture and sell to Customer additional Boeing model 787-*** aircraft (collectively and each an </w:t>
      </w:r>
      <w:r>
        <w:rPr>
          <w:rFonts w:ascii="Times New Roman;serif" w:hAnsi="Times New Roman;serif"/>
          <w:b/>
          <w:color w:val="000000"/>
          <w:sz w:val="24"/>
        </w:rPr>
        <w:t>*** Aircraft</w:t>
      </w:r>
      <w:r>
        <w:rPr>
          <w:rFonts w:ascii="Times New Roman;serif" w:hAnsi="Times New Roman;serif"/>
          <w:b w:val="false"/>
          <w:color w:val="000000"/>
          <w:sz w:val="24"/>
        </w:rPr>
        <w:t>) in accordance with the terms of this Letter Agreement. The model, delivery *** per aircraft and *** schedule are listed in Attachment A-1.</w:t>
      </w:r>
    </w:p>
    <w:p>
      <w:pPr>
        <w:pStyle w:val="TextBody"/>
        <w:bidi w:val="0"/>
        <w:spacing w:lineRule="auto" w:line="288" w:before="240" w:after="283"/>
        <w:ind w:left="0" w:right="0" w:hanging="720"/>
        <w:jc w:val="both"/>
        <w:rPr/>
      </w:pPr>
      <w:r>
        <w:rPr>
          <w:rFonts w:ascii="Times New Roman;serif" w:hAnsi="Times New Roman;serif"/>
          <w:b w:val="false"/>
          <w:color w:val="000000"/>
          <w:sz w:val="24"/>
        </w:rPr>
        <w:t>1.</w:t>
      </w:r>
      <w:r>
        <w:rPr>
          <w:rFonts w:ascii="Times New Roman;serif" w:hAnsi="Times New Roman;serif"/>
          <w:b/>
          <w:color w:val="000000"/>
          <w:sz w:val="24"/>
          <w:u w:val="single"/>
        </w:rPr>
        <w:t>Aircraft Description and Changes</w:t>
      </w:r>
      <w:r>
        <w:rPr>
          <w:rFonts w:ascii="Times New Roman;serif" w:hAnsi="Times New Roman;serif"/>
          <w:b/>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Aircraft Description</w:t>
      </w:r>
      <w:r>
        <w:rPr>
          <w:rFonts w:ascii="Times New Roman;serif" w:hAnsi="Times New Roman;serif"/>
          <w:b w:val="false"/>
          <w:color w:val="000000"/>
          <w:sz w:val="24"/>
        </w:rPr>
        <w:t>: The *** Aircraft are described by the Detail Specification listed in Attachment A-1, and are subject to the items in Section 1.2 below.</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Changes</w:t>
      </w:r>
      <w:r>
        <w:rPr>
          <w:rFonts w:ascii="Times New Roman;serif" w:hAnsi="Times New Roman;serif"/>
          <w:b w:val="false"/>
          <w:color w:val="000000"/>
          <w:sz w:val="24"/>
        </w:rPr>
        <w:t xml:space="preserve">: The Detail Specification will be revised to include: </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(i)Changes applicable to the *** Model 787 aircraft which are developed by Boeing between the date of the Detail Specification and the signing of the definitive agreement to purchase the *** Aircraft and notified to Customer; </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(ii)Changes required to obtain required regulatory certificates; and </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(iii)Changes mutually agreed upon.</w:t>
      </w:r>
    </w:p>
    <w:p>
      <w:pPr>
        <w:pStyle w:val="TextBody"/>
        <w:bidi w:val="0"/>
        <w:spacing w:before="240" w:after="283"/>
        <w:jc w:val="left"/>
        <w:rPr/>
      </w:pPr>
      <w:r>
        <w:rPr/>
        <w:drawing>
          <wp:inline distT="0" distB="0" distL="0" distR="0">
            <wp:extent cx="1743075" cy="400050"/>
            <wp:effectExtent l="0" t="0" r="0" b="0"/>
            <wp:docPr id="23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3" descr=""/>
                    <pic:cNvPicPr>
                      <a:picLocks noChangeAspect="1" noChangeArrowheads="1"/>
                    </pic:cNvPicPr>
                  </pic:nvPicPr>
                  <pic:blipFill>
                    <a:blip r:embed="rId4"/>
                    <a:stretch>
                      <a:fillRect/>
                    </a:stretch>
                  </pic:blipFill>
                  <pic:spPr bwMode="auto">
                    <a:xfrm>
                      <a:off x="0" y="0"/>
                      <a:ext cx="1743075" cy="400050"/>
                    </a:xfrm>
                    <a:prstGeom prst="rect">
                      <a:avLst/>
                    </a:prstGeom>
                  </pic:spPr>
                </pic:pic>
              </a:graphicData>
            </a:graphic>
          </wp:inline>
        </w:drawing>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927735"/>
                <wp:effectExtent l="0" t="0" r="0" b="0"/>
                <wp:wrapNone/>
                <wp:docPr id="236" name="Frame233"/>
                <a:graphic xmlns:a="http://schemas.openxmlformats.org/drawingml/2006/main">
                  <a:graphicData uri="http://schemas.microsoft.com/office/word/2010/wordprocessingShape">
                    <wps:wsp>
                      <wps:cNvSpPr txBox="1"/>
                      <wps:spPr>
                        <a:xfrm>
                          <a:off x="0" y="0"/>
                          <a:ext cx="6480175" cy="927735"/>
                        </a:xfrm>
                        <a:prstGeom prst="rect"/>
                        <a:solidFill>
                          <a:srgbClr val="FFFFFF"/>
                        </a:solidFill>
                      </wps:spPr>
                      <wps:txbx>
                        <w:txbxContent>
                          <w:p>
                            <w:pPr>
                              <w:pStyle w:val="TextBody"/>
                              <w:bidi w:val="0"/>
                              <w:spacing w:lineRule="auto" w:line="288" w:before="240" w:after="283"/>
                              <w:jc w:val="left"/>
                              <w:rPr>
                                <w:rFonts w:ascii="Times;sans-serif" w:hAnsi="Times;sans-serif"/>
                                <w:b w:val="false"/>
                                <w:color w:val="000000"/>
                                <w:sz w:val="24"/>
                              </w:rPr>
                            </w:pPr>
                            <w:r>
                              <w:rPr>
                                <w:rFonts w:ascii="Times;sans-serif" w:hAnsi="Times;sans-serif"/>
                                <w:b w:val="false"/>
                                <w:color w:val="000000"/>
                                <w:sz w:val="24"/>
                              </w:rPr>
                              <w:t>P.A. No. 04815        SA-17</w:t>
                            </w:r>
                            <w:r>
                              <w:br w:type="page"/>
                            </w:r>
                          </w:p>
                          <w:p>
                            <w:pPr>
                              <w:pStyle w:val="TextBody"/>
                              <w:bidi w:val="0"/>
                              <w:spacing w:lineRule="auto" w:line="288" w:before="0" w:after="0"/>
                              <w:jc w:val="left"/>
                              <w:rPr/>
                            </w:pPr>
                            <w:r>
                              <w:rPr>
                                <w:rFonts w:ascii="Times;sans-serif" w:hAnsi="Times;sans-serif"/>
                                <w:b w:val="false"/>
                                <w:color w:val="000000"/>
                                <w:sz w:val="24"/>
                              </w:rPr>
                              <w:t>UAL-PA-04815-LA-1802897R6</w:t>
                            </w:r>
                            <w:r>
                              <w:rPr>
                                <w:rFonts w:ascii="Times;sans-serif" w:hAnsi="Times;sans-serif"/>
                                <w:b/>
                                <w:color w:val="000000"/>
                                <w:sz w:val="24"/>
                              </w:rPr>
                              <w:t xml:space="preserve">, </w:t>
                            </w:r>
                            <w:r>
                              <w:rPr>
                                <w:rFonts w:ascii="Times;sans-serif" w:hAnsi="Times;sans-serif"/>
                                <w:b w:val="false"/>
                                <w:color w:val="000000"/>
                                <w:sz w:val="24"/>
                              </w:rPr>
                              <w:t>*** Aircraft    Page 1</w:t>
                            </w:r>
                          </w:p>
                          <w:p>
                            <w:pPr>
                              <w:pStyle w:val="TextBody"/>
                              <w:bidi w:val="0"/>
                              <w:spacing w:lineRule="auto" w:line="288" w:before="0" w:after="240"/>
                              <w:jc w:val="center"/>
                              <w:rPr>
                                <w:rFonts w:ascii="Times;sans-serif" w:hAnsi="Times;sans-serif"/>
                                <w:b/>
                                <w:color w:val="000000"/>
                                <w:sz w:val="24"/>
                              </w:rPr>
                            </w:pPr>
                            <w:r>
                              <w:rPr>
                                <w:rFonts w:ascii="Times;sans-serif" w:hAnsi="Times;sans-serif"/>
                                <w:b/>
                                <w:color w:val="000000"/>
                                <w:sz w:val="24"/>
                              </w:rPr>
                              <w:t>BOEING / UNITED AIRLINES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rFonts w:ascii="Times;sans-serif" w:hAnsi="Times;sans-serif"/>
                          <w:b w:val="false"/>
                          <w:color w:val="000000"/>
                          <w:sz w:val="24"/>
                        </w:rPr>
                      </w:pPr>
                      <w:r>
                        <w:rPr>
                          <w:rFonts w:ascii="Times;sans-serif" w:hAnsi="Times;sans-serif"/>
                          <w:b w:val="false"/>
                          <w:color w:val="000000"/>
                          <w:sz w:val="24"/>
                        </w:rPr>
                        <w:t>P.A. No. 04815        SA-17</w:t>
                      </w:r>
                    </w:p>
                    <w:p>
                      <w:pPr>
                        <w:pStyle w:val="TextBody"/>
                        <w:bidi w:val="0"/>
                        <w:spacing w:lineRule="auto" w:line="288" w:before="0" w:after="0"/>
                        <w:jc w:val="left"/>
                        <w:rPr/>
                      </w:pPr>
                      <w:r>
                        <w:rPr>
                          <w:rFonts w:ascii="Times;sans-serif" w:hAnsi="Times;sans-serif"/>
                          <w:b w:val="false"/>
                          <w:color w:val="000000"/>
                          <w:sz w:val="24"/>
                        </w:rPr>
                        <w:t>UAL-PA-04815-LA-1802897R6</w:t>
                      </w:r>
                      <w:r>
                        <w:rPr>
                          <w:rFonts w:ascii="Times;sans-serif" w:hAnsi="Times;sans-serif"/>
                          <w:b/>
                          <w:color w:val="000000"/>
                          <w:sz w:val="24"/>
                        </w:rPr>
                        <w:t xml:space="preserve">, </w:t>
                      </w:r>
                      <w:r>
                        <w:rPr>
                          <w:rFonts w:ascii="Times;sans-serif" w:hAnsi="Times;sans-serif"/>
                          <w:b w:val="false"/>
                          <w:color w:val="000000"/>
                          <w:sz w:val="24"/>
                        </w:rPr>
                        <w:t>*** Aircraft    Page 1</w:t>
                      </w:r>
                    </w:p>
                    <w:p>
                      <w:pPr>
                        <w:pStyle w:val="TextBody"/>
                        <w:bidi w:val="0"/>
                        <w:spacing w:lineRule="auto" w:line="288" w:before="0" w:after="240"/>
                        <w:jc w:val="center"/>
                        <w:rPr>
                          <w:rFonts w:ascii="Times;sans-serif" w:hAnsi="Times;sans-serif"/>
                          <w:b/>
                          <w:color w:val="000000"/>
                          <w:sz w:val="24"/>
                        </w:rPr>
                      </w:pPr>
                      <w:r>
                        <w:rPr>
                          <w:rFonts w:ascii="Times;sans-serif" w:hAnsi="Times;sans-serif"/>
                          <w:b/>
                          <w:color w:val="000000"/>
                          <w:sz w:val="24"/>
                        </w:rPr>
                        <w:t>BOEING / UNITED AIRLINES PROPRIETARY</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hanging="720"/>
        <w:jc w:val="both"/>
        <w:rPr/>
      </w:pPr>
      <w:r>
        <w:rPr>
          <w:rFonts w:ascii="Times New Roman;serif" w:hAnsi="Times New Roman;serif"/>
          <w:b w:val="false"/>
          <w:color w:val="000000"/>
          <w:sz w:val="24"/>
        </w:rPr>
        <w:t>2.</w:t>
      </w:r>
      <w:r>
        <w:rPr>
          <w:rFonts w:ascii="Times New Roman;serif" w:hAnsi="Times New Roman;serif"/>
          <w:b/>
          <w:color w:val="000000"/>
          <w:sz w:val="24"/>
          <w:u w:val="single"/>
        </w:rPr>
        <w:t>Price</w:t>
      </w:r>
      <w:r>
        <w:rPr>
          <w:rFonts w:ascii="Times New Roman;serif" w:hAnsi="Times New Roman;serif"/>
          <w:b/>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rPr>
        <w:t>The *** of the *** Aircraft are listed in Attachment A-1 to this Letter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2.2.1.</w:t>
      </w:r>
      <w:r>
        <w:rPr>
          <w:rFonts w:ascii="Times New Roman;serif" w:hAnsi="Times New Roman;serif"/>
          <w:b w:val="false"/>
          <w:color w:val="000000"/>
          <w:sz w:val="24"/>
          <w:u w:val="single"/>
        </w:rPr>
        <w:t>***</w:t>
      </w:r>
      <w:r>
        <w:rPr>
          <w:rFonts w:ascii="Times New Roman;serif" w:hAnsi="Times New Roman;serif"/>
          <w:b w:val="false"/>
          <w:color w:val="000000"/>
          <w:sz w:val="24"/>
        </w:rPr>
        <w:t xml:space="preserve">. The *** that will be identified in the definitive agreement for the *** Aircraft will equal (i) the *** as of the date of execution of the Purchase Agreement for the ***, and (ii) for any changes incorporated between the date of execution of the Purchase Agreement for the *** and the date of execution of the definitive agreement for the *** Aircraft, the *** associated with such changes will be those first published by Boeing ***.  For the avoidance of doubt, *** that are not published by Boeing as of the date of execution of the Purchase Agreement for the *** will be *** to the same *** as the *** for the *** in accordance with *** Boeing uses ***.  The *** for the *** Aircraft will *** in accordance with Supplemental Exhibit AE1 of the Purchase Agreement.  Boeing represents that the *** provided in this Section 2.2 are consistent with the terms of Letter Agreement 6-1162-KKT-080R2, including as may subsequently be amended.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2.2.2.</w:t>
      </w:r>
      <w:r>
        <w:rPr>
          <w:rFonts w:ascii="Times New Roman;serif" w:hAnsi="Times New Roman;serif"/>
          <w:b w:val="false"/>
          <w:color w:val="000000"/>
          <w:sz w:val="24"/>
          <w:u w:val="single"/>
        </w:rPr>
        <w:t>***</w:t>
      </w:r>
      <w:r>
        <w:rPr>
          <w:rFonts w:ascii="Times New Roman;serif" w:hAnsi="Times New Roman;serif"/>
          <w:b w:val="false"/>
          <w:color w:val="000000"/>
          <w:sz w:val="24"/>
        </w:rPr>
        <w:t>. The *** for each *** Aircraft will be *** on the same basis as the Aircraft and will *** for *** in accordance with the terms set forth in Supplemental Exhibit AE1 of the Purchase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2.2.3.</w:t>
      </w:r>
      <w:r>
        <w:rPr>
          <w:rFonts w:ascii="Times New Roman;serif" w:hAnsi="Times New Roman;serif"/>
          <w:b w:val="false"/>
          <w:color w:val="000000"/>
          <w:sz w:val="24"/>
          <w:u w:val="single"/>
        </w:rPr>
        <w:t>***</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 listed in Supplement Exhibit EE1 to the Purchase Agreement, have been *** to the *** of scheduled delivery using *** listed in the Attachment A-1 to this Letter Agreement. The *** will be *** by the *** prior to the signing of a definitive agreement for the *** Aircraft.</w:t>
      </w:r>
      <w:r>
        <w:rPr>
          <w:color w:val="000000"/>
          <w:u w:val="single"/>
        </w:rPr>
        <w:t xml:space="preserve">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2.2.4.</w:t>
      </w:r>
      <w:r>
        <w:rPr>
          <w:rFonts w:ascii="Times New Roman;serif" w:hAnsi="Times New Roman;serif"/>
          <w:b w:val="false"/>
          <w:color w:val="000000"/>
          <w:sz w:val="24"/>
          <w:u w:val="single"/>
        </w:rPr>
        <w:t>***</w:t>
      </w:r>
      <w:r>
        <w:rPr>
          <w:rFonts w:ascii="Times New Roman;serif" w:hAnsi="Times New Roman;serif"/>
          <w:b w:val="false"/>
          <w:color w:val="000000"/>
          <w:sz w:val="24"/>
        </w:rPr>
        <w:t xml:space="preserve">. The *** of the *** Aircraft will *** to the *** as of the date of execution of the definitive agreement for the *** Aircraft unless the *** agrees to the ***. </w:t>
      </w:r>
    </w:p>
    <w:p>
      <w:pPr>
        <w:pStyle w:val="TextBody"/>
        <w:bidi w:val="0"/>
        <w:spacing w:lineRule="auto" w:line="288" w:before="240" w:after="283"/>
        <w:ind w:left="0" w:right="0" w:hanging="720"/>
        <w:jc w:val="both"/>
        <w:rPr/>
      </w:pPr>
      <w:r>
        <w:rPr>
          <w:rFonts w:ascii="Times New Roman;serif" w:hAnsi="Times New Roman;serif"/>
          <w:b w:val="false"/>
          <w:color w:val="000000"/>
          <w:sz w:val="24"/>
        </w:rPr>
        <w:t>3.</w:t>
      </w:r>
      <w:r>
        <w:rPr>
          <w:rFonts w:ascii="Times New Roman;serif" w:hAnsi="Times New Roman;serif"/>
          <w:b/>
          <w:color w:val="000000"/>
          <w:sz w:val="24"/>
          <w:u w:val="single"/>
        </w:rPr>
        <w:t>Payment</w:t>
      </w:r>
      <w:r>
        <w:rPr>
          <w:rFonts w:ascii="Times New Roman;serif" w:hAnsi="Times New Roman;serif"/>
          <w:b/>
          <w:color w:val="000000"/>
          <w:sz w:val="24"/>
        </w:rPr>
        <w:t>.</w:t>
      </w:r>
      <w:r>
        <w:rPr>
          <w:color w:val="000000"/>
          <w:u w:val="single"/>
        </w:rPr>
        <w:t xml:space="preserve"> </w:t>
      </w:r>
    </w:p>
    <w:p>
      <w:pPr>
        <w:pStyle w:val="TextBody"/>
        <w:bidi w:val="0"/>
        <w:spacing w:lineRule="auto" w:line="288" w:before="240" w:after="283"/>
        <w:ind w:left="0" w:right="0" w:firstLine="1080"/>
        <w:jc w:val="both"/>
        <w:rPr/>
      </w:pPr>
      <w:r>
        <w:rPr>
          <w:rFonts w:ascii="Times New Roman;serif" w:hAnsi="Times New Roman;serif"/>
          <w:b w:val="false"/>
          <w:color w:val="000000"/>
          <w:sz w:val="24"/>
        </w:rPr>
        <w:t>3.1 Customer will pay a *** to Boeing in the amount shown in Attachment A-1 for each *** Aircraft (</w:t>
      </w:r>
      <w:r>
        <w:rPr>
          <w:rFonts w:ascii="Times New Roman;serif" w:hAnsi="Times New Roman;serif"/>
          <w:b/>
          <w:color w:val="000000"/>
          <w:sz w:val="24"/>
        </w:rPr>
        <w:t>***</w:t>
      </w:r>
      <w:r>
        <w:rPr>
          <w:rFonts w:ascii="Times New Roman;serif" w:hAnsi="Times New Roman;serif"/>
          <w:b w:val="false"/>
          <w:color w:val="000000"/>
          <w:sz w:val="24"/>
        </w:rPr>
        <w:t>), on the date of this Letter Agreement. If Customer *** an ***, the *** will be *** against the *** for such *** Aircraft. If Customer does not *** an ***, Boeing will retain the *** for that *** Aircraft and apply it, ***, then the *** may be applied to *** for Boeing *** and ***.</w:t>
      </w:r>
      <w:r>
        <w:rPr>
          <w:color w:val="000000"/>
          <w:u w:val="single"/>
        </w:rPr>
        <w:t xml:space="preserve"> </w:t>
      </w:r>
    </w:p>
    <w:p>
      <w:pPr>
        <w:pStyle w:val="TextBody"/>
        <w:bidi w:val="0"/>
        <w:spacing w:lineRule="auto" w:line="288" w:before="240" w:after="283"/>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3.2 If Customer *** its *** to acquire an *** Aircraft, *** in the amounts and at the times listed in Attachment A-1 will be *** for that *** Aircraft, subject to the terms of the *** Matters LA-1802895R6 (as may be supplemented and amended from time to time). The *** of the Aircraft Price for that *** Aircraft will be paid ***.</w:t>
      </w:r>
    </w:p>
    <w:p>
      <w:pPr>
        <w:pStyle w:val="TextBody"/>
        <w:bidi w:val="0"/>
        <w:spacing w:before="240" w:after="283"/>
        <w:jc w:val="left"/>
        <w:rPr/>
      </w:pPr>
      <w:r>
        <w:rPr/>
        <w:drawing>
          <wp:inline distT="0" distB="0" distL="0" distR="0">
            <wp:extent cx="1743075" cy="400050"/>
            <wp:effectExtent l="0" t="0" r="0" b="0"/>
            <wp:docPr id="23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4" descr=""/>
                    <pic:cNvPicPr>
                      <a:picLocks noChangeAspect="1" noChangeArrowheads="1"/>
                    </pic:cNvPicPr>
                  </pic:nvPicPr>
                  <pic:blipFill>
                    <a:blip r:embed="rId5"/>
                    <a:stretch>
                      <a:fillRect/>
                    </a:stretch>
                  </pic:blipFill>
                  <pic:spPr bwMode="auto">
                    <a:xfrm>
                      <a:off x="0" y="0"/>
                      <a:ext cx="1743075" cy="400050"/>
                    </a:xfrm>
                    <a:prstGeom prst="rect">
                      <a:avLst/>
                    </a:prstGeom>
                  </pic:spPr>
                </pic:pic>
              </a:graphicData>
            </a:graphic>
          </wp:inline>
        </w:drawing>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927735"/>
                <wp:effectExtent l="0" t="0" r="0" b="0"/>
                <wp:wrapNone/>
                <wp:docPr id="238" name="Frame234"/>
                <a:graphic xmlns:a="http://schemas.openxmlformats.org/drawingml/2006/main">
                  <a:graphicData uri="http://schemas.microsoft.com/office/word/2010/wordprocessingShape">
                    <wps:wsp>
                      <wps:cNvSpPr txBox="1"/>
                      <wps:spPr>
                        <a:xfrm>
                          <a:off x="0" y="0"/>
                          <a:ext cx="6480175" cy="927735"/>
                        </a:xfrm>
                        <a:prstGeom prst="rect"/>
                        <a:solidFill>
                          <a:srgbClr val="FFFFFF"/>
                        </a:solidFill>
                      </wps:spPr>
                      <wps:txbx>
                        <w:txbxContent>
                          <w:p>
                            <w:pPr>
                              <w:pStyle w:val="TextBody"/>
                              <w:bidi w:val="0"/>
                              <w:spacing w:lineRule="auto" w:line="288" w:before="240" w:after="283"/>
                              <w:jc w:val="left"/>
                              <w:rPr>
                                <w:rFonts w:ascii="Times;sans-serif" w:hAnsi="Times;sans-serif"/>
                                <w:b w:val="false"/>
                                <w:color w:val="000000"/>
                                <w:sz w:val="24"/>
                              </w:rPr>
                            </w:pPr>
                            <w:r>
                              <w:rPr>
                                <w:rFonts w:ascii="Times;sans-serif" w:hAnsi="Times;sans-serif"/>
                                <w:b w:val="false"/>
                                <w:color w:val="000000"/>
                                <w:sz w:val="24"/>
                              </w:rPr>
                              <w:t>P.A. No. 04815        SA-17</w:t>
                            </w:r>
                            <w:r>
                              <w:br w:type="page"/>
                            </w:r>
                          </w:p>
                          <w:p>
                            <w:pPr>
                              <w:pStyle w:val="TextBody"/>
                              <w:bidi w:val="0"/>
                              <w:spacing w:lineRule="auto" w:line="288" w:before="0" w:after="0"/>
                              <w:jc w:val="left"/>
                              <w:rPr/>
                            </w:pPr>
                            <w:r>
                              <w:rPr>
                                <w:rFonts w:ascii="Times;sans-serif" w:hAnsi="Times;sans-serif"/>
                                <w:b w:val="false"/>
                                <w:color w:val="000000"/>
                                <w:sz w:val="24"/>
                              </w:rPr>
                              <w:t>UAL-PA-04815-LA-1802897R6,</w:t>
                            </w:r>
                            <w:r>
                              <w:rPr>
                                <w:color w:val="000000"/>
                              </w:rPr>
                              <w:t xml:space="preserve"> </w:t>
                            </w:r>
                            <w:r>
                              <w:rPr>
                                <w:rFonts w:ascii="Times;sans-serif" w:hAnsi="Times;sans-serif"/>
                                <w:b w:val="false"/>
                                <w:color w:val="000000"/>
                                <w:sz w:val="24"/>
                              </w:rPr>
                              <w:t>*** Aircraft    Page 2</w:t>
                            </w:r>
                          </w:p>
                          <w:p>
                            <w:pPr>
                              <w:pStyle w:val="TextBody"/>
                              <w:bidi w:val="0"/>
                              <w:spacing w:lineRule="auto" w:line="288" w:before="0" w:after="240"/>
                              <w:jc w:val="center"/>
                              <w:rPr>
                                <w:rFonts w:ascii="Times;sans-serif" w:hAnsi="Times;sans-serif"/>
                                <w:b/>
                                <w:color w:val="000000"/>
                                <w:sz w:val="24"/>
                              </w:rPr>
                            </w:pPr>
                            <w:r>
                              <w:rPr>
                                <w:rFonts w:ascii="Times;sans-serif" w:hAnsi="Times;sans-serif"/>
                                <w:b/>
                                <w:color w:val="000000"/>
                                <w:sz w:val="24"/>
                              </w:rPr>
                              <w:t>BOEING / UNITED AIRLINES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rFonts w:ascii="Times;sans-serif" w:hAnsi="Times;sans-serif"/>
                          <w:b w:val="false"/>
                          <w:color w:val="000000"/>
                          <w:sz w:val="24"/>
                        </w:rPr>
                      </w:pPr>
                      <w:r>
                        <w:rPr>
                          <w:rFonts w:ascii="Times;sans-serif" w:hAnsi="Times;sans-serif"/>
                          <w:b w:val="false"/>
                          <w:color w:val="000000"/>
                          <w:sz w:val="24"/>
                        </w:rPr>
                        <w:t>P.A. No. 04815        SA-17</w:t>
                      </w:r>
                    </w:p>
                    <w:p>
                      <w:pPr>
                        <w:pStyle w:val="TextBody"/>
                        <w:bidi w:val="0"/>
                        <w:spacing w:lineRule="auto" w:line="288" w:before="0" w:after="0"/>
                        <w:jc w:val="left"/>
                        <w:rPr/>
                      </w:pPr>
                      <w:r>
                        <w:rPr>
                          <w:rFonts w:ascii="Times;sans-serif" w:hAnsi="Times;sans-serif"/>
                          <w:b w:val="false"/>
                          <w:color w:val="000000"/>
                          <w:sz w:val="24"/>
                        </w:rPr>
                        <w:t>UAL-PA-04815-LA-1802897R6,</w:t>
                      </w:r>
                      <w:r>
                        <w:rPr>
                          <w:color w:val="000000"/>
                        </w:rPr>
                        <w:t xml:space="preserve"> </w:t>
                      </w:r>
                      <w:r>
                        <w:rPr>
                          <w:rFonts w:ascii="Times;sans-serif" w:hAnsi="Times;sans-serif"/>
                          <w:b w:val="false"/>
                          <w:color w:val="000000"/>
                          <w:sz w:val="24"/>
                        </w:rPr>
                        <w:t>*** Aircraft    Page 2</w:t>
                      </w:r>
                    </w:p>
                    <w:p>
                      <w:pPr>
                        <w:pStyle w:val="TextBody"/>
                        <w:bidi w:val="0"/>
                        <w:spacing w:lineRule="auto" w:line="288" w:before="0" w:after="240"/>
                        <w:jc w:val="center"/>
                        <w:rPr>
                          <w:rFonts w:ascii="Times;sans-serif" w:hAnsi="Times;sans-serif"/>
                          <w:b/>
                          <w:color w:val="000000"/>
                          <w:sz w:val="24"/>
                        </w:rPr>
                      </w:pPr>
                      <w:r>
                        <w:rPr>
                          <w:rFonts w:ascii="Times;sans-serif" w:hAnsi="Times;sans-serif"/>
                          <w:b/>
                          <w:color w:val="000000"/>
                          <w:sz w:val="24"/>
                        </w:rPr>
                        <w:t>BOEING / UNITED AIRLINES PROPRIETARY</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hanging="720"/>
        <w:jc w:val="both"/>
        <w:rPr/>
      </w:pPr>
      <w:r>
        <w:rPr>
          <w:rFonts w:ascii="Times New Roman;serif" w:hAnsi="Times New Roman;serif"/>
          <w:b w:val="false"/>
          <w:color w:val="000000"/>
          <w:sz w:val="24"/>
        </w:rPr>
        <w:t>4.</w:t>
      </w:r>
      <w:r>
        <w:rPr>
          <w:rFonts w:ascii="Times New Roman;serif" w:hAnsi="Times New Roman;serif"/>
          <w:b/>
          <w:color w:val="000000"/>
          <w:sz w:val="24"/>
          <w:u w:val="single"/>
        </w:rPr>
        <w:t>***</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120" w:after="283"/>
        <w:ind w:left="0" w:right="0" w:firstLine="634"/>
        <w:jc w:val="both"/>
        <w:rPr/>
      </w:pPr>
      <w:r>
        <w:rPr>
          <w:rFonts w:ascii="Times New Roman;serif" w:hAnsi="Times New Roman;serif"/>
          <w:b w:val="false"/>
          <w:color w:val="000000"/>
          <w:sz w:val="24"/>
        </w:rPr>
        <w:t>4.1.Customer may *** by giving written notice to Boeing (</w:t>
      </w:r>
      <w:r>
        <w:rPr>
          <w:rFonts w:ascii="Times New Roman;serif" w:hAnsi="Times New Roman;serif"/>
          <w:b/>
          <w:color w:val="000000"/>
          <w:sz w:val="24"/>
        </w:rPr>
        <w:t>Customer Notice</w:t>
      </w:r>
      <w:r>
        <w:rPr>
          <w:rFonts w:ascii="Times New Roman;serif" w:hAnsi="Times New Roman;serif"/>
          <w:b w:val="false"/>
          <w:color w:val="000000"/>
          <w:sz w:val="24"/>
        </w:rPr>
        <w:t xml:space="preserve">) in accordance with the following terms: </w:t>
      </w:r>
    </w:p>
    <w:p>
      <w:pPr>
        <w:pStyle w:val="TextBody"/>
        <w:bidi w:val="0"/>
        <w:spacing w:lineRule="auto" w:line="288" w:before="12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4.1.1.For *** Aircraft contracted for delivery after *** but not later than ***: </w:t>
      </w:r>
    </w:p>
    <w:p>
      <w:pPr>
        <w:pStyle w:val="TextBody"/>
        <w:bidi w:val="0"/>
        <w:spacing w:lineRule="auto" w:line="288" w:before="60" w:after="283"/>
        <w:ind w:left="0" w:right="0" w:firstLine="2250"/>
        <w:jc w:val="both"/>
        <w:rPr/>
      </w:pPr>
      <w:r>
        <w:rPr>
          <w:rFonts w:ascii="Times New Roman;serif" w:hAnsi="Times New Roman;serif"/>
          <w:b w:val="false"/>
          <w:color w:val="000000"/>
          <w:sz w:val="24"/>
        </w:rPr>
        <w:t>4.1.1.1.Provision of Customer Notice to Boeing for such *** Aircraft is due no later than *** prior to the first business day of the applicable delivery *** listed in Attachment A-1.</w:t>
      </w:r>
      <w:r>
        <w:rPr>
          <w:color w:val="000000"/>
          <w:u w:val="single"/>
        </w:rPr>
        <w:t xml:space="preserve"> </w:t>
      </w:r>
    </w:p>
    <w:p>
      <w:pPr>
        <w:pStyle w:val="TextBody"/>
        <w:bidi w:val="0"/>
        <w:spacing w:lineRule="auto" w:line="288" w:before="120" w:after="283"/>
        <w:ind w:left="0" w:right="0" w:firstLine="1530"/>
        <w:jc w:val="both"/>
        <w:rPr/>
      </w:pPr>
      <w:r>
        <w:rPr>
          <w:rFonts w:ascii="Times New Roman;serif" w:hAnsi="Times New Roman;serif"/>
          <w:b w:val="false"/>
          <w:color w:val="000000"/>
          <w:sz w:val="24"/>
        </w:rPr>
        <w:t>4.1.2.</w:t>
      </w:r>
      <w:r>
        <w:rPr>
          <w:rFonts w:ascii="Times New Roman;serif" w:hAnsi="Times New Roman;serif"/>
          <w:b w:val="false"/>
          <w:color w:val="000000"/>
          <w:sz w:val="24"/>
        </w:rPr>
        <w:t>For *** Aircraft contracted for delivery from *** and on:</w:t>
      </w:r>
    </w:p>
    <w:p>
      <w:pPr>
        <w:pStyle w:val="TextBody"/>
        <w:bidi w:val="0"/>
        <w:spacing w:lineRule="auto" w:line="288" w:before="120" w:after="283"/>
        <w:ind w:left="0" w:right="0" w:firstLine="2250"/>
        <w:jc w:val="both"/>
        <w:rPr>
          <w:rFonts w:ascii="Times New Roman;serif" w:hAnsi="Times New Roman;serif"/>
          <w:b w:val="false"/>
          <w:color w:val="000000"/>
          <w:sz w:val="24"/>
        </w:rPr>
      </w:pPr>
      <w:r>
        <w:rPr>
          <w:rFonts w:ascii="Times New Roman;serif" w:hAnsi="Times New Roman;serif"/>
          <w:b w:val="false"/>
          <w:color w:val="000000"/>
          <w:sz w:val="24"/>
        </w:rPr>
        <w:t>4.1.2.1.Provision of Customer Notice to Boeing for *** Aircraft contracted for delivery in a *** that is prior to *** of each ***, is due no later than *** prior to the first business day of the applicable delivery *** listed in Attachment A-1.</w:t>
      </w:r>
    </w:p>
    <w:p>
      <w:pPr>
        <w:pStyle w:val="TextBody"/>
        <w:bidi w:val="0"/>
        <w:spacing w:lineRule="auto" w:line="288" w:before="0" w:after="0"/>
        <w:ind w:left="0" w:right="0" w:firstLine="2246"/>
        <w:jc w:val="both"/>
        <w:rPr>
          <w:rFonts w:ascii="Times New Roman;serif" w:hAnsi="Times New Roman;serif"/>
          <w:b w:val="false"/>
          <w:color w:val="000000"/>
          <w:sz w:val="24"/>
        </w:rPr>
      </w:pPr>
      <w:r>
        <w:rPr>
          <w:rFonts w:ascii="Times New Roman;serif" w:hAnsi="Times New Roman;serif"/>
          <w:b w:val="false"/>
          <w:color w:val="000000"/>
          <w:sz w:val="24"/>
        </w:rPr>
        <w:t xml:space="preserve">4.1.2.2.Provision of Customer Notice to Boeing for *** Aircraft contracted for delivery in a *** that is after *** of each *** is due no later than: </w:t>
      </w:r>
    </w:p>
    <w:p>
      <w:pPr>
        <w:pStyle w:val="TextBody"/>
        <w:bidi w:val="0"/>
        <w:spacing w:lineRule="auto" w:line="288" w:before="6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(i)    *** prior to the first business day of the applicable delivery *** listed in Attachment A-1 or; </w:t>
      </w:r>
    </w:p>
    <w:p>
      <w:pPr>
        <w:pStyle w:val="TextBody"/>
        <w:bidi w:val="0"/>
        <w:spacing w:lineRule="auto" w:line="288" w:before="6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 *** prior to the first business day of the applicable delivery *** listed in Attachment A-1, subject to ***.</w:t>
      </w:r>
    </w:p>
    <w:p>
      <w:pPr>
        <w:pStyle w:val="TextBody"/>
        <w:bidi w:val="0"/>
        <w:spacing w:lineRule="auto" w:line="288" w:before="120" w:after="283"/>
        <w:jc w:val="both"/>
        <w:rPr>
          <w:color w:val="000000"/>
        </w:rPr>
      </w:pPr>
      <w:r>
        <w:rPr>
          <w:color w:val="000000"/>
        </w:rPr>
        <w:t>    </w:t>
      </w:r>
      <w:r>
        <w:rPr>
          <w:rFonts w:ascii="Times New Roman;serif" w:hAnsi="Times New Roman;serif"/>
          <w:b w:val="false"/>
          <w:color w:val="000000"/>
          <w:sz w:val="24"/>
        </w:rPr>
        <w:t>Notwithstanding the foregoing, Customer may elect to not *** an *** Aircraft described in this Section 4.1.2.2 by providing written notice to Boeing at any time during the period from *** prior to the first business day of the applicable delivery *** listed in Attachment A-1 to *** prior to the first business day of the applicable delivery *** listed in Attachment A-1. In the event Customer provides such notice, Boeing will retain the *** for such *** Aircraft and apply it to future *** in accordance with Section 3.1 above.</w:t>
      </w:r>
    </w:p>
    <w:p>
      <w:pPr>
        <w:pStyle w:val="TextBody"/>
        <w:bidi w:val="0"/>
        <w:spacing w:lineRule="auto" w:line="288" w:before="120" w:after="283"/>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rPr>
        <w:t>For the avoidance of doubt, any *** Aircraft for which Customer has *** its rights under this Letter Agreement shall be considered an Aircraft for purposes of the Purchase Agreement.</w:t>
      </w:r>
      <w:r>
        <w:rPr>
          <w:color w:val="000000"/>
          <w:u w:val="single"/>
        </w:rPr>
        <w:t xml:space="preserve"> </w:t>
      </w:r>
    </w:p>
    <w:p>
      <w:pPr>
        <w:pStyle w:val="TextBody"/>
        <w:bidi w:val="0"/>
        <w:spacing w:lineRule="auto" w:line="288" w:before="120" w:after="283"/>
        <w:ind w:left="0" w:right="0" w:firstLine="634"/>
        <w:jc w:val="both"/>
        <w:rPr>
          <w:rFonts w:ascii="Times New Roman;serif" w:hAnsi="Times New Roman;serif"/>
          <w:b w:val="false"/>
          <w:color w:val="000000"/>
          <w:sz w:val="24"/>
        </w:rPr>
      </w:pPr>
      <w:r>
        <w:rPr>
          <w:rFonts w:ascii="Times New Roman;serif" w:hAnsi="Times New Roman;serif"/>
          <w:b w:val="false"/>
          <w:color w:val="000000"/>
          <w:sz w:val="24"/>
        </w:rPr>
        <w:t>4.3.Certain *** Aircraft added to this Letter Agreement pursuant to SA-13 to the Purchase Agreement are classified as “*** Aircraft”, as further noted in Attachment A-1. For each *** Aircraft that Customer *** purchase, such *** Aircraft will be added to the Purchase Agreement as a “SA-13 *** 787 Aircraft” and will be subject to the terms contained in letter agreement no. UAL-PA-04815-LA-23005341 entitled “Special Matters – SA-13 *** Aircraft”.</w:t>
      </w:r>
    </w:p>
    <w:p>
      <w:pPr>
        <w:pStyle w:val="TextBody"/>
        <w:bidi w:val="0"/>
        <w:spacing w:lineRule="auto" w:line="288" w:before="120" w:after="283"/>
        <w:ind w:left="0" w:right="0" w:firstLine="634"/>
        <w:jc w:val="both"/>
        <w:rPr>
          <w:rFonts w:ascii="Times New Roman;serif" w:hAnsi="Times New Roman;serif"/>
          <w:b w:val="false"/>
          <w:color w:val="000000"/>
          <w:sz w:val="24"/>
        </w:rPr>
      </w:pPr>
      <w:r>
        <w:rPr>
          <w:rFonts w:ascii="Times New Roman;serif" w:hAnsi="Times New Roman;serif"/>
          <w:b w:val="false"/>
          <w:color w:val="000000"/>
          <w:sz w:val="24"/>
        </w:rPr>
        <w:t xml:space="preserve">4.4.The *** Aircraft in Attachment A-1 are scheduled by ***. Upon *** of an *** Aircraft, Boeing may, upon written notice to Customer, *** the scheduled delivery *** shown in Attachment A-1 by ***, provided such notice is given *** before the scheduled delivery *** for *** Aircraft specified in Section 4.1.1, *** before the scheduled delivery </w:t>
      </w:r>
    </w:p>
    <w:p>
      <w:pPr>
        <w:pStyle w:val="TextBody"/>
        <w:bidi w:val="0"/>
        <w:spacing w:before="240" w:after="283"/>
        <w:jc w:val="left"/>
        <w:rPr/>
      </w:pPr>
      <w:r>
        <w:rPr/>
        <w:drawing>
          <wp:inline distT="0" distB="0" distL="0" distR="0">
            <wp:extent cx="1743075" cy="400050"/>
            <wp:effectExtent l="0" t="0" r="0" b="0"/>
            <wp:docPr id="23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5" descr=""/>
                    <pic:cNvPicPr>
                      <a:picLocks noChangeAspect="1" noChangeArrowheads="1"/>
                    </pic:cNvPicPr>
                  </pic:nvPicPr>
                  <pic:blipFill>
                    <a:blip r:embed="rId6"/>
                    <a:stretch>
                      <a:fillRect/>
                    </a:stretch>
                  </pic:blipFill>
                  <pic:spPr bwMode="auto">
                    <a:xfrm>
                      <a:off x="0" y="0"/>
                      <a:ext cx="1743075" cy="400050"/>
                    </a:xfrm>
                    <a:prstGeom prst="rect">
                      <a:avLst/>
                    </a:prstGeom>
                  </pic:spPr>
                </pic:pic>
              </a:graphicData>
            </a:graphic>
          </wp:inline>
        </w:drawing>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927735"/>
                <wp:effectExtent l="0" t="0" r="0" b="0"/>
                <wp:wrapNone/>
                <wp:docPr id="240" name="Frame235"/>
                <a:graphic xmlns:a="http://schemas.openxmlformats.org/drawingml/2006/main">
                  <a:graphicData uri="http://schemas.microsoft.com/office/word/2010/wordprocessingShape">
                    <wps:wsp>
                      <wps:cNvSpPr txBox="1"/>
                      <wps:spPr>
                        <a:xfrm>
                          <a:off x="0" y="0"/>
                          <a:ext cx="6480175" cy="927735"/>
                        </a:xfrm>
                        <a:prstGeom prst="rect"/>
                        <a:solidFill>
                          <a:srgbClr val="FFFFFF"/>
                        </a:solidFill>
                      </wps:spPr>
                      <wps:txbx>
                        <w:txbxContent>
                          <w:p>
                            <w:pPr>
                              <w:pStyle w:val="TextBody"/>
                              <w:bidi w:val="0"/>
                              <w:spacing w:lineRule="auto" w:line="288" w:before="240" w:after="283"/>
                              <w:jc w:val="left"/>
                              <w:rPr>
                                <w:rFonts w:ascii="Times;sans-serif" w:hAnsi="Times;sans-serif"/>
                                <w:b w:val="false"/>
                                <w:color w:val="000000"/>
                                <w:sz w:val="24"/>
                              </w:rPr>
                            </w:pPr>
                            <w:r>
                              <w:rPr>
                                <w:rFonts w:ascii="Times;sans-serif" w:hAnsi="Times;sans-serif"/>
                                <w:b w:val="false"/>
                                <w:color w:val="000000"/>
                                <w:sz w:val="24"/>
                              </w:rPr>
                              <w:t>P.A. No. 04815        SA-17</w:t>
                            </w:r>
                            <w:r>
                              <w:br w:type="page"/>
                            </w:r>
                          </w:p>
                          <w:p>
                            <w:pPr>
                              <w:pStyle w:val="TextBody"/>
                              <w:bidi w:val="0"/>
                              <w:spacing w:lineRule="auto" w:line="288" w:before="0" w:after="0"/>
                              <w:jc w:val="left"/>
                              <w:rPr/>
                            </w:pPr>
                            <w:r>
                              <w:rPr>
                                <w:rFonts w:ascii="Times;sans-serif" w:hAnsi="Times;sans-serif"/>
                                <w:b w:val="false"/>
                                <w:color w:val="000000"/>
                                <w:sz w:val="24"/>
                              </w:rPr>
                              <w:t>UAL-PA-04815-LA-1802897R6,</w:t>
                            </w:r>
                            <w:r>
                              <w:rPr>
                                <w:color w:val="000000"/>
                              </w:rPr>
                              <w:t xml:space="preserve"> </w:t>
                            </w:r>
                            <w:r>
                              <w:rPr>
                                <w:rFonts w:ascii="Times;sans-serif" w:hAnsi="Times;sans-serif"/>
                                <w:b w:val="false"/>
                                <w:color w:val="000000"/>
                                <w:sz w:val="24"/>
                              </w:rPr>
                              <w:t>*** Aircraft    Page 3</w:t>
                            </w:r>
                          </w:p>
                          <w:p>
                            <w:pPr>
                              <w:pStyle w:val="TextBody"/>
                              <w:bidi w:val="0"/>
                              <w:spacing w:lineRule="auto" w:line="288" w:before="0" w:after="240"/>
                              <w:jc w:val="center"/>
                              <w:rPr>
                                <w:rFonts w:ascii="Times;sans-serif" w:hAnsi="Times;sans-serif"/>
                                <w:b/>
                                <w:color w:val="000000"/>
                                <w:sz w:val="24"/>
                              </w:rPr>
                            </w:pPr>
                            <w:r>
                              <w:rPr>
                                <w:rFonts w:ascii="Times;sans-serif" w:hAnsi="Times;sans-serif"/>
                                <w:b/>
                                <w:color w:val="000000"/>
                                <w:sz w:val="24"/>
                              </w:rPr>
                              <w:t>BOEING / UNITED AIRLINES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rFonts w:ascii="Times;sans-serif" w:hAnsi="Times;sans-serif"/>
                          <w:b w:val="false"/>
                          <w:color w:val="000000"/>
                          <w:sz w:val="24"/>
                        </w:rPr>
                      </w:pPr>
                      <w:r>
                        <w:rPr>
                          <w:rFonts w:ascii="Times;sans-serif" w:hAnsi="Times;sans-serif"/>
                          <w:b w:val="false"/>
                          <w:color w:val="000000"/>
                          <w:sz w:val="24"/>
                        </w:rPr>
                        <w:t>P.A. No. 04815        SA-17</w:t>
                      </w:r>
                    </w:p>
                    <w:p>
                      <w:pPr>
                        <w:pStyle w:val="TextBody"/>
                        <w:bidi w:val="0"/>
                        <w:spacing w:lineRule="auto" w:line="288" w:before="0" w:after="0"/>
                        <w:jc w:val="left"/>
                        <w:rPr/>
                      </w:pPr>
                      <w:r>
                        <w:rPr>
                          <w:rFonts w:ascii="Times;sans-serif" w:hAnsi="Times;sans-serif"/>
                          <w:b w:val="false"/>
                          <w:color w:val="000000"/>
                          <w:sz w:val="24"/>
                        </w:rPr>
                        <w:t>UAL-PA-04815-LA-1802897R6,</w:t>
                      </w:r>
                      <w:r>
                        <w:rPr>
                          <w:color w:val="000000"/>
                        </w:rPr>
                        <w:t xml:space="preserve"> </w:t>
                      </w:r>
                      <w:r>
                        <w:rPr>
                          <w:rFonts w:ascii="Times;sans-serif" w:hAnsi="Times;sans-serif"/>
                          <w:b w:val="false"/>
                          <w:color w:val="000000"/>
                          <w:sz w:val="24"/>
                        </w:rPr>
                        <w:t>*** Aircraft    Page 3</w:t>
                      </w:r>
                    </w:p>
                    <w:p>
                      <w:pPr>
                        <w:pStyle w:val="TextBody"/>
                        <w:bidi w:val="0"/>
                        <w:spacing w:lineRule="auto" w:line="288" w:before="0" w:after="240"/>
                        <w:jc w:val="center"/>
                        <w:rPr>
                          <w:rFonts w:ascii="Times;sans-serif" w:hAnsi="Times;sans-serif"/>
                          <w:b/>
                          <w:color w:val="000000"/>
                          <w:sz w:val="24"/>
                        </w:rPr>
                      </w:pPr>
                      <w:r>
                        <w:rPr>
                          <w:rFonts w:ascii="Times;sans-serif" w:hAnsi="Times;sans-serif"/>
                          <w:b/>
                          <w:color w:val="000000"/>
                          <w:sz w:val="24"/>
                        </w:rPr>
                        <w:t>BOEING / UNITED AIRLINES PROPRIETARY</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color w:val="000000"/>
          <w:sz w:val="24"/>
        </w:rPr>
        <w:t>*** for *** Aircraft specified in Section 4.1.2.1, and *** before the scheduled delivery *** for *** Aircraft specified in Section 4.1.2.2; provided further, that Boeing ***. Any such *** will amend the *** Aircraft delivery schedule and all other applicable terms and conditions will be *** accordingly. *** (as defined in Section 7.1 of the AGTA) or *** (as defined in Letter Agreement UAL-PA-04815-LA-2505473, entitled “787 ***”), and all applicable terms and conditions set forth in the Purchase Agreement, (e.g., *** and *** and ***) shall be aligned to such *** delivery ***.</w:t>
      </w:r>
      <w:r>
        <w:rPr>
          <w:color w:val="000000"/>
          <w:u w:val="single"/>
        </w:rPr>
        <w:t xml:space="preserve"> </w:t>
      </w:r>
    </w:p>
    <w:p>
      <w:pPr>
        <w:pStyle w:val="TextBody"/>
        <w:bidi w:val="0"/>
        <w:spacing w:lineRule="auto" w:line="288" w:before="240" w:after="283"/>
        <w:jc w:val="both"/>
        <w:rPr/>
      </w:pPr>
      <w:r>
        <w:rPr>
          <w:rFonts w:ascii="Times New Roman;serif" w:hAnsi="Times New Roman;serif"/>
          <w:b w:val="false"/>
          <w:color w:val="000000"/>
          <w:sz w:val="24"/>
        </w:rPr>
        <w:t>5.</w:t>
      </w:r>
      <w:r>
        <w:rPr>
          <w:rFonts w:ascii="Times New Roman;serif" w:hAnsi="Times New Roman;serif"/>
          <w:b/>
          <w:color w:val="000000"/>
          <w:sz w:val="24"/>
          <w:u w:val="single"/>
        </w:rPr>
        <w:t>Contract Terms</w:t>
      </w:r>
      <w:r>
        <w:rPr>
          <w:rFonts w:ascii="Times New Roman;serif" w:hAnsi="Times New Roman;serif"/>
          <w:b/>
          <w:color w:val="000000"/>
          <w:sz w:val="24"/>
        </w:rPr>
        <w:t>.</w:t>
      </w:r>
      <w:r>
        <w:rPr>
          <w:color w:val="000000"/>
          <w:u w:val="single"/>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Boeing and Customer will use their best efforts to reach a definitive agreement for the purchase of an *** Aircraft, including the terms and conditions contained in this Letter Agreement, in the Purchase Agreement, and other terms and conditions as may be agreed upon to add the *** Aircraft to the Purchase Agreement as an Aircraft. If the parties have not entered into a definitive agreement within *** following ***, either party *** the purchase of *** Aircraft by giving written notice to the other within ***. If Customer and Boeing *** into such definitive agreement and *** Aircraft, Boeing will (i) *** the *** for that *** Aircraft; (ii) apply *** by Customer on any Boeing aircraft as ***; and (iii) except as expressly provided herein, have no further obligation with respect to *** Aircraft.</w:t>
      </w:r>
    </w:p>
    <w:p>
      <w:pPr>
        <w:pStyle w:val="TextBody"/>
        <w:bidi w:val="0"/>
        <w:spacing w:lineRule="auto" w:line="288" w:before="240" w:after="283"/>
        <w:jc w:val="both"/>
        <w:rPr/>
      </w:pPr>
      <w:r>
        <w:rPr>
          <w:rFonts w:ascii="Times New Roman;serif" w:hAnsi="Times New Roman;serif"/>
          <w:b w:val="false"/>
          <w:color w:val="000000"/>
          <w:sz w:val="24"/>
        </w:rPr>
        <w:t>6.</w:t>
      </w:r>
      <w:r>
        <w:rPr>
          <w:rFonts w:ascii="Times New Roman;serif" w:hAnsi="Times New Roman;serif"/>
          <w:b/>
          <w:color w:val="000000"/>
          <w:sz w:val="24"/>
          <w:u w:val="single"/>
        </w:rPr>
        <w:t>Assignment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provided in Letter Agreement No. UAL-PA-04815-LA-1802894, the rights and obligations described in this Letter Agreement are provided to Customer in consideration of Customer’s becoming the operator of the Aircraft and cannot be assigned in whole or in part.</w:t>
      </w:r>
    </w:p>
    <w:p>
      <w:pPr>
        <w:pStyle w:val="TextBody"/>
        <w:bidi w:val="0"/>
        <w:spacing w:lineRule="auto" w:line="288" w:before="240" w:after="283"/>
        <w:jc w:val="both"/>
        <w:rPr/>
      </w:pPr>
      <w:r>
        <w:rPr>
          <w:rFonts w:ascii="Times New Roman;serif" w:hAnsi="Times New Roman;serif"/>
          <w:b w:val="false"/>
          <w:color w:val="000000"/>
          <w:sz w:val="24"/>
        </w:rPr>
        <w:t>7.</w:t>
      </w:r>
      <w:r>
        <w:rPr>
          <w:rFonts w:ascii="Times New Roman;serif" w:hAnsi="Times New Roman;serif"/>
          <w:b/>
          <w:color w:val="000000"/>
          <w:sz w:val="24"/>
          <w:u w:val="single"/>
        </w:rPr>
        <w:t>Confidential Treatment</w:t>
      </w:r>
      <w:r>
        <w:rPr>
          <w:rFonts w:ascii="Times New Roman;serif" w:hAnsi="Times New Roman;serif"/>
          <w:b w:val="false"/>
          <w:color w:val="000000"/>
          <w:sz w:val="24"/>
        </w:rPr>
        <w:t>.</w:t>
      </w:r>
    </w:p>
    <w:p>
      <w:pPr>
        <w:pStyle w:val="TextBody"/>
        <w:bidi w:val="0"/>
        <w:spacing w:lineRule="auto" w:line="288" w:before="240" w:after="240"/>
        <w:jc w:val="both"/>
        <w:rPr>
          <w:color w:val="000000"/>
        </w:rPr>
      </w:pPr>
      <w:r>
        <w:rPr>
          <w:color w:val="000000"/>
        </w:rPr>
        <w:t>    </w:t>
      </w:r>
      <w:r>
        <w:rPr>
          <w:rFonts w:ascii="Times New Roman;serif" w:hAnsi="Times New Roman;serif"/>
          <w:b w:val="false"/>
          <w:color w:val="000000"/>
          <w:sz w:val="24"/>
        </w:rPr>
        <w:t>Customer and Boeing understand that certain commercial and financial information contained in this Letter Agreement are considered by Boeing and Customer as confidential and are subject to the terms and conditions set forth in Letter Agreement No. UAL-PA-04815-LA-1802890.</w:t>
      </w:r>
    </w:p>
    <w:tbl>
      <w:tblPr>
        <w:tblW w:w="8714" w:type="dxa"/>
        <w:jc w:val="left"/>
        <w:tblInd w:w="0" w:type="dxa"/>
        <w:tblLayout w:type="fixed"/>
        <w:tblCellMar>
          <w:top w:w="28" w:type="dxa"/>
          <w:left w:w="28" w:type="dxa"/>
          <w:bottom w:w="28" w:type="dxa"/>
          <w:right w:w="28" w:type="dxa"/>
        </w:tblCellMar>
      </w:tblPr>
      <w:tblGrid>
        <w:gridCol w:w="2792"/>
        <w:gridCol w:w="2454"/>
        <w:gridCol w:w="3468"/>
      </w:tblGrid>
      <w:tr>
        <w:trPr/>
        <w:tc>
          <w:tcPr>
            <w:tcW w:w="2792"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r>
      <w:tr>
        <w:trPr/>
        <w:tc>
          <w:tcPr>
            <w:tcW w:w="8714" w:type="dxa"/>
            <w:gridSpan w:val="3"/>
            <w:tcBorders/>
            <w:tcMar>
              <w:top w:w="0" w:type="dxa"/>
              <w:left w:w="0" w:type="dxa"/>
              <w:bottom w:w="0" w:type="dxa"/>
              <w:right w:w="0" w:type="dxa"/>
            </w:tcMar>
            <w:vAlign w:val="center"/>
          </w:tcPr>
          <w:p>
            <w:pPr>
              <w:pStyle w:val="TableContents"/>
              <w:bidi w:val="0"/>
              <w:spacing w:lineRule="auto" w:line="288" w:before="360" w:after="360"/>
              <w:ind w:left="0" w:right="0" w:hanging="1771"/>
              <w:jc w:val="left"/>
              <w:rPr>
                <w:rFonts w:ascii="Times New Roman;serif" w:hAnsi="Times New Roman;serif"/>
                <w:b w:val="false"/>
                <w:color w:val="000000"/>
                <w:sz w:val="24"/>
              </w:rPr>
            </w:pPr>
            <w:r>
              <w:rPr>
                <w:rFonts w:ascii="Times New Roman;serif" w:hAnsi="Times New Roman;serif"/>
                <w:b w:val="false"/>
                <w:color w:val="000000"/>
                <w:sz w:val="24"/>
              </w:rPr>
              <w:t>Attachments: Attachment A-1: 787-***: *** Aircraft Delivery, Description, Price and ***</w:t>
            </w:r>
          </w:p>
          <w:p>
            <w:pPr>
              <w:pStyle w:val="TableContents"/>
              <w:bidi w:val="0"/>
              <w:spacing w:before="240" w:after="283"/>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240" w:after="283"/>
        <w:jc w:val="left"/>
        <w:rPr/>
      </w:pPr>
      <w:r>
        <w:rPr/>
        <w:drawing>
          <wp:inline distT="0" distB="0" distL="0" distR="0">
            <wp:extent cx="1743075" cy="400050"/>
            <wp:effectExtent l="0" t="0" r="0" b="0"/>
            <wp:docPr id="24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6" descr=""/>
                    <pic:cNvPicPr>
                      <a:picLocks noChangeAspect="1" noChangeArrowheads="1"/>
                    </pic:cNvPicPr>
                  </pic:nvPicPr>
                  <pic:blipFill>
                    <a:blip r:embed="rId7"/>
                    <a:stretch>
                      <a:fillRect/>
                    </a:stretch>
                  </pic:blipFill>
                  <pic:spPr bwMode="auto">
                    <a:xfrm>
                      <a:off x="0" y="0"/>
                      <a:ext cx="1743075" cy="400050"/>
                    </a:xfrm>
                    <a:prstGeom prst="rect">
                      <a:avLst/>
                    </a:prstGeom>
                  </pic:spPr>
                </pic:pic>
              </a:graphicData>
            </a:graphic>
          </wp:inline>
        </w:drawing>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927735"/>
                <wp:effectExtent l="0" t="0" r="0" b="0"/>
                <wp:wrapNone/>
                <wp:docPr id="242" name="Frame236"/>
                <a:graphic xmlns:a="http://schemas.openxmlformats.org/drawingml/2006/main">
                  <a:graphicData uri="http://schemas.microsoft.com/office/word/2010/wordprocessingShape">
                    <wps:wsp>
                      <wps:cNvSpPr txBox="1"/>
                      <wps:spPr>
                        <a:xfrm>
                          <a:off x="0" y="0"/>
                          <a:ext cx="6480175" cy="927735"/>
                        </a:xfrm>
                        <a:prstGeom prst="rect"/>
                        <a:solidFill>
                          <a:srgbClr val="FFFFFF"/>
                        </a:solidFill>
                      </wps:spPr>
                      <wps:txbx>
                        <w:txbxContent>
                          <w:p>
                            <w:pPr>
                              <w:pStyle w:val="TextBody"/>
                              <w:bidi w:val="0"/>
                              <w:spacing w:lineRule="auto" w:line="288" w:before="240" w:after="283"/>
                              <w:jc w:val="left"/>
                              <w:rPr>
                                <w:rFonts w:ascii="Times;sans-serif" w:hAnsi="Times;sans-serif"/>
                                <w:b w:val="false"/>
                                <w:color w:val="000000"/>
                                <w:sz w:val="24"/>
                              </w:rPr>
                            </w:pPr>
                            <w:r>
                              <w:rPr>
                                <w:rFonts w:ascii="Times;sans-serif" w:hAnsi="Times;sans-serif"/>
                                <w:b w:val="false"/>
                                <w:color w:val="000000"/>
                                <w:sz w:val="24"/>
                              </w:rPr>
                              <w:t>P.A. No. 04815        SA-17</w:t>
                            </w:r>
                            <w:r>
                              <w:br w:type="page"/>
                            </w:r>
                          </w:p>
                          <w:p>
                            <w:pPr>
                              <w:pStyle w:val="TextBody"/>
                              <w:bidi w:val="0"/>
                              <w:spacing w:lineRule="auto" w:line="288" w:before="0" w:after="0"/>
                              <w:jc w:val="left"/>
                              <w:rPr/>
                            </w:pPr>
                            <w:r>
                              <w:rPr>
                                <w:rFonts w:ascii="Times;sans-serif" w:hAnsi="Times;sans-serif"/>
                                <w:b w:val="false"/>
                                <w:color w:val="000000"/>
                                <w:sz w:val="24"/>
                              </w:rPr>
                              <w:t>UAL-PA-04815-LA-1802897R6,</w:t>
                            </w:r>
                            <w:r>
                              <w:rPr>
                                <w:color w:val="000000"/>
                              </w:rPr>
                              <w:t xml:space="preserve"> </w:t>
                            </w:r>
                            <w:r>
                              <w:rPr>
                                <w:rFonts w:ascii="Times;sans-serif" w:hAnsi="Times;sans-serif"/>
                                <w:b w:val="false"/>
                                <w:color w:val="000000"/>
                                <w:sz w:val="24"/>
                              </w:rPr>
                              <w:t>*** Aircraft    Page 4</w:t>
                            </w:r>
                          </w:p>
                          <w:p>
                            <w:pPr>
                              <w:pStyle w:val="TextBody"/>
                              <w:bidi w:val="0"/>
                              <w:spacing w:lineRule="auto" w:line="288" w:before="0" w:after="240"/>
                              <w:jc w:val="center"/>
                              <w:rPr>
                                <w:rFonts w:ascii="Times;sans-serif" w:hAnsi="Times;sans-serif"/>
                                <w:b/>
                                <w:color w:val="000000"/>
                                <w:sz w:val="24"/>
                              </w:rPr>
                            </w:pPr>
                            <w:r>
                              <w:rPr>
                                <w:rFonts w:ascii="Times;sans-serif" w:hAnsi="Times;sans-serif"/>
                                <w:b/>
                                <w:color w:val="000000"/>
                                <w:sz w:val="24"/>
                              </w:rPr>
                              <w:t>BOEING / UNITED AIRLINES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rFonts w:ascii="Times;sans-serif" w:hAnsi="Times;sans-serif"/>
                          <w:b w:val="false"/>
                          <w:color w:val="000000"/>
                          <w:sz w:val="24"/>
                        </w:rPr>
                      </w:pPr>
                      <w:r>
                        <w:rPr>
                          <w:rFonts w:ascii="Times;sans-serif" w:hAnsi="Times;sans-serif"/>
                          <w:b w:val="false"/>
                          <w:color w:val="000000"/>
                          <w:sz w:val="24"/>
                        </w:rPr>
                        <w:t>P.A. No. 04815        SA-17</w:t>
                      </w:r>
                    </w:p>
                    <w:p>
                      <w:pPr>
                        <w:pStyle w:val="TextBody"/>
                        <w:bidi w:val="0"/>
                        <w:spacing w:lineRule="auto" w:line="288" w:before="0" w:after="0"/>
                        <w:jc w:val="left"/>
                        <w:rPr/>
                      </w:pPr>
                      <w:r>
                        <w:rPr>
                          <w:rFonts w:ascii="Times;sans-serif" w:hAnsi="Times;sans-serif"/>
                          <w:b w:val="false"/>
                          <w:color w:val="000000"/>
                          <w:sz w:val="24"/>
                        </w:rPr>
                        <w:t>UAL-PA-04815-LA-1802897R6,</w:t>
                      </w:r>
                      <w:r>
                        <w:rPr>
                          <w:color w:val="000000"/>
                        </w:rPr>
                        <w:t xml:space="preserve"> </w:t>
                      </w:r>
                      <w:r>
                        <w:rPr>
                          <w:rFonts w:ascii="Times;sans-serif" w:hAnsi="Times;sans-serif"/>
                          <w:b w:val="false"/>
                          <w:color w:val="000000"/>
                          <w:sz w:val="24"/>
                        </w:rPr>
                        <w:t>*** Aircraft    Page 4</w:t>
                      </w:r>
                    </w:p>
                    <w:p>
                      <w:pPr>
                        <w:pStyle w:val="TextBody"/>
                        <w:bidi w:val="0"/>
                        <w:spacing w:lineRule="auto" w:line="288" w:before="0" w:after="240"/>
                        <w:jc w:val="center"/>
                        <w:rPr>
                          <w:rFonts w:ascii="Times;sans-serif" w:hAnsi="Times;sans-serif"/>
                          <w:b/>
                          <w:color w:val="000000"/>
                          <w:sz w:val="24"/>
                        </w:rPr>
                      </w:pPr>
                      <w:r>
                        <w:rPr>
                          <w:rFonts w:ascii="Times;sans-serif" w:hAnsi="Times;sans-serif"/>
                          <w:b/>
                          <w:color w:val="000000"/>
                          <w:sz w:val="24"/>
                        </w:rPr>
                        <w:t>BOEING / UNITED AIRLINES PROPRIETARY</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924" w:type="dxa"/>
        <w:jc w:val="left"/>
        <w:tblInd w:w="0" w:type="dxa"/>
        <w:tblLayout w:type="fixed"/>
        <w:tblCellMar>
          <w:top w:w="28" w:type="dxa"/>
          <w:left w:w="28" w:type="dxa"/>
          <w:bottom w:w="28" w:type="dxa"/>
          <w:right w:w="28" w:type="dxa"/>
        </w:tblCellMar>
      </w:tblPr>
      <w:tblGrid>
        <w:gridCol w:w="936"/>
        <w:gridCol w:w="823"/>
        <w:gridCol w:w="1165"/>
      </w:tblGrid>
      <w:tr>
        <w:trPr/>
        <w:tc>
          <w:tcPr>
            <w:tcW w:w="9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ableContents"/>
              <w:bidi w:val="0"/>
              <w:spacing w:lineRule="auto" w:line="288" w:before="240" w:after="600"/>
              <w:jc w:val="left"/>
              <w:rPr>
                <w:rFonts w:ascii="Times New Roman;serif" w:hAnsi="Times New Roman;serif"/>
                <w:b w:val="false"/>
                <w:color w:val="000000"/>
                <w:sz w:val="24"/>
              </w:rPr>
            </w:pPr>
            <w:r>
              <w:rPr>
                <w:rFonts w:ascii="Times New Roman;serif" w:hAnsi="Times New Roman;serif"/>
                <w:b w:val="false"/>
                <w:color w:val="000000"/>
                <w:sz w:val="24"/>
              </w:rPr>
              <w:t>THE BOEING COMPANY</w:t>
            </w:r>
          </w:p>
          <w:p>
            <w:pPr>
              <w:pStyle w:val="TableContents"/>
              <w:bidi w:val="0"/>
              <w:spacing w:lineRule="auto" w:line="288" w:before="24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Irma L. Krueger    </w:t>
            </w:r>
          </w:p>
          <w:p>
            <w:pPr>
              <w:pStyle w:val="TableContents"/>
              <w:bidi w:val="0"/>
              <w:spacing w:lineRule="auto" w:line="288" w:before="240" w:after="283"/>
              <w:jc w:val="left"/>
              <w:rPr/>
            </w:pPr>
            <w:r>
              <w:rPr>
                <w:rFonts w:ascii="Times New Roman;serif" w:hAnsi="Times New Roman;serif"/>
                <w:b w:val="false"/>
                <w:color w:val="000000"/>
                <w:sz w:val="24"/>
              </w:rPr>
              <w:t xml:space="preserve">Its: </w:t>
            </w:r>
            <w:r>
              <w:rPr>
                <w:color w:val="000000"/>
                <w:u w:val="single"/>
              </w:rPr>
              <w:t xml:space="preserve">     </w:t>
            </w:r>
            <w:r>
              <w:rPr>
                <w:rFonts w:ascii="Times New Roman;serif" w:hAnsi="Times New Roman;serif"/>
                <w:b w:val="false"/>
                <w:color w:val="000000"/>
                <w:sz w:val="24"/>
                <w:u w:val="single"/>
              </w:rPr>
              <w:t>Attorney in Fact    </w:t>
            </w:r>
          </w:p>
        </w:tc>
      </w:tr>
    </w:tbl>
    <w:p>
      <w:pPr>
        <w:pStyle w:val="TextBody"/>
        <w:bidi w:val="0"/>
        <w:spacing w:before="240" w:after="283"/>
        <w:jc w:val="left"/>
        <w:rPr/>
      </w:pPr>
      <w:r>
        <w:rPr/>
        <w:drawing>
          <wp:inline distT="0" distB="0" distL="0" distR="0">
            <wp:extent cx="1743075" cy="400050"/>
            <wp:effectExtent l="0" t="0" r="0" b="0"/>
            <wp:docPr id="24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7" descr=""/>
                    <pic:cNvPicPr>
                      <a:picLocks noChangeAspect="1" noChangeArrowheads="1"/>
                    </pic:cNvPicPr>
                  </pic:nvPicPr>
                  <pic:blipFill>
                    <a:blip r:embed="rId8"/>
                    <a:stretch>
                      <a:fillRect/>
                    </a:stretch>
                  </pic:blipFill>
                  <pic:spPr bwMode="auto">
                    <a:xfrm>
                      <a:off x="0" y="0"/>
                      <a:ext cx="1743075" cy="400050"/>
                    </a:xfrm>
                    <a:prstGeom prst="rect">
                      <a:avLst/>
                    </a:prstGeom>
                  </pic:spPr>
                </pic:pic>
              </a:graphicData>
            </a:graphic>
          </wp:inline>
        </w:drawing>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927735"/>
                <wp:effectExtent l="0" t="0" r="0" b="0"/>
                <wp:wrapNone/>
                <wp:docPr id="244" name="Frame237"/>
                <a:graphic xmlns:a="http://schemas.openxmlformats.org/drawingml/2006/main">
                  <a:graphicData uri="http://schemas.microsoft.com/office/word/2010/wordprocessingShape">
                    <wps:wsp>
                      <wps:cNvSpPr txBox="1"/>
                      <wps:spPr>
                        <a:xfrm>
                          <a:off x="0" y="0"/>
                          <a:ext cx="6480175" cy="927735"/>
                        </a:xfrm>
                        <a:prstGeom prst="rect"/>
                        <a:solidFill>
                          <a:srgbClr val="FFFFFF"/>
                        </a:solidFill>
                      </wps:spPr>
                      <wps:txbx>
                        <w:txbxContent>
                          <w:p>
                            <w:pPr>
                              <w:pStyle w:val="TextBody"/>
                              <w:bidi w:val="0"/>
                              <w:spacing w:lineRule="auto" w:line="288" w:before="240" w:after="283"/>
                              <w:jc w:val="left"/>
                              <w:rPr>
                                <w:rFonts w:ascii="Times;sans-serif" w:hAnsi="Times;sans-serif"/>
                                <w:b w:val="false"/>
                                <w:color w:val="000000"/>
                                <w:sz w:val="24"/>
                              </w:rPr>
                            </w:pPr>
                            <w:r>
                              <w:rPr>
                                <w:rFonts w:ascii="Times;sans-serif" w:hAnsi="Times;sans-serif"/>
                                <w:b w:val="false"/>
                                <w:color w:val="000000"/>
                                <w:sz w:val="24"/>
                              </w:rPr>
                              <w:t>P.A. No. 04815        SA-17</w:t>
                            </w:r>
                            <w:r>
                              <w:br w:type="page"/>
                            </w:r>
                          </w:p>
                          <w:p>
                            <w:pPr>
                              <w:pStyle w:val="TextBody"/>
                              <w:bidi w:val="0"/>
                              <w:spacing w:lineRule="auto" w:line="288" w:before="0" w:after="0"/>
                              <w:jc w:val="left"/>
                              <w:rPr/>
                            </w:pPr>
                            <w:r>
                              <w:rPr>
                                <w:rFonts w:ascii="Times;sans-serif" w:hAnsi="Times;sans-serif"/>
                                <w:b w:val="false"/>
                                <w:color w:val="000000"/>
                                <w:sz w:val="24"/>
                              </w:rPr>
                              <w:t>UAL-PA-04815-LA-1802897R6,</w:t>
                            </w:r>
                            <w:r>
                              <w:rPr>
                                <w:color w:val="000000"/>
                              </w:rPr>
                              <w:t xml:space="preserve"> </w:t>
                            </w:r>
                            <w:r>
                              <w:rPr>
                                <w:rFonts w:ascii="Times;sans-serif" w:hAnsi="Times;sans-serif"/>
                                <w:b w:val="false"/>
                                <w:color w:val="000000"/>
                                <w:sz w:val="24"/>
                              </w:rPr>
                              <w:t>*** Aircraft    Page 5</w:t>
                            </w:r>
                          </w:p>
                          <w:p>
                            <w:pPr>
                              <w:pStyle w:val="TextBody"/>
                              <w:bidi w:val="0"/>
                              <w:spacing w:lineRule="auto" w:line="288" w:before="0" w:after="240"/>
                              <w:jc w:val="center"/>
                              <w:rPr>
                                <w:rFonts w:ascii="Times;sans-serif" w:hAnsi="Times;sans-serif"/>
                                <w:b/>
                                <w:color w:val="000000"/>
                                <w:sz w:val="24"/>
                              </w:rPr>
                            </w:pPr>
                            <w:r>
                              <w:rPr>
                                <w:rFonts w:ascii="Times;sans-serif" w:hAnsi="Times;sans-serif"/>
                                <w:b/>
                                <w:color w:val="000000"/>
                                <w:sz w:val="24"/>
                              </w:rPr>
                              <w:t>BOEING / UNITED AIRLINES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left"/>
                        <w:rPr>
                          <w:rFonts w:ascii="Times;sans-serif" w:hAnsi="Times;sans-serif"/>
                          <w:b w:val="false"/>
                          <w:color w:val="000000"/>
                          <w:sz w:val="24"/>
                        </w:rPr>
                      </w:pPr>
                      <w:r>
                        <w:rPr>
                          <w:rFonts w:ascii="Times;sans-serif" w:hAnsi="Times;sans-serif"/>
                          <w:b w:val="false"/>
                          <w:color w:val="000000"/>
                          <w:sz w:val="24"/>
                        </w:rPr>
                        <w:t>P.A. No. 04815        SA-17</w:t>
                      </w:r>
                    </w:p>
                    <w:p>
                      <w:pPr>
                        <w:pStyle w:val="TextBody"/>
                        <w:bidi w:val="0"/>
                        <w:spacing w:lineRule="auto" w:line="288" w:before="0" w:after="0"/>
                        <w:jc w:val="left"/>
                        <w:rPr/>
                      </w:pPr>
                      <w:r>
                        <w:rPr>
                          <w:rFonts w:ascii="Times;sans-serif" w:hAnsi="Times;sans-serif"/>
                          <w:b w:val="false"/>
                          <w:color w:val="000000"/>
                          <w:sz w:val="24"/>
                        </w:rPr>
                        <w:t>UAL-PA-04815-LA-1802897R6,</w:t>
                      </w:r>
                      <w:r>
                        <w:rPr>
                          <w:color w:val="000000"/>
                        </w:rPr>
                        <w:t xml:space="preserve"> </w:t>
                      </w:r>
                      <w:r>
                        <w:rPr>
                          <w:rFonts w:ascii="Times;sans-serif" w:hAnsi="Times;sans-serif"/>
                          <w:b w:val="false"/>
                          <w:color w:val="000000"/>
                          <w:sz w:val="24"/>
                        </w:rPr>
                        <w:t>*** Aircraft    Page 5</w:t>
                      </w:r>
                    </w:p>
                    <w:p>
                      <w:pPr>
                        <w:pStyle w:val="TextBody"/>
                        <w:bidi w:val="0"/>
                        <w:spacing w:lineRule="auto" w:line="288" w:before="0" w:after="240"/>
                        <w:jc w:val="center"/>
                        <w:rPr>
                          <w:rFonts w:ascii="Times;sans-serif" w:hAnsi="Times;sans-serif"/>
                          <w:b/>
                          <w:color w:val="000000"/>
                          <w:sz w:val="24"/>
                        </w:rPr>
                      </w:pPr>
                      <w:r>
                        <w:rPr>
                          <w:rFonts w:ascii="Times;sans-serif" w:hAnsi="Times;sans-serif"/>
                          <w:b/>
                          <w:color w:val="000000"/>
                          <w:sz w:val="24"/>
                        </w:rPr>
                        <w:t>BOEING / UNITED AIRLINES PROPRIETARY</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400" w:type="dxa"/>
        <w:jc w:val="left"/>
        <w:tblInd w:w="0" w:type="dxa"/>
        <w:tblLayout w:type="fixed"/>
        <w:tblCellMar>
          <w:top w:w="28" w:type="dxa"/>
          <w:left w:w="28" w:type="dxa"/>
          <w:bottom w:w="28" w:type="dxa"/>
          <w:right w:w="28" w:type="dxa"/>
        </w:tblCellMar>
      </w:tblPr>
      <w:tblGrid>
        <w:gridCol w:w="461"/>
        <w:gridCol w:w="404"/>
        <w:gridCol w:w="404"/>
        <w:gridCol w:w="404"/>
        <w:gridCol w:w="404"/>
        <w:gridCol w:w="404"/>
        <w:gridCol w:w="553"/>
        <w:gridCol w:w="553"/>
        <w:gridCol w:w="813"/>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44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ACCEPTED AND AGREED TO this</w:t>
            </w:r>
          </w:p>
        </w:tc>
      </w:tr>
      <w:tr>
        <w:trPr/>
        <w:tc>
          <w:tcPr>
            <w:tcW w:w="44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91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August 21, 2026</w:t>
            </w:r>
          </w:p>
        </w:tc>
      </w:tr>
      <w:tr>
        <w:trPr/>
        <w:tc>
          <w:tcPr>
            <w:tcW w:w="44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UNITED AIRLINES, INC.</w:t>
            </w:r>
          </w:p>
        </w:tc>
      </w:tr>
      <w:tr>
        <w:trPr/>
        <w:tc>
          <w:tcPr>
            <w:tcW w:w="4400" w:type="dxa"/>
            <w:gridSpan w:val="9"/>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John Gebo</w:t>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131"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John Gebo</w:t>
            </w:r>
          </w:p>
        </w:tc>
      </w:tr>
      <w:tr>
        <w:trPr/>
        <w:tc>
          <w:tcPr>
            <w:tcW w:w="44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3131"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SVP Treasury, Fleet &amp; Fuel</w:t>
            </w:r>
          </w:p>
        </w:tc>
      </w:tr>
    </w:tbl>
    <w:p>
      <w:pPr>
        <w:pStyle w:val="TextBody"/>
        <w:bidi w:val="0"/>
        <w:spacing w:before="960" w:after="283"/>
        <w:ind w:left="0" w:right="0" w:hanging="153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Attachment A-1 to Letter Agreement 04815-LA-1802897R6 Entitled "*** Aircraft"</w:t>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927735"/>
                <wp:effectExtent l="0" t="0" r="0" b="0"/>
                <wp:wrapNone/>
                <wp:docPr id="245" name="Frame238"/>
                <a:graphic xmlns:a="http://schemas.openxmlformats.org/drawingml/2006/main">
                  <a:graphicData uri="http://schemas.microsoft.com/office/word/2010/wordprocessingShape">
                    <wps:wsp>
                      <wps:cNvSpPr txBox="1"/>
                      <wps:spPr>
                        <a:xfrm>
                          <a:off x="0" y="0"/>
                          <a:ext cx="6480175" cy="927735"/>
                        </a:xfrm>
                        <a:prstGeom prst="rect"/>
                        <a:solidFill>
                          <a:srgbClr val="FFFFFF"/>
                        </a:solidFill>
                      </wps:spPr>
                      <wps:txbx>
                        <w:txbxContent>
                          <w:p>
                            <w:pPr>
                              <w:pStyle w:val="TextBody"/>
                              <w:bidi w:val="0"/>
                              <w:spacing w:lineRule="auto" w:line="288" w:before="240" w:after="283"/>
                              <w:jc w:val="left"/>
                              <w:rPr>
                                <w:rFonts w:ascii="Times;sans-serif" w:hAnsi="Times;sans-serif"/>
                                <w:b w:val="false"/>
                                <w:color w:val="000000"/>
                                <w:sz w:val="24"/>
                              </w:rPr>
                            </w:pPr>
                            <w:r>
                              <w:rPr>
                                <w:rFonts w:ascii="Times;sans-serif" w:hAnsi="Times;sans-serif"/>
                                <w:b w:val="false"/>
                                <w:color w:val="000000"/>
                                <w:sz w:val="24"/>
                              </w:rPr>
                              <w:t>P.A. No. 04815        SA-17</w:t>
                            </w:r>
                            <w:r>
                              <w:br w:type="page"/>
                            </w:r>
                          </w:p>
                          <w:p>
                            <w:pPr>
                              <w:pStyle w:val="TextBody"/>
                              <w:bidi w:val="0"/>
                              <w:spacing w:lineRule="auto" w:line="288" w:before="0" w:after="0"/>
                              <w:jc w:val="left"/>
                              <w:rPr/>
                            </w:pPr>
                            <w:r>
                              <w:rPr>
                                <w:rFonts w:ascii="Times;sans-serif" w:hAnsi="Times;sans-serif"/>
                                <w:b w:val="false"/>
                                <w:color w:val="000000"/>
                                <w:sz w:val="24"/>
                              </w:rPr>
                              <w:t>UAL-PA-04815-LA-1802897R6,</w:t>
                            </w:r>
                            <w:r>
                              <w:rPr>
                                <w:color w:val="000000"/>
                              </w:rPr>
                              <w:t xml:space="preserve"> </w:t>
                            </w:r>
                            <w:r>
                              <w:rPr>
                                <w:rFonts w:ascii="Times;sans-serif" w:hAnsi="Times;sans-serif"/>
                                <w:b w:val="false"/>
                                <w:color w:val="000000"/>
                                <w:sz w:val="24"/>
                              </w:rPr>
                              <w:t>*** Aircraft    Page 6</w:t>
                            </w:r>
                          </w:p>
                          <w:p>
                            <w:pPr>
                              <w:pStyle w:val="TextBody"/>
                              <w:bidi w:val="0"/>
                              <w:spacing w:lineRule="auto" w:line="288" w:before="0" w:after="240"/>
                              <w:jc w:val="center"/>
                              <w:rPr>
                                <w:rFonts w:ascii="Times;sans-serif" w:hAnsi="Times;sans-serif"/>
                                <w:b/>
                                <w:color w:val="000000"/>
                                <w:sz w:val="24"/>
                              </w:rPr>
                            </w:pPr>
                            <w:r>
                              <w:rPr>
                                <w:rFonts w:ascii="Times;sans-serif" w:hAnsi="Times;sans-serif"/>
                                <w:b/>
                                <w:color w:val="000000"/>
                                <w:sz w:val="24"/>
                              </w:rPr>
                              <w:t>BOEING / UNITED AIRLINES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05pt;mso-wrap-distance-left:0pt;mso-wrap-distance-right:0pt;mso-wrap-distance-top:0pt;mso-wrap-distance-bottom:0pt;margin-top:0pt;mso-position-vertical:top;mso-position-vertical-relative:text;margin-left:-1.35pt;mso-position-horizontal:left;mso-position-horizontal-relative:text">
                <v:textbox>
                  <w:txbxContent>
                    <w:p>
                      <w:pPr>
                        <w:pStyle w:val="TextBody"/>
                        <w:bidi w:val="0"/>
                        <w:spacing w:lineRule="auto" w:line="288" w:before="240" w:after="283"/>
                        <w:jc w:val="left"/>
                        <w:rPr>
                          <w:rFonts w:ascii="Times;sans-serif" w:hAnsi="Times;sans-serif"/>
                          <w:b w:val="false"/>
                          <w:color w:val="000000"/>
                          <w:sz w:val="24"/>
                        </w:rPr>
                      </w:pPr>
                      <w:r>
                        <w:rPr>
                          <w:rFonts w:ascii="Times;sans-serif" w:hAnsi="Times;sans-serif"/>
                          <w:b w:val="false"/>
                          <w:color w:val="000000"/>
                          <w:sz w:val="24"/>
                        </w:rPr>
                        <w:t>P.A. No. 04815        SA-17</w:t>
                      </w:r>
                    </w:p>
                    <w:p>
                      <w:pPr>
                        <w:pStyle w:val="TextBody"/>
                        <w:bidi w:val="0"/>
                        <w:spacing w:lineRule="auto" w:line="288" w:before="0" w:after="0"/>
                        <w:jc w:val="left"/>
                        <w:rPr/>
                      </w:pPr>
                      <w:r>
                        <w:rPr>
                          <w:rFonts w:ascii="Times;sans-serif" w:hAnsi="Times;sans-serif"/>
                          <w:b w:val="false"/>
                          <w:color w:val="000000"/>
                          <w:sz w:val="24"/>
                        </w:rPr>
                        <w:t>UAL-PA-04815-LA-1802897R6,</w:t>
                      </w:r>
                      <w:r>
                        <w:rPr>
                          <w:color w:val="000000"/>
                        </w:rPr>
                        <w:t xml:space="preserve"> </w:t>
                      </w:r>
                      <w:r>
                        <w:rPr>
                          <w:rFonts w:ascii="Times;sans-serif" w:hAnsi="Times;sans-serif"/>
                          <w:b w:val="false"/>
                          <w:color w:val="000000"/>
                          <w:sz w:val="24"/>
                        </w:rPr>
                        <w:t>*** Aircraft    Page 6</w:t>
                      </w:r>
                    </w:p>
                    <w:p>
                      <w:pPr>
                        <w:pStyle w:val="TextBody"/>
                        <w:bidi w:val="0"/>
                        <w:spacing w:lineRule="auto" w:line="288" w:before="0" w:after="240"/>
                        <w:jc w:val="center"/>
                        <w:rPr>
                          <w:rFonts w:ascii="Times;sans-serif" w:hAnsi="Times;sans-serif"/>
                          <w:b/>
                          <w:color w:val="000000"/>
                          <w:sz w:val="24"/>
                        </w:rPr>
                      </w:pPr>
                      <w:r>
                        <w:rPr>
                          <w:rFonts w:ascii="Times;sans-serif" w:hAnsi="Times;sans-serif"/>
                          <w:b/>
                          <w:color w:val="000000"/>
                          <w:sz w:val="24"/>
                        </w:rPr>
                        <w:t>BOEING / UNITED AIRLINES PROPRIETARY</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787-*** Aircraft Delivery, Description, Price and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(787-***)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1954" w:type="dxa"/>
        <w:jc w:val="left"/>
        <w:tblInd w:w="0" w:type="dxa"/>
        <w:tblLayout w:type="fixed"/>
        <w:tblCellMar>
          <w:top w:w="28" w:type="dxa"/>
          <w:left w:w="28" w:type="dxa"/>
          <w:bottom w:w="28" w:type="dxa"/>
          <w:right w:w="28" w:type="dxa"/>
        </w:tblCellMar>
      </w:tblPr>
      <w:tblGrid>
        <w:gridCol w:w="341"/>
        <w:gridCol w:w="286"/>
        <w:gridCol w:w="109"/>
        <w:gridCol w:w="109"/>
        <w:gridCol w:w="109"/>
        <w:gridCol w:w="109"/>
        <w:gridCol w:w="335"/>
        <w:gridCol w:w="335"/>
        <w:gridCol w:w="336"/>
        <w:gridCol w:w="338"/>
        <w:gridCol w:w="252"/>
        <w:gridCol w:w="161"/>
        <w:gridCol w:w="355"/>
        <w:gridCol w:w="355"/>
        <w:gridCol w:w="356"/>
        <w:gridCol w:w="325"/>
        <w:gridCol w:w="325"/>
        <w:gridCol w:w="326"/>
        <w:gridCol w:w="260"/>
        <w:gridCol w:w="260"/>
        <w:gridCol w:w="261"/>
        <w:gridCol w:w="425"/>
        <w:gridCol w:w="425"/>
        <w:gridCol w:w="426"/>
        <w:gridCol w:w="290"/>
        <w:gridCol w:w="290"/>
        <w:gridCol w:w="291"/>
        <w:gridCol w:w="445"/>
        <w:gridCol w:w="445"/>
        <w:gridCol w:w="446"/>
        <w:gridCol w:w="550"/>
        <w:gridCol w:w="411"/>
        <w:gridCol w:w="210"/>
        <w:gridCol w:w="210"/>
        <w:gridCol w:w="210"/>
        <w:gridCol w:w="211"/>
        <w:gridCol w:w="109"/>
        <w:gridCol w:w="109"/>
        <w:gridCol w:w="109"/>
        <w:gridCol w:w="109"/>
        <w:gridCol w:w="109"/>
        <w:gridCol w:w="109"/>
        <w:gridCol w:w="109"/>
        <w:gridCol w:w="109"/>
        <w:gridCol w:w="154"/>
      </w:tblGrid>
      <w:tr>
        <w:trPr/>
        <w:tc>
          <w:tcPr>
            <w:tcW w:w="3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Model/MTOW:</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787-***</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pounds</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Configuration Specification: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Model/Thrust:</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pounds</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Price Base Year/*** Formula: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 Price:</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Price Base Year/*** Formula: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Features:</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of Airframe and Features:</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Airframe *** Data:</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 Price (Per Aircraft):</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(ECI):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Basic Price (Excluding BFE/SPE):</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(CPI):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Buyer Furnished Equipment (BFE) Estimate:</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Engine *** Data:</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Seller Purchased Equipment (SPE)</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(ECI):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per Aircraft: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Year Index (CPI):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 of </w:t>
              <w:br/>
              <w:t>Aircraft</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Contracted </w:t>
              <w:br/>
              <w:t>Delivery ***</w:t>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Number of </w:t>
              <w:br/>
              <w:t>Aircraft</w:t>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 Factor</w:t>
              <w:br/>
              <w:t> (Airframe)</w:t>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Factor</w:t>
              <w:br/>
              <w:t> (Engine)</w:t>
            </w:r>
          </w:p>
        </w:tc>
        <w:tc>
          <w:tcPr>
            <w:tcW w:w="7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 xml:space="preserve">*** </w:t>
              <w:br/>
              <w:t>Forecast</w:t>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Unique *** </w:t>
              <w:br/>
              <w:t>Characteritics, if Any</w:t>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Leadtime in ***</w:t>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 Expiration </w:t>
              <w:br/>
              <w:t>Date</w:t>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Estimate *** Base Price Per A/P</w:t>
            </w:r>
          </w:p>
        </w:tc>
        <w:tc>
          <w:tcPr>
            <w:tcW w:w="1657"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(Amts. Due/*** Prior to Delivery):</w:t>
            </w:r>
          </w:p>
        </w:tc>
      </w:tr>
      <w:tr>
        <w:trPr/>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Attachment A-1 to Letter Agreement 04815-LA-1802897R6 Entitled "*** Aircraft"</w:t>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891540"/>
                <wp:effectExtent l="0" t="0" r="0" b="0"/>
                <wp:wrapNone/>
                <wp:docPr id="246" name="Frame23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9104" w:type="dxa"/>
                              <w:jc w:val="left"/>
                              <w:tblInd w:w="0" w:type="dxa"/>
                              <w:tblLayout w:type="fixed"/>
                              <w:tblCellMar>
                                <w:top w:w="28" w:type="dxa"/>
                                <w:left w:w="28" w:type="dxa"/>
                                <w:bottom w:w="28" w:type="dxa"/>
                                <w:right w:w="28" w:type="dxa"/>
                              </w:tblCellMar>
                            </w:tblPr>
                            <w:tblGrid>
                              <w:gridCol w:w="658"/>
                              <w:gridCol w:w="577"/>
                              <w:gridCol w:w="579"/>
                              <w:gridCol w:w="1139"/>
                              <w:gridCol w:w="1139"/>
                              <w:gridCol w:w="1142"/>
                              <w:gridCol w:w="1131"/>
                              <w:gridCol w:w="1131"/>
                              <w:gridCol w:w="1608"/>
                            </w:tblGrid>
                            <w:tr>
                              <w:trPr/>
                              <w:tc>
                                <w:tcPr>
                                  <w:tcW w:w="658" w:type="dxa"/>
                                  <w:tcBorders/>
                                  <w:vAlign w:val="center"/>
                                </w:tcPr>
                                <w:p>
                                  <w:pPr>
                                    <w:pStyle w:val="TableContents"/>
                                    <w:bidi w:val="0"/>
                                    <w:spacing w:before="0" w:after="283"/>
                                    <w:jc w:val="left"/>
                                    <w:rPr>
                                      <w:sz w:val="4"/>
                                      <w:szCs w:val="4"/>
                                    </w:rPr>
                                  </w:pPr>
                                  <w:r>
                                    <w:rPr>
                                      <w:sz w:val="4"/>
                                      <w:szCs w:val="4"/>
                                    </w:rPr>
                                  </w:r>
                                  <w:r>
                                    <w:br w:type="page"/>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 126760-1O.txt</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20"/>
                                    </w:rPr>
                                    <w:br/>
                                  </w:r>
                                  <w:r>
                                    <w:rPr>
                                      <w:rFonts w:ascii="Arial;sans-serif" w:hAnsi="Arial;sans-serif"/>
                                      <w:b/>
                                      <w:color w:val="000000"/>
                                      <w:sz w:val="20"/>
                                    </w:rPr>
                                    <w:t>Boeing / United Airlines Proprietary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SA-17</w:t>
                                  </w:r>
                                </w:p>
                                <w:p>
                                  <w:pPr>
                                    <w:pStyle w:val="TableContents"/>
                                    <w:bidi w:val="0"/>
                                    <w:spacing w:lineRule="auto" w:line="240" w:before="0" w:after="0"/>
                                    <w:jc w:val="right"/>
                                    <w:rPr/>
                                  </w:pPr>
                                  <w:r>
                                    <w:rPr>
                                      <w:rFonts w:ascii="Arial;sans-serif" w:hAnsi="Arial;sans-serif"/>
                                      <w:b w:val="false"/>
                                      <w:color w:val="000000"/>
                                      <w:sz w:val="20"/>
                                    </w:rPr>
                                    <w:t>Att A to LA-1802897</w:t>
                                  </w:r>
                                  <w:r>
                                    <w:rPr>
                                      <w:rFonts w:ascii="Arial;sans-serif" w:hAnsi="Arial;sans-serif"/>
                                      <w:b/>
                                      <w:color w:val="000000"/>
                                      <w:sz w:val="20"/>
                                    </w:rPr>
                                    <w:t>R6</w:t>
                                  </w:r>
                                  <w:r>
                                    <w:rPr>
                                      <w:color w:val="000000"/>
                                    </w:rPr>
                                    <w:t xml:space="preserve"> </w:t>
                                  </w:r>
                                  <w:r>
                                    <w:rPr>
                                      <w:rFonts w:ascii="Arial;sans-serif" w:hAnsi="Arial;sans-serif"/>
                                      <w:b w:val="false"/>
                                      <w:color w:val="000000"/>
                                      <w:sz w:val="20"/>
                                    </w:rPr>
                                    <w:t>*** Aircraft, Page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1.35pt;mso-position-horizontal:left;mso-position-horizontal-relative:text">
                <v:textbox>
                  <w:txbxContent>
                    <w:tbl>
                      <w:tblPr>
                        <w:tblW w:w="9104" w:type="dxa"/>
                        <w:jc w:val="left"/>
                        <w:tblInd w:w="0" w:type="dxa"/>
                        <w:tblLayout w:type="fixed"/>
                        <w:tblCellMar>
                          <w:top w:w="28" w:type="dxa"/>
                          <w:left w:w="28" w:type="dxa"/>
                          <w:bottom w:w="28" w:type="dxa"/>
                          <w:right w:w="28" w:type="dxa"/>
                        </w:tblCellMar>
                      </w:tblPr>
                      <w:tblGrid>
                        <w:gridCol w:w="658"/>
                        <w:gridCol w:w="577"/>
                        <w:gridCol w:w="579"/>
                        <w:gridCol w:w="1139"/>
                        <w:gridCol w:w="1139"/>
                        <w:gridCol w:w="1142"/>
                        <w:gridCol w:w="1131"/>
                        <w:gridCol w:w="1131"/>
                        <w:gridCol w:w="1608"/>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 126760-1O.txt</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20"/>
                              </w:rPr>
                              <w:br/>
                            </w:r>
                            <w:r>
                              <w:rPr>
                                <w:rFonts w:ascii="Arial;sans-serif" w:hAnsi="Arial;sans-serif"/>
                                <w:b/>
                                <w:color w:val="000000"/>
                                <w:sz w:val="20"/>
                              </w:rPr>
                              <w:t>Boeing / United Airlines Proprietary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SA-17</w:t>
                            </w:r>
                          </w:p>
                          <w:p>
                            <w:pPr>
                              <w:pStyle w:val="TableContents"/>
                              <w:bidi w:val="0"/>
                              <w:spacing w:lineRule="auto" w:line="240" w:before="0" w:after="0"/>
                              <w:jc w:val="right"/>
                              <w:rPr/>
                            </w:pPr>
                            <w:r>
                              <w:rPr>
                                <w:rFonts w:ascii="Arial;sans-serif" w:hAnsi="Arial;sans-serif"/>
                                <w:b w:val="false"/>
                                <w:color w:val="000000"/>
                                <w:sz w:val="20"/>
                              </w:rPr>
                              <w:t>Att A to LA-1802897</w:t>
                            </w:r>
                            <w:r>
                              <w:rPr>
                                <w:rFonts w:ascii="Arial;sans-serif" w:hAnsi="Arial;sans-serif"/>
                                <w:b/>
                                <w:color w:val="000000"/>
                                <w:sz w:val="20"/>
                              </w:rPr>
                              <w:t>R6</w:t>
                            </w:r>
                            <w:r>
                              <w:rPr>
                                <w:color w:val="000000"/>
                              </w:rPr>
                              <w:t xml:space="preserve"> </w:t>
                            </w:r>
                            <w:r>
                              <w:rPr>
                                <w:rFonts w:ascii="Arial;sans-serif" w:hAnsi="Arial;sans-serif"/>
                                <w:b w:val="false"/>
                                <w:color w:val="000000"/>
                                <w:sz w:val="20"/>
                              </w:rPr>
                              <w:t>*** Aircraft, Page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787-*** Aircraft Delivery, Description, Price and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(787-***)</w:t>
      </w:r>
    </w:p>
    <w:tbl>
      <w:tblPr>
        <w:tblW w:w="8512" w:type="dxa"/>
        <w:jc w:val="left"/>
        <w:tblInd w:w="0" w:type="dxa"/>
        <w:tblLayout w:type="fixed"/>
        <w:tblCellMar>
          <w:top w:w="28" w:type="dxa"/>
          <w:left w:w="28" w:type="dxa"/>
          <w:bottom w:w="28" w:type="dxa"/>
          <w:right w:w="28" w:type="dxa"/>
        </w:tblCellMar>
      </w:tblPr>
      <w:tblGrid>
        <w:gridCol w:w="210"/>
        <w:gridCol w:w="185"/>
        <w:gridCol w:w="185"/>
        <w:gridCol w:w="185"/>
        <w:gridCol w:w="185"/>
        <w:gridCol w:w="185"/>
        <w:gridCol w:w="454"/>
        <w:gridCol w:w="454"/>
        <w:gridCol w:w="454"/>
        <w:gridCol w:w="454"/>
        <w:gridCol w:w="454"/>
        <w:gridCol w:w="454"/>
        <w:gridCol w:w="267"/>
        <w:gridCol w:w="267"/>
        <w:gridCol w:w="267"/>
        <w:gridCol w:w="267"/>
        <w:gridCol w:w="267"/>
        <w:gridCol w:w="267"/>
        <w:gridCol w:w="267"/>
        <w:gridCol w:w="267"/>
        <w:gridCol w:w="267"/>
        <w:gridCol w:w="267"/>
        <w:gridCol w:w="267"/>
        <w:gridCol w:w="267"/>
        <w:gridCol w:w="226"/>
        <w:gridCol w:w="226"/>
        <w:gridCol w:w="226"/>
        <w:gridCol w:w="226"/>
        <w:gridCol w:w="226"/>
        <w:gridCol w:w="319"/>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85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Notes / Other Information:</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2"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1 </w:t>
            </w:r>
            <w:r>
              <w:rPr>
                <w:rFonts w:ascii="Times New Roman;serif" w:hAnsi="Times New Roman;serif"/>
                <w:b w:val="false"/>
                <w:color w:val="000000"/>
                <w:sz w:val="24"/>
              </w:rPr>
              <w:t>***</w:t>
            </w:r>
          </w:p>
        </w:tc>
      </w:tr>
      <w:tr>
        <w:trPr/>
        <w:tc>
          <w:tcPr>
            <w:tcW w:w="8512"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2 </w:t>
            </w:r>
            <w:r>
              <w:rPr>
                <w:rFonts w:ascii="Times New Roman;serif" w:hAnsi="Times New Roman;serif"/>
                <w:b w:val="false"/>
                <w:color w:val="000000"/>
                <w:sz w:val="24"/>
              </w:rPr>
              <w:t>***</w:t>
            </w:r>
          </w:p>
        </w:tc>
      </w:tr>
      <w:tr>
        <w:trPr/>
        <w:tc>
          <w:tcPr>
            <w:tcW w:w="8512"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3 </w:t>
            </w:r>
            <w:r>
              <w:rPr>
                <w:rFonts w:ascii="Times New Roman;serif" w:hAnsi="Times New Roman;serif"/>
                <w:b w:val="false"/>
                <w:color w:val="000000"/>
                <w:sz w:val="24"/>
              </w:rPr>
              <w:t>***</w:t>
            </w:r>
          </w:p>
        </w:tc>
      </w:tr>
      <w:tr>
        <w:trPr/>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The quantity of *** Aircraft other than *** Aircraft are as follows:</w:t>
            </w:r>
          </w:p>
        </w:tc>
      </w:tr>
      <w:tr>
        <w:trPr/>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326" w:type="dxa"/>
            <w:gridSpan w:val="12"/>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32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326" w:type="dxa"/>
            <w:gridSpan w:val="12"/>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The quantity of *** Aircraft are as follows:</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326" w:type="dxa"/>
            <w:gridSpan w:val="12"/>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0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326" w:type="dxa"/>
            <w:gridSpan w:val="12"/>
            <w:tcBorders>
              <w:top w:val="single" w:sz="8" w:space="0" w:color="000000"/>
              <w:bottom w:val="single" w:sz="8" w:space="0" w:color="000000"/>
              <w:right w:val="single" w:sz="8" w:space="0" w:color="000000"/>
            </w:tcBorders>
            <w:shd w:fill="FFFFFF" w:val="clear"/>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0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326" w:type="dxa"/>
            <w:gridSpan w:val="12"/>
            <w:tcBorders>
              <w:top w:val="single" w:sz="8" w:space="0" w:color="000000"/>
              <w:bottom w:val="single" w:sz="8" w:space="0" w:color="000000"/>
              <w:right w:val="single" w:sz="8" w:space="0" w:color="000000"/>
            </w:tcBorders>
            <w:shd w:fill="FFFFFF" w:val="clear"/>
            <w:tcMar>
              <w:top w:w="3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0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w:t>
            </w:r>
          </w:p>
        </w:tc>
        <w:tc>
          <w:tcPr>
            <w:tcW w:w="67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0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The quantity of *** Aircraft PLUS *** Aircraft is as follows:</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12"/>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0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7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2"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891540"/>
                <wp:effectExtent l="0" t="0" r="0" b="0"/>
                <wp:wrapNone/>
                <wp:docPr id="247" name="Frame24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9104" w:type="dxa"/>
                              <w:jc w:val="left"/>
                              <w:tblInd w:w="0" w:type="dxa"/>
                              <w:tblLayout w:type="fixed"/>
                              <w:tblCellMar>
                                <w:top w:w="28" w:type="dxa"/>
                                <w:left w:w="28" w:type="dxa"/>
                                <w:bottom w:w="28" w:type="dxa"/>
                                <w:right w:w="28" w:type="dxa"/>
                              </w:tblCellMar>
                            </w:tblPr>
                            <w:tblGrid>
                              <w:gridCol w:w="658"/>
                              <w:gridCol w:w="577"/>
                              <w:gridCol w:w="579"/>
                              <w:gridCol w:w="1139"/>
                              <w:gridCol w:w="1139"/>
                              <w:gridCol w:w="1142"/>
                              <w:gridCol w:w="1131"/>
                              <w:gridCol w:w="1131"/>
                              <w:gridCol w:w="1608"/>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 126760-1O.txt</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20"/>
                                    </w:rPr>
                                    <w:br/>
                                  </w:r>
                                  <w:r>
                                    <w:rPr>
                                      <w:rFonts w:ascii="Arial;sans-serif" w:hAnsi="Arial;sans-serif"/>
                                      <w:b/>
                                      <w:color w:val="000000"/>
                                      <w:sz w:val="20"/>
                                    </w:rPr>
                                    <w:t>Boeing / United Airlines Proprietary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SA-17</w:t>
                                  </w:r>
                                </w:p>
                                <w:p>
                                  <w:pPr>
                                    <w:pStyle w:val="TableContents"/>
                                    <w:bidi w:val="0"/>
                                    <w:spacing w:lineRule="auto" w:line="240" w:before="0" w:after="0"/>
                                    <w:jc w:val="right"/>
                                    <w:rPr/>
                                  </w:pPr>
                                  <w:r>
                                    <w:rPr>
                                      <w:rFonts w:ascii="Arial;sans-serif" w:hAnsi="Arial;sans-serif"/>
                                      <w:b w:val="false"/>
                                      <w:color w:val="000000"/>
                                      <w:sz w:val="20"/>
                                    </w:rPr>
                                    <w:t>Att A to LA-1802897</w:t>
                                  </w:r>
                                  <w:r>
                                    <w:rPr>
                                      <w:rFonts w:ascii="Arial;sans-serif" w:hAnsi="Arial;sans-serif"/>
                                      <w:b/>
                                      <w:color w:val="000000"/>
                                      <w:sz w:val="20"/>
                                    </w:rPr>
                                    <w:t>R6</w:t>
                                  </w:r>
                                  <w:r>
                                    <w:rPr>
                                      <w:color w:val="000000"/>
                                    </w:rPr>
                                    <w:t xml:space="preserve"> </w:t>
                                  </w:r>
                                  <w:r>
                                    <w:rPr>
                                      <w:rFonts w:ascii="Arial;sans-serif" w:hAnsi="Arial;sans-serif"/>
                                      <w:b w:val="false"/>
                                      <w:color w:val="000000"/>
                                      <w:sz w:val="20"/>
                                    </w:rPr>
                                    <w:t>*** Aircraft, Page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9104" w:type="dxa"/>
                        <w:jc w:val="left"/>
                        <w:tblInd w:w="0" w:type="dxa"/>
                        <w:tblLayout w:type="fixed"/>
                        <w:tblCellMar>
                          <w:top w:w="28" w:type="dxa"/>
                          <w:left w:w="28" w:type="dxa"/>
                          <w:bottom w:w="28" w:type="dxa"/>
                          <w:right w:w="28" w:type="dxa"/>
                        </w:tblCellMar>
                      </w:tblPr>
                      <w:tblGrid>
                        <w:gridCol w:w="658"/>
                        <w:gridCol w:w="577"/>
                        <w:gridCol w:w="579"/>
                        <w:gridCol w:w="1139"/>
                        <w:gridCol w:w="1139"/>
                        <w:gridCol w:w="1142"/>
                        <w:gridCol w:w="1131"/>
                        <w:gridCol w:w="1131"/>
                        <w:gridCol w:w="1608"/>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 126760-1O.txt</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20"/>
                              </w:rPr>
                              <w:br/>
                            </w:r>
                            <w:r>
                              <w:rPr>
                                <w:rFonts w:ascii="Arial;sans-serif" w:hAnsi="Arial;sans-serif"/>
                                <w:b/>
                                <w:color w:val="000000"/>
                                <w:sz w:val="20"/>
                              </w:rPr>
                              <w:t>Boeing / United Airlines Proprietary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SA-17</w:t>
                            </w:r>
                          </w:p>
                          <w:p>
                            <w:pPr>
                              <w:pStyle w:val="TableContents"/>
                              <w:bidi w:val="0"/>
                              <w:spacing w:lineRule="auto" w:line="240" w:before="0" w:after="0"/>
                              <w:jc w:val="right"/>
                              <w:rPr/>
                            </w:pPr>
                            <w:r>
                              <w:rPr>
                                <w:rFonts w:ascii="Arial;sans-serif" w:hAnsi="Arial;sans-serif"/>
                                <w:b w:val="false"/>
                                <w:color w:val="000000"/>
                                <w:sz w:val="20"/>
                              </w:rPr>
                              <w:t>Att A to LA-1802897</w:t>
                            </w:r>
                            <w:r>
                              <w:rPr>
                                <w:rFonts w:ascii="Arial;sans-serif" w:hAnsi="Arial;sans-serif"/>
                                <w:b/>
                                <w:color w:val="000000"/>
                                <w:sz w:val="20"/>
                              </w:rPr>
                              <w:t>R6</w:t>
                            </w:r>
                            <w:r>
                              <w:rPr>
                                <w:color w:val="000000"/>
                              </w:rPr>
                              <w:t xml:space="preserve"> </w:t>
                            </w:r>
                            <w:r>
                              <w:rPr>
                                <w:rFonts w:ascii="Arial;sans-serif" w:hAnsi="Arial;sans-serif"/>
                                <w:b w:val="false"/>
                                <w:color w:val="000000"/>
                                <w:sz w:val="20"/>
                              </w:rPr>
                              <w:t>*** Aircraft, Page 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10.4</w:t>
      </w:r>
    </w:p>
    <w:tbl>
      <w:tblPr>
        <w:tblW w:w="31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548"/>
        <w:gridCol w:w="548"/>
        <w:gridCol w:w="7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r>
          </w:p>
          <w:p>
            <w:pPr>
              <w:pStyle w:val="TableContents"/>
              <w:bidi w:val="0"/>
              <w:spacing w:lineRule="auto" w:line="300" w:before="0" w:after="160"/>
              <w:jc w:val="left"/>
              <w:rPr>
                <w:rFonts w:ascii="Arial;sans-serif" w:hAnsi="Arial;sans-serif"/>
                <w:b w:val="false"/>
                <w:color w:val="808080"/>
                <w:sz w:val="15"/>
              </w:rPr>
            </w:pPr>
            <w:r>
              <w:rPr>
                <w:rFonts w:ascii="Arial;sans-serif" w:hAnsi="Arial;sans-serif"/>
                <w:b w:val="false"/>
                <w:color w:val="808080"/>
                <w:sz w:val="15"/>
              </w:rPr>
              <w:t>The Boeing Company</w:t>
              <w:br/>
              <w:t>P.O. Box 3707</w:t>
              <w:br/>
              <w:t>Seattle, WA 98124-2207</w:t>
            </w:r>
          </w:p>
        </w:tc>
      </w:tr>
    </w:tbl>
    <w:p>
      <w:pPr>
        <w:pStyle w:val="TextBody"/>
        <w:bidi w:val="0"/>
        <w:spacing w:lineRule="auto" w:line="300" w:before="0" w:after="160"/>
        <w:jc w:val="left"/>
        <w:rPr>
          <w:color w:val="000000"/>
        </w:rPr>
      </w:pPr>
      <w:r>
        <w:rPr>
          <w:color w:val="000000"/>
        </w:rPr>
        <w:t>    </w:t>
      </w:r>
    </w:p>
    <w:p>
      <w:pPr>
        <w:pStyle w:val="TextBody"/>
        <w:bidi w:val="0"/>
        <w:spacing w:before="0" w:after="480"/>
        <w:jc w:val="left"/>
        <w:rPr/>
      </w:pPr>
      <w:r>
        <w:rPr/>
        <w:drawing>
          <wp:inline distT="0" distB="0" distL="0" distR="0">
            <wp:extent cx="1733550" cy="400050"/>
            <wp:effectExtent l="0" t="0" r="0" b="0"/>
            <wp:docPr id="24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8" descr=""/>
                    <pic:cNvPicPr>
                      <a:picLocks noChangeAspect="1" noChangeArrowheads="1"/>
                    </pic:cNvPicPr>
                  </pic:nvPicPr>
                  <pic:blipFill>
                    <a:blip r:embed="rId9"/>
                    <a:stretch>
                      <a:fillRect/>
                    </a:stretch>
                  </pic:blipFill>
                  <pic:spPr bwMode="auto">
                    <a:xfrm>
                      <a:off x="0" y="0"/>
                      <a:ext cx="1733550" cy="400050"/>
                    </a:xfrm>
                    <a:prstGeom prst="rect">
                      <a:avLst/>
                    </a:prstGeom>
                  </pic:spPr>
                </pic:pic>
              </a:graphicData>
            </a:graphic>
          </wp:inline>
        </w:drawing>
      </w:r>
    </w:p>
    <w:p>
      <w:pPr>
        <w:pStyle w:val="TextBody"/>
        <w:bidi w:val="0"/>
        <w:spacing w:before="80" w:after="160"/>
        <w:jc w:val="left"/>
        <w:rPr/>
      </w:pPr>
      <w:r>
        <w:rPr/>
        <w:drawing>
          <wp:inline distT="0" distB="0" distL="0" distR="0">
            <wp:extent cx="2647950" cy="142875"/>
            <wp:effectExtent l="0" t="0" r="0" b="0"/>
            <wp:docPr id="24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9" descr=""/>
                    <pic:cNvPicPr>
                      <a:picLocks noChangeAspect="1" noChangeArrowheads="1"/>
                    </pic:cNvPicPr>
                  </pic:nvPicPr>
                  <pic:blipFill>
                    <a:blip r:embed="rId10"/>
                    <a:stretch>
                      <a:fillRect/>
                    </a:stretch>
                  </pic:blipFill>
                  <pic:spPr bwMode="auto">
                    <a:xfrm>
                      <a:off x="0" y="0"/>
                      <a:ext cx="2647950" cy="142875"/>
                    </a:xfrm>
                    <a:prstGeom prst="rect">
                      <a:avLst/>
                    </a:prstGeom>
                  </pic:spPr>
                </pic:pic>
              </a:graphicData>
            </a:graphic>
          </wp:inline>
        </w:drawing>
      </w:r>
    </w:p>
    <w:p>
      <w:pPr>
        <w:pStyle w:val="TextBody"/>
        <w:bidi w:val="0"/>
        <w:spacing w:lineRule="auto" w:line="300" w:before="380" w:after="40"/>
        <w:jc w:val="left"/>
        <w:rPr>
          <w:rFonts w:ascii="Times New Roman;serif" w:hAnsi="Times New Roman;serif"/>
          <w:b w:val="false"/>
          <w:color w:val="000000"/>
          <w:sz w:val="24"/>
        </w:rPr>
      </w:pPr>
      <w:r>
        <w:rPr>
          <w:rFonts w:ascii="Times New Roman;serif" w:hAnsi="Times New Roman;serif"/>
          <w:b w:val="false"/>
          <w:color w:val="000000"/>
          <w:sz w:val="24"/>
        </w:rPr>
        <w:t>UAL-MISC-2603195</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United Airlines, Inc.</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233 South Wacker Drive</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Chicago, Illinois 60606</w:t>
      </w:r>
    </w:p>
    <w:p>
      <w:pPr>
        <w:pStyle w:val="TextBody"/>
        <w:bidi w:val="0"/>
        <w:spacing w:lineRule="auto" w:line="300" w:before="300" w:after="160"/>
        <w:ind w:left="0" w:right="0" w:hanging="907"/>
        <w:jc w:val="left"/>
        <w:rPr>
          <w:rFonts w:ascii="Times New Roman;serif" w:hAnsi="Times New Roman;serif"/>
          <w:b w:val="false"/>
          <w:color w:val="000000"/>
          <w:sz w:val="24"/>
        </w:rPr>
      </w:pPr>
      <w:r>
        <w:rPr>
          <w:rFonts w:ascii="Times New Roman;serif" w:hAnsi="Times New Roman;serif"/>
          <w:b w:val="false"/>
          <w:color w:val="000000"/>
          <w:sz w:val="24"/>
        </w:rPr>
        <w:t>Subject:    *** Matters (June 2026)</w:t>
      </w:r>
    </w:p>
    <w:p>
      <w:pPr>
        <w:pStyle w:val="TextBody"/>
        <w:bidi w:val="0"/>
        <w:spacing w:lineRule="auto" w:line="300" w:before="240" w:after="160"/>
        <w:ind w:left="0" w:right="0" w:hanging="1710"/>
        <w:jc w:val="both"/>
        <w:rPr>
          <w:rFonts w:ascii="Times New Roman;serif" w:hAnsi="Times New Roman;serif"/>
          <w:b w:val="false"/>
          <w:color w:val="000000"/>
          <w:sz w:val="24"/>
        </w:rPr>
      </w:pPr>
      <w:r>
        <w:rPr>
          <w:rFonts w:ascii="Times New Roman;serif" w:hAnsi="Times New Roman;serif"/>
          <w:b w:val="false"/>
          <w:color w:val="000000"/>
          <w:sz w:val="24"/>
        </w:rPr>
        <w:t>References:    </w:t>
      </w:r>
    </w:p>
    <w:p>
      <w:pPr>
        <w:pStyle w:val="TextBody"/>
        <w:bidi w:val="0"/>
        <w:spacing w:lineRule="auto" w:line="300" w:before="60" w:after="160"/>
        <w:ind w:left="0" w:right="0" w:hanging="720"/>
        <w:jc w:val="both"/>
        <w:rPr/>
      </w:pPr>
      <w:r>
        <w:rPr>
          <w:rFonts w:ascii="Times New Roman;serif" w:hAnsi="Times New Roman;serif"/>
          <w:b w:val="false"/>
          <w:color w:val="000000"/>
          <w:sz w:val="24"/>
        </w:rPr>
        <w:t>(1)Aircraft General Terms Agreement dated as of July 12, 2012 between Boeing and United Continental Holdings, Inc. identified as UCH-AGTA (</w:t>
      </w:r>
      <w:r>
        <w:rPr>
          <w:rFonts w:ascii="Times New Roman;serif" w:hAnsi="Times New Roman;serif"/>
          <w:b/>
          <w:color w:val="000000"/>
          <w:sz w:val="24"/>
        </w:rPr>
        <w:t>AGTA#1</w:t>
      </w:r>
      <w:r>
        <w:rPr>
          <w:rFonts w:ascii="Times New Roman;serif" w:hAnsi="Times New Roman;serif"/>
          <w:b w:val="false"/>
          <w:color w:val="000000"/>
          <w:sz w:val="24"/>
        </w:rPr>
        <w:t xml:space="preserve">); </w:t>
      </w:r>
    </w:p>
    <w:p>
      <w:pPr>
        <w:pStyle w:val="TextBody"/>
        <w:bidi w:val="0"/>
        <w:spacing w:lineRule="auto" w:line="300" w:before="60" w:after="160"/>
        <w:ind w:left="0" w:right="0" w:hanging="720"/>
        <w:jc w:val="both"/>
        <w:rPr/>
      </w:pPr>
      <w:r>
        <w:rPr>
          <w:rFonts w:ascii="Times New Roman;serif" w:hAnsi="Times New Roman;serif"/>
          <w:b w:val="false"/>
          <w:color w:val="000000"/>
          <w:sz w:val="24"/>
        </w:rPr>
        <w:t>(2)Aircraft General Terms Agreement dated as of October 10, 1997 between the parties identified as AGTA-CAL (</w:t>
      </w:r>
      <w:r>
        <w:rPr>
          <w:rFonts w:ascii="Times New Roman;serif" w:hAnsi="Times New Roman;serif"/>
          <w:b/>
          <w:color w:val="000000"/>
          <w:sz w:val="24"/>
        </w:rPr>
        <w:t>AGTA#2</w:t>
      </w:r>
      <w:r>
        <w:rPr>
          <w:rFonts w:ascii="Times New Roman;serif" w:hAnsi="Times New Roman;serif"/>
          <w:b w:val="false"/>
          <w:color w:val="000000"/>
          <w:sz w:val="24"/>
        </w:rPr>
        <w:t xml:space="preserve">) (References (1) and (2), inclusive, are referred to collectively herein as the </w:t>
      </w:r>
      <w:r>
        <w:rPr>
          <w:rFonts w:ascii="Times New Roman;serif" w:hAnsi="Times New Roman;serif"/>
          <w:b/>
          <w:color w:val="000000"/>
          <w:sz w:val="24"/>
        </w:rPr>
        <w:t>AGTA</w:t>
      </w:r>
      <w:r>
        <w:rPr>
          <w:rFonts w:ascii="Times New Roman;serif" w:hAnsi="Times New Roman;serif"/>
          <w:b w:val="false"/>
          <w:color w:val="000000"/>
          <w:sz w:val="24"/>
        </w:rPr>
        <w:t>);</w:t>
      </w:r>
    </w:p>
    <w:p>
      <w:pPr>
        <w:pStyle w:val="TextBody"/>
        <w:bidi w:val="0"/>
        <w:spacing w:lineRule="auto" w:line="300" w:before="60" w:after="160"/>
        <w:ind w:left="0" w:right="0" w:hanging="720"/>
        <w:jc w:val="both"/>
        <w:rPr/>
      </w:pPr>
      <w:r>
        <w:rPr>
          <w:rFonts w:ascii="Times New Roman;serif" w:hAnsi="Times New Roman;serif"/>
          <w:b w:val="false"/>
          <w:color w:val="000000"/>
          <w:sz w:val="24"/>
        </w:rPr>
        <w:t>(3)Purchase Agreement No. 04815 between the parties relating to Model 787 aircraft (</w:t>
      </w:r>
      <w:r>
        <w:rPr>
          <w:rFonts w:ascii="Times New Roman;serif" w:hAnsi="Times New Roman;serif"/>
          <w:b/>
          <w:color w:val="000000"/>
          <w:sz w:val="24"/>
        </w:rPr>
        <w:t>787 Purchase Agreement</w:t>
      </w:r>
      <w:r>
        <w:rPr>
          <w:rFonts w:ascii="Times New Roman;serif" w:hAnsi="Times New Roman;serif"/>
          <w:b w:val="false"/>
          <w:color w:val="000000"/>
          <w:sz w:val="24"/>
        </w:rPr>
        <w:t>), including Letter Agreement UAL-PA-04815-LA-1802895R7 entitled “*** Matters” (</w:t>
      </w:r>
      <w:r>
        <w:rPr>
          <w:rFonts w:ascii="Times New Roman;serif" w:hAnsi="Times New Roman;serif"/>
          <w:b/>
          <w:color w:val="000000"/>
          <w:sz w:val="24"/>
        </w:rPr>
        <w:t>787 PDP Letter</w:t>
      </w:r>
      <w:r>
        <w:rPr>
          <w:rFonts w:ascii="Times New Roman;serif" w:hAnsi="Times New Roman;serif"/>
          <w:b w:val="false"/>
          <w:color w:val="000000"/>
          <w:sz w:val="24"/>
        </w:rPr>
        <w:t xml:space="preserve">); </w:t>
      </w:r>
    </w:p>
    <w:p>
      <w:pPr>
        <w:pStyle w:val="TextBody"/>
        <w:bidi w:val="0"/>
        <w:spacing w:lineRule="auto" w:line="300" w:before="60" w:after="160"/>
        <w:ind w:left="0" w:right="0" w:hanging="720"/>
        <w:jc w:val="both"/>
        <w:rPr/>
      </w:pPr>
      <w:r>
        <w:rPr>
          <w:rFonts w:ascii="Times New Roman;serif" w:hAnsi="Times New Roman;serif"/>
          <w:b w:val="false"/>
          <w:color w:val="000000"/>
          <w:sz w:val="24"/>
        </w:rPr>
        <w:t>(4)Purchase Agreement No. 03776 between the parties relating to Model 737 aircraft (</w:t>
      </w:r>
      <w:r>
        <w:rPr>
          <w:rFonts w:ascii="Times New Roman;serif" w:hAnsi="Times New Roman;serif"/>
          <w:b/>
          <w:color w:val="000000"/>
          <w:sz w:val="24"/>
        </w:rPr>
        <w:t>737 Purchase Agreement #1</w:t>
      </w:r>
      <w:r>
        <w:rPr>
          <w:rFonts w:ascii="Times New Roman;serif" w:hAnsi="Times New Roman;serif"/>
          <w:b w:val="false"/>
          <w:color w:val="000000"/>
          <w:sz w:val="24"/>
        </w:rPr>
        <w:t>), including Letter Agreement UAL-PA-03776-LA-1207637R4 entitled “*** Matters” (</w:t>
      </w:r>
      <w:r>
        <w:rPr>
          <w:rFonts w:ascii="Times New Roman;serif" w:hAnsi="Times New Roman;serif"/>
          <w:b/>
          <w:color w:val="000000"/>
          <w:sz w:val="24"/>
        </w:rPr>
        <w:t>737 PDP Letter #1</w:t>
      </w:r>
      <w:r>
        <w:rPr>
          <w:rFonts w:ascii="Times New Roman;serif" w:hAnsi="Times New Roman;serif"/>
          <w:b w:val="false"/>
          <w:color w:val="000000"/>
          <w:sz w:val="24"/>
        </w:rPr>
        <w:t xml:space="preserve">); </w:t>
      </w:r>
    </w:p>
    <w:p>
      <w:pPr>
        <w:pStyle w:val="TextBody"/>
        <w:bidi w:val="0"/>
        <w:spacing w:lineRule="auto" w:line="300" w:before="60" w:after="160"/>
        <w:ind w:left="0" w:right="0" w:hanging="720"/>
        <w:jc w:val="both"/>
        <w:rPr/>
      </w:pPr>
      <w:r>
        <w:rPr>
          <w:rFonts w:ascii="Times New Roman;serif" w:hAnsi="Times New Roman;serif"/>
          <w:b w:val="false"/>
          <w:color w:val="000000"/>
          <w:sz w:val="24"/>
        </w:rPr>
        <w:t>(5)Purchase Agreement No. 04761 between the parties relating to Model 737 aircraft (</w:t>
      </w:r>
      <w:r>
        <w:rPr>
          <w:rFonts w:ascii="Times New Roman;serif" w:hAnsi="Times New Roman;serif"/>
          <w:b/>
          <w:color w:val="000000"/>
          <w:sz w:val="24"/>
        </w:rPr>
        <w:t>737 Purchase Agreement #2</w:t>
      </w:r>
      <w:r>
        <w:rPr>
          <w:rFonts w:ascii="Times New Roman;serif" w:hAnsi="Times New Roman;serif"/>
          <w:b w:val="false"/>
          <w:color w:val="000000"/>
          <w:sz w:val="24"/>
        </w:rPr>
        <w:t>), including Letter Agreement UAL-PA-04761-LA-1801463R5 entitled “*** Matters” (</w:t>
      </w:r>
      <w:r>
        <w:rPr>
          <w:rFonts w:ascii="Times New Roman;serif" w:hAnsi="Times New Roman;serif"/>
          <w:b/>
          <w:color w:val="000000"/>
          <w:sz w:val="24"/>
        </w:rPr>
        <w:t>737 PDP Letter #2</w:t>
      </w:r>
      <w:r>
        <w:rPr>
          <w:rFonts w:ascii="Times New Roman;serif" w:hAnsi="Times New Roman;serif"/>
          <w:b w:val="false"/>
          <w:color w:val="000000"/>
          <w:sz w:val="24"/>
        </w:rPr>
        <w:t xml:space="preserve">), (References to 737 PDP Letter #1 and 737 PDP Letter #2 are referred to collectively as </w:t>
      </w:r>
      <w:r>
        <w:rPr>
          <w:rFonts w:ascii="Times New Roman;serif" w:hAnsi="Times New Roman;serif"/>
          <w:b/>
          <w:color w:val="000000"/>
          <w:sz w:val="24"/>
        </w:rPr>
        <w:t>737 PDP ***</w:t>
      </w:r>
      <w:r>
        <w:rPr>
          <w:rFonts w:ascii="Times New Roman;serif" w:hAnsi="Times New Roman;serif"/>
          <w:b w:val="false"/>
          <w:color w:val="000000"/>
          <w:sz w:val="24"/>
        </w:rPr>
        <w:t>).</w:t>
      </w:r>
    </w:p>
    <w:p>
      <w:pPr>
        <w:pStyle w:val="TextBody"/>
        <w:bidi w:val="0"/>
        <w:spacing w:lineRule="auto" w:line="283" w:before="240" w:after="160"/>
        <w:ind w:left="0" w:right="0" w:firstLine="850"/>
        <w:jc w:val="both"/>
        <w:rPr/>
      </w:pPr>
      <w:r>
        <w:rPr>
          <w:rFonts w:ascii="Times New Roman;serif" w:hAnsi="Times New Roman;serif"/>
          <w:b w:val="false"/>
          <w:color w:val="000000"/>
          <w:sz w:val="24"/>
        </w:rPr>
        <w:t>This agreement (</w:t>
      </w:r>
      <w:r>
        <w:rPr>
          <w:rFonts w:ascii="Times New Roman;serif" w:hAnsi="Times New Roman;serif"/>
          <w:b/>
          <w:color w:val="000000"/>
          <w:sz w:val="24"/>
        </w:rPr>
        <w:t>Agreement</w:t>
      </w:r>
      <w:r>
        <w:rPr>
          <w:rFonts w:ascii="Times New Roman;serif" w:hAnsi="Times New Roman;serif"/>
          <w:b w:val="false"/>
          <w:color w:val="000000"/>
          <w:sz w:val="24"/>
        </w:rPr>
        <w:t>) is between United Airlines, Inc. (</w:t>
      </w:r>
      <w:r>
        <w:rPr>
          <w:rFonts w:ascii="Times New Roman;serif" w:hAnsi="Times New Roman;serif"/>
          <w:b/>
          <w:color w:val="000000"/>
          <w:sz w:val="24"/>
        </w:rPr>
        <w:t>Customer</w:t>
      </w:r>
      <w:r>
        <w:rPr>
          <w:rFonts w:ascii="Times New Roman;serif" w:hAnsi="Times New Roman;serif"/>
          <w:b w:val="false"/>
          <w:color w:val="000000"/>
          <w:sz w:val="24"/>
        </w:rPr>
        <w:t>) and The Boeing Company (</w:t>
      </w:r>
      <w:r>
        <w:rPr>
          <w:rFonts w:ascii="Times New Roman;serif" w:hAnsi="Times New Roman;serif"/>
          <w:b/>
          <w:color w:val="000000"/>
          <w:sz w:val="24"/>
        </w:rPr>
        <w:t>Boeing</w:t>
      </w:r>
      <w:r>
        <w:rPr>
          <w:rFonts w:ascii="Times New Roman;serif" w:hAnsi="Times New Roman;serif"/>
          <w:b w:val="false"/>
          <w:color w:val="000000"/>
          <w:sz w:val="24"/>
        </w:rPr>
        <w:t xml:space="preserve">) and specifies terms regarding the *** under the terms of the 787 Purchase Agreement, the 737 Purchase Agreement #1 and the 737 Purchase Agreement #2 (collectively, the </w:t>
      </w:r>
      <w:r>
        <w:rPr>
          <w:rFonts w:ascii="Times New Roman;serif" w:hAnsi="Times New Roman;serif"/>
          <w:b/>
          <w:color w:val="000000"/>
          <w:sz w:val="24"/>
        </w:rPr>
        <w:t xml:space="preserve">Purchase Agreements </w:t>
      </w:r>
      <w:r>
        <w:rPr>
          <w:rFonts w:ascii="Times New Roman;serif" w:hAnsi="Times New Roman;serif"/>
          <w:b w:val="false"/>
          <w:color w:val="000000"/>
          <w:sz w:val="24"/>
        </w:rPr>
        <w:t xml:space="preserve">or </w:t>
      </w:r>
      <w:r>
        <w:rPr>
          <w:rFonts w:ascii="Times New Roman;serif" w:hAnsi="Times New Roman;serif"/>
          <w:b/>
          <w:color w:val="000000"/>
          <w:sz w:val="24"/>
        </w:rPr>
        <w:t>Purchase Agreement</w:t>
      </w:r>
      <w:r>
        <w:rPr>
          <w:color w:val="000000"/>
        </w:rPr>
        <w:t xml:space="preserve"> </w:t>
      </w:r>
      <w:r>
        <w:rPr>
          <w:rFonts w:ascii="Times New Roman;serif" w:hAnsi="Times New Roman;serif"/>
          <w:b w:val="false"/>
          <w:color w:val="000000"/>
          <w:sz w:val="24"/>
        </w:rPr>
        <w:t xml:space="preserve">as the context requires). All terms used but not defined in this Agreement shall have the same meaning as in the applicable Purchase Agreement or AGTA, as the context requires. </w:t>
      </w:r>
    </w:p>
    <w:p>
      <w:pPr>
        <w:pStyle w:val="TextBody"/>
        <w:bidi w:val="0"/>
        <w:spacing w:lineRule="auto" w:line="300" w:before="0" w:after="16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w:t>
      </w:r>
      <w:r>
        <w:rPr>
          <w:rFonts w:ascii="Times New Roman;serif" w:hAnsi="Times New Roman;serif"/>
          <w:b w:val="false"/>
          <w:color w:val="000000"/>
          <w:sz w:val="24"/>
        </w:rPr>
        <w:t>.</w:t>
      </w:r>
    </w:p>
    <w:p>
      <w:pPr>
        <w:pStyle w:val="TextBody"/>
        <w:bidi w:val="0"/>
        <w:spacing w:lineRule="auto" w:line="300" w:before="0" w:after="0"/>
        <w:jc w:val="both"/>
        <w:rPr>
          <w:color w:val="000000"/>
        </w:rPr>
      </w:pPr>
      <w:r>
        <w:rPr>
          <w:color w:val="000000"/>
        </w:rPr>
        <w:t>    </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300"/>
        <w:ind w:left="0" w:right="0" w:firstLine="15"/>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The rights and obligations contained in this Agreement cannot be assigned, in whole or in part, without the prior written consent of Boeing. </w:t>
      </w:r>
    </w:p>
    <w:p>
      <w:pPr>
        <w:pStyle w:val="TextBody"/>
        <w:bidi w:val="0"/>
        <w:spacing w:before="0" w:after="160"/>
        <w:jc w:val="left"/>
        <w:rPr/>
      </w:pPr>
      <w:r>
        <w:rPr/>
        <w:drawing>
          <wp:inline distT="0" distB="0" distL="0" distR="0">
            <wp:extent cx="1638300" cy="381000"/>
            <wp:effectExtent l="0" t="0" r="0" b="0"/>
            <wp:docPr id="25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0" descr=""/>
                    <pic:cNvPicPr>
                      <a:picLocks noChangeAspect="1" noChangeArrowheads="1"/>
                    </pic:cNvPicPr>
                  </pic:nvPicPr>
                  <pic:blipFill>
                    <a:blip r:embed="rId11"/>
                    <a:stretch>
                      <a:fillRect/>
                    </a:stretch>
                  </pic:blipFill>
                  <pic:spPr bwMode="auto">
                    <a:xfrm>
                      <a:off x="0" y="0"/>
                      <a:ext cx="1638300" cy="381000"/>
                    </a:xfrm>
                    <a:prstGeom prst="rect">
                      <a:avLst/>
                    </a:prstGeom>
                  </pic:spPr>
                </pic:pic>
              </a:graphicData>
            </a:graphic>
          </wp:inline>
        </w:drawing>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047115"/>
                <wp:effectExtent l="0" t="0" r="0" b="0"/>
                <wp:wrapNone/>
                <wp:docPr id="251" name="Frame241"/>
                <a:graphic xmlns:a="http://schemas.openxmlformats.org/drawingml/2006/main">
                  <a:graphicData uri="http://schemas.microsoft.com/office/word/2010/wordprocessingShape">
                    <wps:wsp>
                      <wps:cNvSpPr txBox="1"/>
                      <wps:spPr>
                        <a:xfrm>
                          <a:off x="0" y="0"/>
                          <a:ext cx="6480175" cy="1047115"/>
                        </a:xfrm>
                        <a:prstGeom prst="rect"/>
                        <a:solidFill>
                          <a:srgbClr val="FFFFFF"/>
                        </a:solidFill>
                      </wps:spPr>
                      <wps:txbx>
                        <w:txbxContent>
                          <w:p>
                            <w:pPr>
                              <w:pStyle w:val="TextBody"/>
                              <w:bidi w:val="0"/>
                              <w:spacing w:lineRule="auto" w:line="300" w:before="240" w:after="283"/>
                              <w:jc w:val="left"/>
                              <w:rPr>
                                <w:rFonts w:ascii="Times New Roman;serif" w:hAnsi="Times New Roman;serif"/>
                                <w:b w:val="false"/>
                                <w:color w:val="000000"/>
                                <w:sz w:val="24"/>
                              </w:rPr>
                            </w:pPr>
                            <w:r>
                              <w:rPr>
                                <w:rFonts w:ascii="Times New Roman;serif" w:hAnsi="Times New Roman;serif"/>
                                <w:b w:val="false"/>
                                <w:color w:val="000000"/>
                                <w:sz w:val="24"/>
                              </w:rPr>
                              <w:t>UAL-MISC-2603195        Page 1</w:t>
                            </w:r>
                            <w:r>
                              <w:br w:type="page"/>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Matters (June 2026)</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BOEING/UNITED AIRLINES, INC.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240" w:after="283"/>
                        <w:jc w:val="left"/>
                        <w:rPr>
                          <w:rFonts w:ascii="Times New Roman;serif" w:hAnsi="Times New Roman;serif"/>
                          <w:b w:val="false"/>
                          <w:color w:val="000000"/>
                          <w:sz w:val="24"/>
                        </w:rPr>
                      </w:pPr>
                      <w:r>
                        <w:rPr>
                          <w:rFonts w:ascii="Times New Roman;serif" w:hAnsi="Times New Roman;serif"/>
                          <w:b w:val="false"/>
                          <w:color w:val="000000"/>
                          <w:sz w:val="24"/>
                        </w:rPr>
                        <w:t>UAL-MISC-2603195        Page 1</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Matters (June 2026)</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BOEING/UNITED AIRLINES, INC. PROPRIETARY</w:t>
                      </w:r>
                    </w:p>
                  </w:txbxContent>
                </v:textbox>
                <w10:wrap type="none"/>
              </v:rect>
            </w:pict>
          </mc:Fallback>
        </mc:AlternateContent>
      </w:r>
    </w:p>
    <w:p>
      <w:pPr>
        <w:pStyle w:val="TextBody"/>
        <w:bidi w:val="0"/>
        <w:spacing w:before="0" w:after="160"/>
        <w:jc w:val="left"/>
        <w:rPr/>
      </w:pPr>
      <w:r>
        <w:rPr/>
      </w:r>
    </w:p>
    <w:p>
      <w:pPr>
        <w:pStyle w:val="TextBody"/>
        <w:bidi w:val="0"/>
        <w:spacing w:lineRule="auto" w:line="300" w:before="240" w:after="283"/>
        <w:ind w:left="0" w:right="0" w:firstLine="15"/>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Customer and Boeing understand that certain commercial and financial information contained in this Agreement are considered by Boeing and Customer as confidential and are subject to the terms and conditions set forth in Letter Agreement No. UAL-PA-04815-LA-1802890; Letter Agreement No. UAL-PA-03776-LA-1208234 included in 737 Purchase Agreement #1; Letter Agreement No. UAL-PA-04761-LA-1801470 included in 737 Purchase Agreement #2, as applicable.</w:t>
      </w:r>
    </w:p>
    <w:p>
      <w:pPr>
        <w:pStyle w:val="TextBody"/>
        <w:bidi w:val="0"/>
        <w:spacing w:lineRule="auto" w:line="300" w:before="240" w:after="160"/>
        <w:jc w:val="center"/>
        <w:rPr>
          <w:rFonts w:ascii="Times New Roman;serif" w:hAnsi="Times New Roman;serif"/>
          <w:b/>
          <w:i/>
          <w:color w:val="000000"/>
          <w:sz w:val="24"/>
        </w:rPr>
      </w:pPr>
      <w:r>
        <w:rPr>
          <w:rFonts w:ascii="Times New Roman;serif" w:hAnsi="Times New Roman;serif"/>
          <w:b/>
          <w:i/>
          <w:color w:val="000000"/>
          <w:sz w:val="24"/>
        </w:rPr>
        <w:t>The rest of this page is intentionally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drawing>
          <wp:inline distT="0" distB="0" distL="0" distR="0">
            <wp:extent cx="1638300" cy="381000"/>
            <wp:effectExtent l="0" t="0" r="0" b="0"/>
            <wp:docPr id="25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1" descr=""/>
                    <pic:cNvPicPr>
                      <a:picLocks noChangeAspect="1" noChangeArrowheads="1"/>
                    </pic:cNvPicPr>
                  </pic:nvPicPr>
                  <pic:blipFill>
                    <a:blip r:embed="rId12"/>
                    <a:stretch>
                      <a:fillRect/>
                    </a:stretch>
                  </pic:blipFill>
                  <pic:spPr bwMode="auto">
                    <a:xfrm>
                      <a:off x="0" y="0"/>
                      <a:ext cx="1638300" cy="381000"/>
                    </a:xfrm>
                    <a:prstGeom prst="rect">
                      <a:avLst/>
                    </a:prstGeom>
                  </pic:spPr>
                </pic:pic>
              </a:graphicData>
            </a:graphic>
          </wp:inline>
        </w:drawing>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047115"/>
                <wp:effectExtent l="0" t="0" r="0" b="0"/>
                <wp:wrapNone/>
                <wp:docPr id="253" name="Frame242"/>
                <a:graphic xmlns:a="http://schemas.openxmlformats.org/drawingml/2006/main">
                  <a:graphicData uri="http://schemas.microsoft.com/office/word/2010/wordprocessingShape">
                    <wps:wsp>
                      <wps:cNvSpPr txBox="1"/>
                      <wps:spPr>
                        <a:xfrm>
                          <a:off x="0" y="0"/>
                          <a:ext cx="6480175" cy="1047115"/>
                        </a:xfrm>
                        <a:prstGeom prst="rect"/>
                        <a:solidFill>
                          <a:srgbClr val="FFFFFF"/>
                        </a:solidFill>
                      </wps:spPr>
                      <wps:txbx>
                        <w:txbxContent>
                          <w:p>
                            <w:pPr>
                              <w:pStyle w:val="TextBody"/>
                              <w:bidi w:val="0"/>
                              <w:spacing w:lineRule="auto" w:line="300" w:before="240" w:after="283"/>
                              <w:jc w:val="left"/>
                              <w:rPr>
                                <w:rFonts w:ascii="Times New Roman;serif" w:hAnsi="Times New Roman;serif"/>
                                <w:b w:val="false"/>
                                <w:color w:val="000000"/>
                                <w:sz w:val="24"/>
                              </w:rPr>
                            </w:pPr>
                            <w:r>
                              <w:rPr>
                                <w:rFonts w:ascii="Times New Roman;serif" w:hAnsi="Times New Roman;serif"/>
                                <w:b w:val="false"/>
                                <w:color w:val="000000"/>
                                <w:sz w:val="24"/>
                              </w:rPr>
                              <w:t>UAL-MISC-2603195        Page 2</w:t>
                            </w:r>
                            <w:r>
                              <w:br w:type="page"/>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Matters (June 2026)</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BOEING/UNITED AIRLINES, INC.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240" w:after="283"/>
                        <w:jc w:val="left"/>
                        <w:rPr>
                          <w:rFonts w:ascii="Times New Roman;serif" w:hAnsi="Times New Roman;serif"/>
                          <w:b w:val="false"/>
                          <w:color w:val="000000"/>
                          <w:sz w:val="24"/>
                        </w:rPr>
                      </w:pPr>
                      <w:r>
                        <w:rPr>
                          <w:rFonts w:ascii="Times New Roman;serif" w:hAnsi="Times New Roman;serif"/>
                          <w:b w:val="false"/>
                          <w:color w:val="000000"/>
                          <w:sz w:val="24"/>
                        </w:rPr>
                        <w:t>UAL-MISC-2603195        Page 2</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Matters (June 2026)</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BOEING/UNITED AIRLINES, INC. PROPRIETARY</w:t>
                      </w:r>
                    </w:p>
                  </w:txbxContent>
                </v:textbox>
                <w10:wrap type="none"/>
              </v:rect>
            </w:pict>
          </mc:Fallback>
        </mc:AlternateContent>
      </w:r>
    </w:p>
    <w:p>
      <w:pPr>
        <w:pStyle w:val="TextBody"/>
        <w:bidi w:val="0"/>
        <w:spacing w:before="0" w:after="160"/>
        <w:jc w:val="left"/>
        <w:rPr/>
      </w:pPr>
      <w:r>
        <w:rPr/>
      </w:r>
    </w:p>
    <w:p>
      <w:pPr>
        <w:pStyle w:val="TextBody"/>
        <w:bidi w:val="0"/>
        <w:spacing w:lineRule="auto" w:line="285" w:before="240" w:after="160"/>
        <w:jc w:val="left"/>
        <w:rPr/>
      </w:pPr>
      <w:r>
        <w:rPr>
          <w:rFonts w:ascii="Times New Roman;serif" w:hAnsi="Times New Roman;serif"/>
          <w:b w:val="false"/>
          <w:color w:val="444444"/>
          <w:sz w:val="24"/>
        </w:rPr>
        <w:t>IN WITNESS WHEREOF</w:t>
      </w:r>
      <w:r>
        <w:rPr>
          <w:rFonts w:ascii="Times New Roman;serif" w:hAnsi="Times New Roman;serif"/>
          <w:b w:val="false"/>
          <w:color w:val="727272"/>
          <w:sz w:val="24"/>
        </w:rPr>
        <w:t xml:space="preserve">, </w:t>
      </w:r>
      <w:r>
        <w:rPr>
          <w:rFonts w:ascii="Times New Roman;serif" w:hAnsi="Times New Roman;serif"/>
          <w:b w:val="false"/>
          <w:color w:val="444444"/>
          <w:sz w:val="24"/>
        </w:rPr>
        <w:t>the Parties have signed this Agreement by their respective duly authorized representatives.</w:t>
      </w:r>
      <w:r>
        <w:rPr>
          <w:color w:val="3D3D3D"/>
        </w:rPr>
        <w:t xml:space="preserve"> </w:t>
      </w:r>
    </w:p>
    <w:tbl>
      <w:tblPr>
        <w:tblW w:w="3883" w:type="dxa"/>
        <w:jc w:val="left"/>
        <w:tblInd w:w="0" w:type="dxa"/>
        <w:tblLayout w:type="fixed"/>
        <w:tblCellMar>
          <w:top w:w="28" w:type="dxa"/>
          <w:left w:w="28" w:type="dxa"/>
          <w:bottom w:w="28" w:type="dxa"/>
          <w:right w:w="28" w:type="dxa"/>
        </w:tblCellMar>
      </w:tblPr>
      <w:tblGrid>
        <w:gridCol w:w="674"/>
        <w:gridCol w:w="590"/>
        <w:gridCol w:w="590"/>
        <w:gridCol w:w="590"/>
        <w:gridCol w:w="590"/>
        <w:gridCol w:w="849"/>
      </w:tblGrid>
      <w:tr>
        <w:trPr/>
        <w:tc>
          <w:tcPr>
            <w:tcW w:w="6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3883" w:type="dxa"/>
            <w:gridSpan w:val="6"/>
            <w:tcBorders/>
            <w:tcMar>
              <w:top w:w="0" w:type="dxa"/>
              <w:left w:w="0" w:type="dxa"/>
              <w:bottom w:w="0" w:type="dxa"/>
              <w:right w:w="0" w:type="dxa"/>
            </w:tcMar>
            <w:vAlign w:val="center"/>
          </w:tcPr>
          <w:p>
            <w:pPr>
              <w:pStyle w:val="TableContents"/>
              <w:bidi w:val="0"/>
              <w:spacing w:lineRule="auto" w:line="300" w:before="600" w:after="160"/>
              <w:jc w:val="left"/>
              <w:rPr>
                <w:rFonts w:ascii="Times New Roman;serif" w:hAnsi="Times New Roman;serif"/>
                <w:b w:val="false"/>
                <w:color w:val="000000"/>
                <w:sz w:val="24"/>
              </w:rPr>
            </w:pPr>
            <w:r>
              <w:rPr>
                <w:rFonts w:ascii="Times New Roman;serif" w:hAnsi="Times New Roman;serif"/>
                <w:b w:val="false"/>
                <w:color w:val="000000"/>
                <w:sz w:val="24"/>
              </w:rPr>
              <w:t>ACCEPTED AND AGREED TO this</w:t>
            </w:r>
          </w:p>
        </w:tc>
      </w:tr>
      <w:tr>
        <w:trPr/>
        <w:tc>
          <w:tcPr>
            <w:tcW w:w="3883" w:type="dxa"/>
            <w:gridSpan w:val="6"/>
            <w:tcBorders/>
            <w:tcMar>
              <w:top w:w="0" w:type="dxa"/>
              <w:left w:w="0" w:type="dxa"/>
              <w:bottom w:w="0" w:type="dxa"/>
              <w:right w:w="0" w:type="dxa"/>
            </w:tcMar>
            <w:vAlign w:val="center"/>
          </w:tcPr>
          <w:p>
            <w:pPr>
              <w:pStyle w:val="TableContents"/>
              <w:bidi w:val="0"/>
              <w:spacing w:before="0" w:after="160"/>
              <w:jc w:val="left"/>
              <w:rPr/>
            </w:pPr>
            <w:r>
              <w:rPr/>
            </w:r>
          </w:p>
        </w:tc>
      </w:tr>
      <w:tr>
        <w:trPr/>
        <w:tc>
          <w:tcPr>
            <w:tcW w:w="185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2029"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u w:val="single"/>
              </w:rPr>
            </w:pPr>
            <w:r>
              <w:rPr>
                <w:color w:val="000000"/>
                <w:u w:val="single"/>
              </w:rPr>
              <w:t>  </w:t>
            </w:r>
            <w:r>
              <w:rPr>
                <w:rFonts w:ascii="Times New Roman;serif" w:hAnsi="Times New Roman;serif"/>
                <w:b w:val="false"/>
                <w:color w:val="000000"/>
                <w:sz w:val="24"/>
                <w:u w:val="single"/>
              </w:rPr>
              <w:t>June 17, 2026</w:t>
            </w:r>
          </w:p>
        </w:tc>
      </w:tr>
      <w:tr>
        <w:trPr/>
        <w:tc>
          <w:tcPr>
            <w:tcW w:w="3883" w:type="dxa"/>
            <w:gridSpan w:val="6"/>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160"/>
        <w:jc w:val="left"/>
        <w:rPr/>
      </w:pPr>
      <w:r>
        <w:rPr/>
      </w:r>
    </w:p>
    <w:tbl>
      <w:tblPr>
        <w:tblW w:w="4375" w:type="dxa"/>
        <w:jc w:val="left"/>
        <w:tblInd w:w="0" w:type="dxa"/>
        <w:tblLayout w:type="fixed"/>
        <w:tblCellMar>
          <w:top w:w="28" w:type="dxa"/>
          <w:left w:w="28" w:type="dxa"/>
          <w:bottom w:w="28" w:type="dxa"/>
          <w:right w:w="28" w:type="dxa"/>
        </w:tblCellMar>
      </w:tblPr>
      <w:tblGrid>
        <w:gridCol w:w="521"/>
        <w:gridCol w:w="457"/>
        <w:gridCol w:w="457"/>
        <w:gridCol w:w="859"/>
        <w:gridCol w:w="859"/>
        <w:gridCol w:w="1222"/>
      </w:tblGrid>
      <w:tr>
        <w:trPr/>
        <w:tc>
          <w:tcPr>
            <w:tcW w:w="5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r>
      <w:tr>
        <w:trPr/>
        <w:tc>
          <w:tcPr>
            <w:tcW w:w="4375" w:type="dxa"/>
            <w:gridSpan w:val="6"/>
            <w:tcBorders/>
            <w:tcMar>
              <w:top w:w="0" w:type="dxa"/>
              <w:left w:w="0" w:type="dxa"/>
              <w:bottom w:w="0" w:type="dxa"/>
              <w:right w:w="0" w:type="dxa"/>
            </w:tcMar>
            <w:vAlign w:val="center"/>
          </w:tcPr>
          <w:p>
            <w:pPr>
              <w:pStyle w:val="TableContents"/>
              <w:bidi w:val="0"/>
              <w:spacing w:lineRule="auto" w:line="300" w:before="960" w:after="600"/>
              <w:jc w:val="left"/>
              <w:rPr>
                <w:rFonts w:ascii="Times New Roman;serif" w:hAnsi="Times New Roman;serif"/>
                <w:b/>
                <w:color w:val="000000"/>
                <w:sz w:val="24"/>
              </w:rPr>
            </w:pPr>
            <w:r>
              <w:rPr>
                <w:rFonts w:ascii="Times New Roman;serif" w:hAnsi="Times New Roman;serif"/>
                <w:b/>
                <w:color w:val="000000"/>
                <w:sz w:val="24"/>
              </w:rPr>
              <w:t>UNITED AIRLINES, INC.</w:t>
            </w:r>
          </w:p>
        </w:tc>
      </w:tr>
      <w:tr>
        <w:trPr/>
        <w:tc>
          <w:tcPr>
            <w:tcW w:w="4375"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/s/ John Gebo</w:t>
            </w:r>
          </w:p>
        </w:tc>
      </w:tr>
      <w:tr>
        <w:trPr/>
        <w:tc>
          <w:tcPr>
            <w:tcW w:w="4375" w:type="dxa"/>
            <w:gridSpan w:val="6"/>
            <w:tcBorders/>
            <w:tcMar>
              <w:top w:w="0" w:type="dxa"/>
              <w:left w:w="0" w:type="dxa"/>
              <w:bottom w:w="0" w:type="dxa"/>
              <w:right w:w="0" w:type="dxa"/>
            </w:tcMar>
            <w:vAlign w:val="center"/>
          </w:tcPr>
          <w:p>
            <w:pPr>
              <w:pStyle w:val="TableContents"/>
              <w:bidi w:val="0"/>
              <w:spacing w:before="0" w:after="160"/>
              <w:jc w:val="left"/>
              <w:rPr/>
            </w:pPr>
            <w:r>
              <w:rPr/>
            </w:r>
          </w:p>
        </w:tc>
      </w:tr>
      <w:tr>
        <w:trPr/>
        <w:tc>
          <w:tcPr>
            <w:tcW w:w="143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4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John Gebo</w:t>
            </w:r>
          </w:p>
        </w:tc>
      </w:tr>
      <w:tr>
        <w:trPr/>
        <w:tc>
          <w:tcPr>
            <w:tcW w:w="4375" w:type="dxa"/>
            <w:gridSpan w:val="6"/>
            <w:tcBorders/>
            <w:tcMar>
              <w:top w:w="0" w:type="dxa"/>
              <w:left w:w="0" w:type="dxa"/>
              <w:bottom w:w="0" w:type="dxa"/>
              <w:right w:w="0" w:type="dxa"/>
            </w:tcMar>
            <w:vAlign w:val="center"/>
          </w:tcPr>
          <w:p>
            <w:pPr>
              <w:pStyle w:val="TableContents"/>
              <w:bidi w:val="0"/>
              <w:spacing w:before="0" w:after="160"/>
              <w:jc w:val="left"/>
              <w:rPr/>
            </w:pPr>
            <w:r>
              <w:rPr/>
            </w:r>
          </w:p>
        </w:tc>
      </w:tr>
      <w:tr>
        <w:trPr/>
        <w:tc>
          <w:tcPr>
            <w:tcW w:w="143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294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00" w:before="0" w:after="1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SVP - Treasury, Fleet &amp; Fuel</w:t>
            </w:r>
          </w:p>
        </w:tc>
      </w:tr>
    </w:tbl>
    <w:p>
      <w:pPr>
        <w:pStyle w:val="TextBody"/>
        <w:bidi w:val="0"/>
        <w:spacing w:before="0" w:after="160"/>
        <w:jc w:val="left"/>
        <w:rPr/>
      </w:pPr>
      <w:r>
        <w:rPr/>
      </w:r>
    </w:p>
    <w:tbl>
      <w:tblPr>
        <w:tblW w:w="3409" w:type="dxa"/>
        <w:jc w:val="left"/>
        <w:tblInd w:w="0" w:type="dxa"/>
        <w:tblLayout w:type="fixed"/>
        <w:tblCellMar>
          <w:top w:w="28" w:type="dxa"/>
          <w:left w:w="28" w:type="dxa"/>
          <w:bottom w:w="28" w:type="dxa"/>
          <w:right w:w="28" w:type="dxa"/>
        </w:tblCellMar>
      </w:tblPr>
      <w:tblGrid>
        <w:gridCol w:w="525"/>
        <w:gridCol w:w="460"/>
        <w:gridCol w:w="460"/>
        <w:gridCol w:w="571"/>
        <w:gridCol w:w="571"/>
        <w:gridCol w:w="822"/>
      </w:tblGrid>
      <w:tr>
        <w:trPr/>
        <w:tc>
          <w:tcPr>
            <w:tcW w:w="5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3409" w:type="dxa"/>
            <w:gridSpan w:val="6"/>
            <w:tcBorders/>
            <w:tcMar>
              <w:top w:w="0" w:type="dxa"/>
              <w:left w:w="0" w:type="dxa"/>
              <w:bottom w:w="0" w:type="dxa"/>
              <w:right w:w="0" w:type="dxa"/>
            </w:tcMar>
            <w:vAlign w:val="center"/>
          </w:tcPr>
          <w:p>
            <w:pPr>
              <w:pStyle w:val="TableContents"/>
              <w:bidi w:val="0"/>
              <w:spacing w:lineRule="auto" w:line="300" w:before="960" w:after="600"/>
              <w:jc w:val="left"/>
              <w:rPr>
                <w:rFonts w:ascii="Times New Roman;serif" w:hAnsi="Times New Roman;serif"/>
                <w:b/>
                <w:color w:val="000000"/>
                <w:sz w:val="24"/>
              </w:rPr>
            </w:pPr>
            <w:r>
              <w:rPr>
                <w:rFonts w:ascii="Times New Roman;serif" w:hAnsi="Times New Roman;serif"/>
                <w:b/>
                <w:color w:val="000000"/>
                <w:sz w:val="24"/>
              </w:rPr>
              <w:t>THE BOEING COMPANY</w:t>
            </w:r>
          </w:p>
        </w:tc>
      </w:tr>
      <w:tr>
        <w:trPr/>
        <w:tc>
          <w:tcPr>
            <w:tcW w:w="3409" w:type="dxa"/>
            <w:gridSpan w:val="6"/>
            <w:tcBorders/>
            <w:tcMar>
              <w:top w:w="0" w:type="dxa"/>
              <w:left w:w="0" w:type="dxa"/>
              <w:bottom w:w="0" w:type="dxa"/>
              <w:right w:w="0" w:type="dxa"/>
            </w:tcMar>
            <w:vAlign w:val="center"/>
          </w:tcPr>
          <w:p>
            <w:pPr>
              <w:pStyle w:val="TableContents"/>
              <w:bidi w:val="0"/>
              <w:spacing w:before="0" w:after="160"/>
              <w:jc w:val="left"/>
              <w:rPr/>
            </w:pPr>
            <w:r>
              <w:rPr/>
            </w:r>
          </w:p>
        </w:tc>
      </w:tr>
      <w:tr>
        <w:trPr/>
        <w:tc>
          <w:tcPr>
            <w:tcW w:w="14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96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/s/ Irma L. Krueger</w:t>
            </w:r>
          </w:p>
        </w:tc>
      </w:tr>
      <w:tr>
        <w:trPr/>
        <w:tc>
          <w:tcPr>
            <w:tcW w:w="3409" w:type="dxa"/>
            <w:gridSpan w:val="6"/>
            <w:tcBorders/>
            <w:tcMar>
              <w:top w:w="0" w:type="dxa"/>
              <w:left w:w="0" w:type="dxa"/>
              <w:bottom w:w="0" w:type="dxa"/>
              <w:right w:w="0" w:type="dxa"/>
            </w:tcMar>
            <w:vAlign w:val="center"/>
          </w:tcPr>
          <w:p>
            <w:pPr>
              <w:pStyle w:val="TableContents"/>
              <w:bidi w:val="0"/>
              <w:spacing w:before="0" w:after="160"/>
              <w:jc w:val="left"/>
              <w:rPr/>
            </w:pPr>
            <w:r>
              <w:rPr/>
            </w:r>
          </w:p>
        </w:tc>
      </w:tr>
      <w:tr>
        <w:trPr/>
        <w:tc>
          <w:tcPr>
            <w:tcW w:w="14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196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Attorney-in-Fact</w:t>
            </w:r>
          </w:p>
        </w:tc>
      </w:tr>
      <w:tr>
        <w:trPr/>
        <w:tc>
          <w:tcPr>
            <w:tcW w:w="3409" w:type="dxa"/>
            <w:gridSpan w:val="6"/>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047115"/>
                <wp:effectExtent l="0" t="0" r="0" b="0"/>
                <wp:wrapNone/>
                <wp:docPr id="254" name="Frame243"/>
                <a:graphic xmlns:a="http://schemas.openxmlformats.org/drawingml/2006/main">
                  <a:graphicData uri="http://schemas.microsoft.com/office/word/2010/wordprocessingShape">
                    <wps:wsp>
                      <wps:cNvSpPr txBox="1"/>
                      <wps:spPr>
                        <a:xfrm>
                          <a:off x="0" y="0"/>
                          <a:ext cx="6480175" cy="1047115"/>
                        </a:xfrm>
                        <a:prstGeom prst="rect"/>
                        <a:solidFill>
                          <a:srgbClr val="FFFFFF"/>
                        </a:solidFill>
                      </wps:spPr>
                      <wps:txbx>
                        <w:txbxContent>
                          <w:p>
                            <w:pPr>
                              <w:pStyle w:val="TextBody"/>
                              <w:bidi w:val="0"/>
                              <w:spacing w:lineRule="auto" w:line="300" w:before="240" w:after="283"/>
                              <w:jc w:val="left"/>
                              <w:rPr>
                                <w:rFonts w:ascii="Times New Roman;serif" w:hAnsi="Times New Roman;serif"/>
                                <w:b w:val="false"/>
                                <w:color w:val="000000"/>
                                <w:sz w:val="24"/>
                              </w:rPr>
                            </w:pPr>
                            <w:r>
                              <w:rPr>
                                <w:rFonts w:ascii="Times New Roman;serif" w:hAnsi="Times New Roman;serif"/>
                                <w:b w:val="false"/>
                                <w:color w:val="000000"/>
                                <w:sz w:val="24"/>
                              </w:rPr>
                              <w:t>UAL-MISC-2603195        Page 3</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Matters (June 2026)</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BOEING/UNITED AIRLINES, INC.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240" w:after="283"/>
                        <w:jc w:val="left"/>
                        <w:rPr>
                          <w:rFonts w:ascii="Times New Roman;serif" w:hAnsi="Times New Roman;serif"/>
                          <w:b w:val="false"/>
                          <w:color w:val="000000"/>
                          <w:sz w:val="24"/>
                        </w:rPr>
                      </w:pPr>
                      <w:r>
                        <w:rPr>
                          <w:rFonts w:ascii="Times New Roman;serif" w:hAnsi="Times New Roman;serif"/>
                          <w:b w:val="false"/>
                          <w:color w:val="000000"/>
                          <w:sz w:val="24"/>
                        </w:rPr>
                        <w:t>UAL-MISC-2603195        Page 3</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Matters (June 2026)</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BOEING/UNITED AIRLINES, INC. PROPRIETARY</w:t>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10.5</w:t>
      </w:r>
    </w:p>
    <w:p>
      <w:pPr>
        <w:pStyle w:val="TextBody"/>
        <w:bidi w:val="0"/>
        <w:spacing w:before="0" w:after="160"/>
        <w:jc w:val="left"/>
        <w:rPr/>
      </w:pPr>
      <w:r>
        <w:rPr/>
        <w:drawing>
          <wp:inline distT="0" distB="0" distL="0" distR="0">
            <wp:extent cx="1638300" cy="381000"/>
            <wp:effectExtent l="0" t="0" r="0" b="0"/>
            <wp:docPr id="25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2" descr=""/>
                    <pic:cNvPicPr>
                      <a:picLocks noChangeAspect="1" noChangeArrowheads="1"/>
                    </pic:cNvPicPr>
                  </pic:nvPicPr>
                  <pic:blipFill>
                    <a:blip r:embed="rId13"/>
                    <a:stretch>
                      <a:fillRect/>
                    </a:stretch>
                  </pic:blipFill>
                  <pic:spPr bwMode="auto">
                    <a:xfrm>
                      <a:off x="0" y="0"/>
                      <a:ext cx="1638300" cy="381000"/>
                    </a:xfrm>
                    <a:prstGeom prst="rect">
                      <a:avLst/>
                    </a:prstGeom>
                  </pic:spPr>
                </pic:pic>
              </a:graphicData>
            </a:graphic>
          </wp:inline>
        </w:drawing>
      </w:r>
    </w:p>
    <w:tbl>
      <w:tblPr>
        <w:tblW w:w="1890" w:type="dxa"/>
        <w:jc w:val="left"/>
        <w:tblInd w:w="0" w:type="dxa"/>
        <w:tblLayout w:type="fixed"/>
        <w:tblCellMar>
          <w:top w:w="28" w:type="dxa"/>
          <w:left w:w="28" w:type="dxa"/>
          <w:bottom w:w="28" w:type="dxa"/>
          <w:right w:w="28" w:type="dxa"/>
        </w:tblCellMar>
      </w:tblPr>
      <w:tblGrid>
        <w:gridCol w:w="604"/>
        <w:gridCol w:w="531"/>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808080"/>
                <w:sz w:val="15"/>
              </w:rPr>
            </w:pPr>
            <w:r>
              <w:rPr>
                <w:rFonts w:ascii="Arial;sans-serif" w:hAnsi="Arial;sans-serif"/>
                <w:b w:val="false"/>
                <w:color w:val="808080"/>
                <w:sz w:val="15"/>
              </w:rPr>
              <w:t>The Boeing Company</w:t>
              <w:br/>
              <w:t>P.O. Box 3707</w:t>
              <w:br/>
              <w:t>Seattle, WA 98124-2207</w:t>
            </w:r>
          </w:p>
        </w:tc>
      </w:tr>
    </w:tbl>
    <w:p>
      <w:pPr>
        <w:pStyle w:val="TextBody"/>
        <w:bidi w:val="0"/>
        <w:spacing w:before="0" w:after="160"/>
        <w:jc w:val="left"/>
        <w:rPr/>
      </w:pPr>
      <w:r>
        <w:rPr/>
        <w:drawing>
          <wp:inline distT="0" distB="0" distL="0" distR="0">
            <wp:extent cx="6515100" cy="14605"/>
            <wp:effectExtent l="0" t="0" r="0" b="0"/>
            <wp:docPr id="25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3" descr=""/>
                    <pic:cNvPicPr>
                      <a:picLocks noChangeAspect="1" noChangeArrowheads="1"/>
                    </pic:cNvPicPr>
                  </pic:nvPicPr>
                  <pic:blipFill>
                    <a:blip r:embed="rId14"/>
                    <a:stretch>
                      <a:fillRect/>
                    </a:stretch>
                  </pic:blipFill>
                  <pic:spPr bwMode="auto">
                    <a:xfrm>
                      <a:off x="0" y="0"/>
                      <a:ext cx="6515100" cy="14605"/>
                    </a:xfrm>
                    <a:prstGeom prst="rect">
                      <a:avLst/>
                    </a:prstGeom>
                  </pic:spPr>
                </pic:pic>
              </a:graphicData>
            </a:graphic>
          </wp:inline>
        </w:drawing>
      </w:r>
    </w:p>
    <w:p>
      <w:pPr>
        <w:pStyle w:val="TextBody"/>
        <w:bidi w:val="0"/>
        <w:spacing w:before="80" w:after="160"/>
        <w:jc w:val="left"/>
        <w:rPr/>
      </w:pPr>
      <w:r>
        <w:rPr/>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UAL-MISC-2605350</w:t>
      </w:r>
    </w:p>
    <w:p>
      <w:pPr>
        <w:pStyle w:val="TextBody"/>
        <w:bidi w:val="0"/>
        <w:spacing w:lineRule="auto" w:line="288" w:before="360" w:after="283"/>
        <w:jc w:val="left"/>
        <w:rPr>
          <w:rFonts w:ascii="Times New Roman;serif" w:hAnsi="Times New Roman;serif"/>
          <w:b w:val="false"/>
          <w:color w:val="000000"/>
          <w:sz w:val="24"/>
        </w:rPr>
      </w:pPr>
      <w:r>
        <w:rPr>
          <w:rFonts w:ascii="Times New Roman;serif" w:hAnsi="Times New Roman;serif"/>
          <w:b w:val="false"/>
          <w:color w:val="000000"/>
          <w:sz w:val="24"/>
        </w:rPr>
        <w:t>United Airlines, Inc.</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233 South Wacker Drive</w:t>
      </w:r>
    </w:p>
    <w:p>
      <w:pPr>
        <w:pStyle w:val="TextBody"/>
        <w:bidi w:val="0"/>
        <w:spacing w:lineRule="auto" w:line="288" w:before="0" w:after="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 xml:space="preserve">Chicago, Illinois 60606 </w:t>
      </w:r>
    </w:p>
    <w:p>
      <w:pPr>
        <w:pStyle w:val="TextBody"/>
        <w:bidi w:val="0"/>
        <w:spacing w:lineRule="auto" w:line="300" w:before="480" w:after="160"/>
        <w:ind w:left="0" w:right="0" w:hanging="907"/>
        <w:jc w:val="left"/>
        <w:rPr>
          <w:rFonts w:ascii="Times New Roman;serif" w:hAnsi="Times New Roman;serif"/>
          <w:b w:val="false"/>
          <w:color w:val="000000"/>
          <w:sz w:val="24"/>
        </w:rPr>
      </w:pPr>
      <w:r>
        <w:rPr>
          <w:rFonts w:ascii="Times New Roman;serif" w:hAnsi="Times New Roman;serif"/>
          <w:b w:val="false"/>
          <w:color w:val="000000"/>
          <w:sz w:val="24"/>
        </w:rPr>
        <w:t>Subject:    *** Matters (September 2026)</w:t>
      </w:r>
    </w:p>
    <w:p>
      <w:pPr>
        <w:pStyle w:val="TextBody"/>
        <w:bidi w:val="0"/>
        <w:spacing w:lineRule="auto" w:line="300" w:before="240" w:after="160"/>
        <w:ind w:left="0" w:right="0" w:hanging="1710"/>
        <w:jc w:val="both"/>
        <w:rPr>
          <w:rFonts w:ascii="Times New Roman;serif" w:hAnsi="Times New Roman;serif"/>
          <w:b w:val="false"/>
          <w:color w:val="000000"/>
          <w:sz w:val="24"/>
        </w:rPr>
      </w:pPr>
      <w:r>
        <w:rPr>
          <w:rFonts w:ascii="Times New Roman;serif" w:hAnsi="Times New Roman;serif"/>
          <w:b w:val="false"/>
          <w:color w:val="000000"/>
          <w:sz w:val="24"/>
        </w:rPr>
        <w:t>References:    </w:t>
      </w:r>
    </w:p>
    <w:p>
      <w:pPr>
        <w:pStyle w:val="TextBody"/>
        <w:bidi w:val="0"/>
        <w:spacing w:lineRule="auto" w:line="300" w:before="60" w:after="160"/>
        <w:ind w:left="0" w:right="0" w:hanging="720"/>
        <w:jc w:val="both"/>
        <w:rPr/>
      </w:pPr>
      <w:r>
        <w:rPr>
          <w:rFonts w:ascii="Times New Roman;serif" w:hAnsi="Times New Roman;serif"/>
          <w:b w:val="false"/>
          <w:color w:val="000000"/>
          <w:sz w:val="24"/>
        </w:rPr>
        <w:t>(1)Aircraft General Terms Agreement dated as of July 12, 2012 between Boeing and United Continental Holdings, Inc. identified as UCH-AGTA (</w:t>
      </w:r>
      <w:r>
        <w:rPr>
          <w:rFonts w:ascii="Times New Roman;serif" w:hAnsi="Times New Roman;serif"/>
          <w:b/>
          <w:color w:val="000000"/>
          <w:sz w:val="24"/>
        </w:rPr>
        <w:t>AGTA#1</w:t>
      </w:r>
      <w:r>
        <w:rPr>
          <w:rFonts w:ascii="Times New Roman;serif" w:hAnsi="Times New Roman;serif"/>
          <w:b w:val="false"/>
          <w:color w:val="000000"/>
          <w:sz w:val="24"/>
        </w:rPr>
        <w:t xml:space="preserve">); </w:t>
      </w:r>
    </w:p>
    <w:p>
      <w:pPr>
        <w:pStyle w:val="TextBody"/>
        <w:bidi w:val="0"/>
        <w:spacing w:lineRule="auto" w:line="300" w:before="60" w:after="160"/>
        <w:ind w:left="0" w:right="0" w:hanging="720"/>
        <w:jc w:val="both"/>
        <w:rPr/>
      </w:pPr>
      <w:r>
        <w:rPr>
          <w:rFonts w:ascii="Times New Roman;serif" w:hAnsi="Times New Roman;serif"/>
          <w:b w:val="false"/>
          <w:color w:val="000000"/>
          <w:sz w:val="24"/>
        </w:rPr>
        <w:t>(2)Aircraft General Terms Agreement dated as of October 10, 1997 between the parties identified as AGTA-CAL (</w:t>
      </w:r>
      <w:r>
        <w:rPr>
          <w:rFonts w:ascii="Times New Roman;serif" w:hAnsi="Times New Roman;serif"/>
          <w:b/>
          <w:color w:val="000000"/>
          <w:sz w:val="24"/>
        </w:rPr>
        <w:t>AGTA#2</w:t>
      </w:r>
      <w:r>
        <w:rPr>
          <w:rFonts w:ascii="Times New Roman;serif" w:hAnsi="Times New Roman;serif"/>
          <w:b w:val="false"/>
          <w:color w:val="000000"/>
          <w:sz w:val="24"/>
        </w:rPr>
        <w:t xml:space="preserve">) (References (1) and (2), inclusive, are referred to collectively herein as the </w:t>
      </w:r>
      <w:r>
        <w:rPr>
          <w:rFonts w:ascii="Times New Roman;serif" w:hAnsi="Times New Roman;serif"/>
          <w:b/>
          <w:color w:val="000000"/>
          <w:sz w:val="24"/>
        </w:rPr>
        <w:t>AGTA</w:t>
      </w:r>
      <w:r>
        <w:rPr>
          <w:rFonts w:ascii="Times New Roman;serif" w:hAnsi="Times New Roman;serif"/>
          <w:b w:val="false"/>
          <w:color w:val="000000"/>
          <w:sz w:val="24"/>
        </w:rPr>
        <w:t>);</w:t>
      </w:r>
    </w:p>
    <w:p>
      <w:pPr>
        <w:pStyle w:val="TextBody"/>
        <w:bidi w:val="0"/>
        <w:spacing w:lineRule="auto" w:line="300" w:before="60" w:after="160"/>
        <w:ind w:left="0" w:right="0" w:hanging="720"/>
        <w:jc w:val="both"/>
        <w:rPr/>
      </w:pPr>
      <w:r>
        <w:rPr>
          <w:rFonts w:ascii="Times New Roman;serif" w:hAnsi="Times New Roman;serif"/>
          <w:b w:val="false"/>
          <w:color w:val="000000"/>
          <w:sz w:val="24"/>
        </w:rPr>
        <w:t>(3)Purchase Agreement No. 04815 between the parties relating to Model 787 aircraft (</w:t>
      </w:r>
      <w:r>
        <w:rPr>
          <w:rFonts w:ascii="Times New Roman;serif" w:hAnsi="Times New Roman;serif"/>
          <w:b/>
          <w:color w:val="000000"/>
          <w:sz w:val="24"/>
        </w:rPr>
        <w:t>787 Purchase Agreement</w:t>
      </w:r>
      <w:r>
        <w:rPr>
          <w:rFonts w:ascii="Times New Roman;serif" w:hAnsi="Times New Roman;serif"/>
          <w:b w:val="false"/>
          <w:color w:val="000000"/>
          <w:sz w:val="24"/>
        </w:rPr>
        <w:t>), including Letter Agreement UAL-PA-04815-LA-1802895R7 entitled “*** Matters” (</w:t>
      </w:r>
      <w:r>
        <w:rPr>
          <w:rFonts w:ascii="Times New Roman;serif" w:hAnsi="Times New Roman;serif"/>
          <w:b/>
          <w:color w:val="000000"/>
          <w:sz w:val="24"/>
        </w:rPr>
        <w:t>787 PDP Letter</w:t>
      </w:r>
      <w:r>
        <w:rPr>
          <w:rFonts w:ascii="Times New Roman;serif" w:hAnsi="Times New Roman;serif"/>
          <w:b w:val="false"/>
          <w:color w:val="000000"/>
          <w:sz w:val="24"/>
        </w:rPr>
        <w:t xml:space="preserve">); </w:t>
      </w:r>
    </w:p>
    <w:p>
      <w:pPr>
        <w:pStyle w:val="TextBody"/>
        <w:bidi w:val="0"/>
        <w:spacing w:lineRule="auto" w:line="300" w:before="60" w:after="160"/>
        <w:ind w:left="0" w:right="0" w:hanging="720"/>
        <w:jc w:val="both"/>
        <w:rPr/>
      </w:pPr>
      <w:r>
        <w:rPr>
          <w:rFonts w:ascii="Times New Roman;serif" w:hAnsi="Times New Roman;serif"/>
          <w:b w:val="false"/>
          <w:color w:val="000000"/>
          <w:sz w:val="24"/>
        </w:rPr>
        <w:t>(4)Purchase Agreement No. 03776 between the parties relating to Model 737 aircraft (</w:t>
      </w:r>
      <w:r>
        <w:rPr>
          <w:rFonts w:ascii="Times New Roman;serif" w:hAnsi="Times New Roman;serif"/>
          <w:b/>
          <w:color w:val="000000"/>
          <w:sz w:val="24"/>
        </w:rPr>
        <w:t>737 Purchase Agreement #1</w:t>
      </w:r>
      <w:r>
        <w:rPr>
          <w:rFonts w:ascii="Times New Roman;serif" w:hAnsi="Times New Roman;serif"/>
          <w:b w:val="false"/>
          <w:color w:val="000000"/>
          <w:sz w:val="24"/>
        </w:rPr>
        <w:t>), including Letter Agreement UAL-PA-03776-LA-1207637R4 entitled “*** Matters” (</w:t>
      </w:r>
      <w:r>
        <w:rPr>
          <w:rFonts w:ascii="Times New Roman;serif" w:hAnsi="Times New Roman;serif"/>
          <w:b/>
          <w:color w:val="000000"/>
          <w:sz w:val="24"/>
        </w:rPr>
        <w:t>737 PDP Letter #1</w:t>
      </w:r>
      <w:r>
        <w:rPr>
          <w:rFonts w:ascii="Times New Roman;serif" w:hAnsi="Times New Roman;serif"/>
          <w:b w:val="false"/>
          <w:color w:val="000000"/>
          <w:sz w:val="24"/>
        </w:rPr>
        <w:t xml:space="preserve">); </w:t>
      </w:r>
    </w:p>
    <w:p>
      <w:pPr>
        <w:pStyle w:val="TextBody"/>
        <w:bidi w:val="0"/>
        <w:spacing w:lineRule="auto" w:line="300" w:before="60" w:after="160"/>
        <w:ind w:left="0" w:right="0" w:hanging="720"/>
        <w:jc w:val="both"/>
        <w:rPr/>
      </w:pPr>
      <w:r>
        <w:rPr>
          <w:rFonts w:ascii="Times New Roman;serif" w:hAnsi="Times New Roman;serif"/>
          <w:b w:val="false"/>
          <w:color w:val="000000"/>
          <w:sz w:val="24"/>
        </w:rPr>
        <w:t>(5)Purchase Agreement No. 04761 between the parties relating to Model 737 aircraft (</w:t>
      </w:r>
      <w:r>
        <w:rPr>
          <w:rFonts w:ascii="Times New Roman;serif" w:hAnsi="Times New Roman;serif"/>
          <w:b/>
          <w:color w:val="000000"/>
          <w:sz w:val="24"/>
        </w:rPr>
        <w:t>737 Purchase Agreement #2</w:t>
      </w:r>
      <w:r>
        <w:rPr>
          <w:rFonts w:ascii="Times New Roman;serif" w:hAnsi="Times New Roman;serif"/>
          <w:b w:val="false"/>
          <w:color w:val="000000"/>
          <w:sz w:val="24"/>
        </w:rPr>
        <w:t>), including Letter Agreement UAL-PA-04761-LA-1801463R5 entitled “*** Matters” (</w:t>
      </w:r>
      <w:r>
        <w:rPr>
          <w:rFonts w:ascii="Times New Roman;serif" w:hAnsi="Times New Roman;serif"/>
          <w:b/>
          <w:color w:val="000000"/>
          <w:sz w:val="24"/>
        </w:rPr>
        <w:t>737 PDP Letter #2</w:t>
      </w:r>
      <w:r>
        <w:rPr>
          <w:rFonts w:ascii="Times New Roman;serif" w:hAnsi="Times New Roman;serif"/>
          <w:b w:val="false"/>
          <w:color w:val="000000"/>
          <w:sz w:val="24"/>
        </w:rPr>
        <w:t xml:space="preserve">), (References to 737 PDP Letter #1 and 737 PDP Letter #2 are referred to collectively as </w:t>
      </w:r>
      <w:r>
        <w:rPr>
          <w:rFonts w:ascii="Times New Roman;serif" w:hAnsi="Times New Roman;serif"/>
          <w:b/>
          <w:color w:val="000000"/>
          <w:sz w:val="24"/>
        </w:rPr>
        <w:t>737 PDP ***</w:t>
      </w:r>
      <w:r>
        <w:rPr>
          <w:rFonts w:ascii="Times New Roman;serif" w:hAnsi="Times New Roman;serif"/>
          <w:b w:val="false"/>
          <w:color w:val="000000"/>
          <w:sz w:val="24"/>
        </w:rPr>
        <w:t>).</w:t>
      </w:r>
    </w:p>
    <w:p>
      <w:pPr>
        <w:pStyle w:val="TextBody"/>
        <w:bidi w:val="0"/>
        <w:spacing w:lineRule="auto" w:line="283" w:before="240" w:after="160"/>
        <w:ind w:left="0" w:right="0" w:firstLine="850"/>
        <w:jc w:val="both"/>
        <w:rPr/>
      </w:pPr>
      <w:r>
        <w:rPr>
          <w:rFonts w:ascii="Times New Roman;serif" w:hAnsi="Times New Roman;serif"/>
          <w:b w:val="false"/>
          <w:color w:val="000000"/>
          <w:sz w:val="24"/>
        </w:rPr>
        <w:t>This agreement (</w:t>
      </w:r>
      <w:r>
        <w:rPr>
          <w:rFonts w:ascii="Times New Roman;serif" w:hAnsi="Times New Roman;serif"/>
          <w:b/>
          <w:color w:val="000000"/>
          <w:sz w:val="24"/>
        </w:rPr>
        <w:t>Agreement</w:t>
      </w:r>
      <w:r>
        <w:rPr>
          <w:rFonts w:ascii="Times New Roman;serif" w:hAnsi="Times New Roman;serif"/>
          <w:b w:val="false"/>
          <w:color w:val="000000"/>
          <w:sz w:val="24"/>
        </w:rPr>
        <w:t>) is between United Airlines, Inc. (</w:t>
      </w:r>
      <w:r>
        <w:rPr>
          <w:rFonts w:ascii="Times New Roman;serif" w:hAnsi="Times New Roman;serif"/>
          <w:b/>
          <w:color w:val="000000"/>
          <w:sz w:val="24"/>
        </w:rPr>
        <w:t>Customer</w:t>
      </w:r>
      <w:r>
        <w:rPr>
          <w:rFonts w:ascii="Times New Roman;serif" w:hAnsi="Times New Roman;serif"/>
          <w:b w:val="false"/>
          <w:color w:val="000000"/>
          <w:sz w:val="24"/>
        </w:rPr>
        <w:t>) and The Boeing Company (</w:t>
      </w:r>
      <w:r>
        <w:rPr>
          <w:rFonts w:ascii="Times New Roman;serif" w:hAnsi="Times New Roman;serif"/>
          <w:b/>
          <w:color w:val="000000"/>
          <w:sz w:val="24"/>
        </w:rPr>
        <w:t>Boeing</w:t>
      </w:r>
      <w:r>
        <w:rPr>
          <w:rFonts w:ascii="Times New Roman;serif" w:hAnsi="Times New Roman;serif"/>
          <w:b w:val="false"/>
          <w:color w:val="000000"/>
          <w:sz w:val="24"/>
        </w:rPr>
        <w:t xml:space="preserve">) and specifies terms regarding the *** under the terms of the 787 Purchase Agreement, the 737 Purchase Agreement #1 and the 737 Purchase Agreement #2 (collectively, the </w:t>
      </w:r>
      <w:r>
        <w:rPr>
          <w:rFonts w:ascii="Times New Roman;serif" w:hAnsi="Times New Roman;serif"/>
          <w:b/>
          <w:color w:val="000000"/>
          <w:sz w:val="24"/>
        </w:rPr>
        <w:t xml:space="preserve">Purchase Agreements </w:t>
      </w:r>
      <w:r>
        <w:rPr>
          <w:rFonts w:ascii="Times New Roman;serif" w:hAnsi="Times New Roman;serif"/>
          <w:b w:val="false"/>
          <w:color w:val="000000"/>
          <w:sz w:val="24"/>
        </w:rPr>
        <w:t xml:space="preserve">or </w:t>
      </w:r>
      <w:r>
        <w:rPr>
          <w:rFonts w:ascii="Times New Roman;serif" w:hAnsi="Times New Roman;serif"/>
          <w:b/>
          <w:color w:val="000000"/>
          <w:sz w:val="24"/>
        </w:rPr>
        <w:t>Purchase Agreement</w:t>
      </w:r>
      <w:r>
        <w:rPr>
          <w:color w:val="000000"/>
        </w:rPr>
        <w:t xml:space="preserve"> </w:t>
      </w:r>
      <w:r>
        <w:rPr>
          <w:rFonts w:ascii="Times New Roman;serif" w:hAnsi="Times New Roman;serif"/>
          <w:b w:val="false"/>
          <w:color w:val="000000"/>
          <w:sz w:val="24"/>
        </w:rPr>
        <w:t xml:space="preserve">as the context requires). All terms used but not defined in this Agreement shall have the same meaning as in the applicable Purchase Agreement or AGTA, as the context requires. </w:t>
      </w:r>
    </w:p>
    <w:p>
      <w:pPr>
        <w:pStyle w:val="TextBody"/>
        <w:bidi w:val="0"/>
        <w:spacing w:lineRule="auto" w:line="300" w:before="0" w:after="16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w:t>
      </w:r>
      <w:r>
        <w:rPr>
          <w:rFonts w:ascii="Times New Roman;serif" w:hAnsi="Times New Roman;serif"/>
          <w:b w:val="false"/>
          <w:color w:val="000000"/>
          <w:sz w:val="24"/>
        </w:rPr>
        <w:t>.</w:t>
      </w:r>
    </w:p>
    <w:p>
      <w:pPr>
        <w:pStyle w:val="TextBody"/>
        <w:bidi w:val="0"/>
        <w:spacing w:lineRule="auto" w:line="300" w:before="0" w:after="0"/>
        <w:jc w:val="both"/>
        <w:rPr>
          <w:color w:val="000000"/>
        </w:rPr>
      </w:pPr>
      <w:r>
        <w:rPr>
          <w:color w:val="000000"/>
        </w:rPr>
        <w:t>    </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300" w:before="0" w:after="0"/>
        <w:ind w:left="0" w:right="0" w:firstLine="15"/>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Assignment</w:t>
      </w:r>
      <w:r>
        <w:rPr>
          <w:rFonts w:ascii="Times New Roman;serif" w:hAnsi="Times New Roman;serif"/>
          <w:b w:val="false"/>
          <w:color w:val="000000"/>
          <w:sz w:val="24"/>
        </w:rPr>
        <w:t>. The rights and obligations contained in this Agreement cannot be assigned, in whole or in part, without the prior written consent of Boeing.</w:t>
      </w:r>
    </w:p>
    <w:p>
      <w:pPr>
        <w:pStyle w:val="TextBody"/>
        <w:bidi w:val="0"/>
        <w:spacing w:before="111" w:after="160"/>
        <w:ind w:left="0" w:right="0" w:firstLine="375"/>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047115"/>
                <wp:effectExtent l="0" t="0" r="0" b="0"/>
                <wp:wrapNone/>
                <wp:docPr id="257" name="Frame244"/>
                <a:graphic xmlns:a="http://schemas.openxmlformats.org/drawingml/2006/main">
                  <a:graphicData uri="http://schemas.microsoft.com/office/word/2010/wordprocessingShape">
                    <wps:wsp>
                      <wps:cNvSpPr txBox="1"/>
                      <wps:spPr>
                        <a:xfrm>
                          <a:off x="0" y="0"/>
                          <a:ext cx="6480175" cy="1047115"/>
                        </a:xfrm>
                        <a:prstGeom prst="rect"/>
                        <a:solidFill>
                          <a:srgbClr val="FFFFFF"/>
                        </a:solidFill>
                      </wps:spPr>
                      <wps:txbx>
                        <w:txbxContent>
                          <w:p>
                            <w:pPr>
                              <w:pStyle w:val="TextBody"/>
                              <w:bidi w:val="0"/>
                              <w:spacing w:lineRule="auto" w:line="300" w:before="240" w:after="283"/>
                              <w:jc w:val="left"/>
                              <w:rPr>
                                <w:rFonts w:ascii="Times New Roman;serif" w:hAnsi="Times New Roman;serif"/>
                                <w:b w:val="false"/>
                                <w:color w:val="000000"/>
                                <w:sz w:val="24"/>
                              </w:rPr>
                            </w:pPr>
                            <w:r>
                              <w:rPr>
                                <w:rFonts w:ascii="Times New Roman;serif" w:hAnsi="Times New Roman;serif"/>
                                <w:b w:val="false"/>
                                <w:color w:val="000000"/>
                                <w:sz w:val="24"/>
                              </w:rPr>
                              <w:t>UAL-MISC-2605350        Page 1</w:t>
                            </w:r>
                            <w:r>
                              <w:br w:type="page"/>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Matters (September 2026)</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BOEING/UNITED AIRLINES, INC.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240" w:after="283"/>
                        <w:jc w:val="left"/>
                        <w:rPr>
                          <w:rFonts w:ascii="Times New Roman;serif" w:hAnsi="Times New Roman;serif"/>
                          <w:b w:val="false"/>
                          <w:color w:val="000000"/>
                          <w:sz w:val="24"/>
                        </w:rPr>
                      </w:pPr>
                      <w:r>
                        <w:rPr>
                          <w:rFonts w:ascii="Times New Roman;serif" w:hAnsi="Times New Roman;serif"/>
                          <w:b w:val="false"/>
                          <w:color w:val="000000"/>
                          <w:sz w:val="24"/>
                        </w:rPr>
                        <w:t>UAL-MISC-2605350        Page 1</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Matters (September 2026)</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BOEING/UNITED AIRLINES, INC. PROPRIETARY</w:t>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10.5</w:t>
      </w:r>
    </w:p>
    <w:p>
      <w:pPr>
        <w:pStyle w:val="TextBody"/>
        <w:bidi w:val="0"/>
        <w:spacing w:before="0" w:after="160"/>
        <w:jc w:val="left"/>
        <w:rPr/>
      </w:pPr>
      <w:r>
        <w:rPr/>
        <w:drawing>
          <wp:inline distT="0" distB="0" distL="0" distR="0">
            <wp:extent cx="1638300" cy="381000"/>
            <wp:effectExtent l="0" t="0" r="0" b="0"/>
            <wp:docPr id="25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4" descr=""/>
                    <pic:cNvPicPr>
                      <a:picLocks noChangeAspect="1" noChangeArrowheads="1"/>
                    </pic:cNvPicPr>
                  </pic:nvPicPr>
                  <pic:blipFill>
                    <a:blip r:embed="rId15"/>
                    <a:stretch>
                      <a:fillRect/>
                    </a:stretch>
                  </pic:blipFill>
                  <pic:spPr bwMode="auto">
                    <a:xfrm>
                      <a:off x="0" y="0"/>
                      <a:ext cx="1638300" cy="381000"/>
                    </a:xfrm>
                    <a:prstGeom prst="rect">
                      <a:avLst/>
                    </a:prstGeom>
                  </pic:spPr>
                </pic:pic>
              </a:graphicData>
            </a:graphic>
          </wp:inline>
        </w:drawing>
      </w:r>
    </w:p>
    <w:tbl>
      <w:tblPr>
        <w:tblW w:w="1890" w:type="dxa"/>
        <w:jc w:val="left"/>
        <w:tblInd w:w="0" w:type="dxa"/>
        <w:tblLayout w:type="fixed"/>
        <w:tblCellMar>
          <w:top w:w="28" w:type="dxa"/>
          <w:left w:w="28" w:type="dxa"/>
          <w:bottom w:w="28" w:type="dxa"/>
          <w:right w:w="28" w:type="dxa"/>
        </w:tblCellMar>
      </w:tblPr>
      <w:tblGrid>
        <w:gridCol w:w="604"/>
        <w:gridCol w:w="531"/>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808080"/>
                <w:sz w:val="15"/>
              </w:rPr>
            </w:pPr>
            <w:r>
              <w:rPr>
                <w:rFonts w:ascii="Arial;sans-serif" w:hAnsi="Arial;sans-serif"/>
                <w:b w:val="false"/>
                <w:color w:val="808080"/>
                <w:sz w:val="15"/>
              </w:rPr>
              <w:t>The Boeing Company</w:t>
              <w:br/>
              <w:t>P.O. Box 3707</w:t>
              <w:br/>
              <w:t>Seattle, WA 98124-2207</w:t>
            </w:r>
          </w:p>
        </w:tc>
      </w:tr>
    </w:tbl>
    <w:p>
      <w:pPr>
        <w:pStyle w:val="TextBody"/>
        <w:bidi w:val="0"/>
        <w:spacing w:before="0" w:after="160"/>
        <w:jc w:val="left"/>
        <w:rPr/>
      </w:pPr>
      <w:r>
        <w:rPr/>
        <w:drawing>
          <wp:inline distT="0" distB="0" distL="0" distR="0">
            <wp:extent cx="6515100" cy="14605"/>
            <wp:effectExtent l="0" t="0" r="0" b="0"/>
            <wp:docPr id="25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5" descr=""/>
                    <pic:cNvPicPr>
                      <a:picLocks noChangeAspect="1" noChangeArrowheads="1"/>
                    </pic:cNvPicPr>
                  </pic:nvPicPr>
                  <pic:blipFill>
                    <a:blip r:embed="rId16"/>
                    <a:stretch>
                      <a:fillRect/>
                    </a:stretch>
                  </pic:blipFill>
                  <pic:spPr bwMode="auto">
                    <a:xfrm>
                      <a:off x="0" y="0"/>
                      <a:ext cx="6515100" cy="14605"/>
                    </a:xfrm>
                    <a:prstGeom prst="rect">
                      <a:avLst/>
                    </a:prstGeom>
                  </pic:spPr>
                </pic:pic>
              </a:graphicData>
            </a:graphic>
          </wp:inline>
        </w:drawing>
      </w:r>
    </w:p>
    <w:p>
      <w:pPr>
        <w:pStyle w:val="TextBody"/>
        <w:bidi w:val="0"/>
        <w:spacing w:before="111" w:after="160"/>
        <w:ind w:left="0" w:right="0" w:firstLine="2"/>
        <w:jc w:val="both"/>
        <w:rPr/>
      </w:pPr>
      <w:r>
        <w:rPr/>
      </w:r>
    </w:p>
    <w:p>
      <w:pPr>
        <w:pStyle w:val="TextBody"/>
        <w:bidi w:val="0"/>
        <w:spacing w:lineRule="auto" w:line="300" w:before="0" w:after="160"/>
        <w:jc w:val="left"/>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Customer and Boeing understand that certain commercial and financial information contained in this Agreement are considered by Boeing and Customer as confidential and are subject to the terms and conditions set forth in Letter Agreement No. UAL-PA-04815-LA-1802890; Letter Agreement No. UAL-PA-03776-LA-1208234 included in 737 Purchase Agreement #1; Letter Agreement No. UAL-PA-04761-LA-1801470 included in 737 Purchase Agreement #2, as applicable.</w:t>
      </w:r>
    </w:p>
    <w:p>
      <w:pPr>
        <w:pStyle w:val="TextBody"/>
        <w:bidi w:val="0"/>
        <w:spacing w:before="0" w:after="16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047115"/>
                <wp:effectExtent l="0" t="0" r="0" b="0"/>
                <wp:wrapNone/>
                <wp:docPr id="260" name="Frame245"/>
                <a:graphic xmlns:a="http://schemas.openxmlformats.org/drawingml/2006/main">
                  <a:graphicData uri="http://schemas.microsoft.com/office/word/2010/wordprocessingShape">
                    <wps:wsp>
                      <wps:cNvSpPr txBox="1"/>
                      <wps:spPr>
                        <a:xfrm>
                          <a:off x="0" y="0"/>
                          <a:ext cx="6480175" cy="1047115"/>
                        </a:xfrm>
                        <a:prstGeom prst="rect"/>
                        <a:solidFill>
                          <a:srgbClr val="FFFFFF"/>
                        </a:solidFill>
                      </wps:spPr>
                      <wps:txbx>
                        <w:txbxContent>
                          <w:p>
                            <w:pPr>
                              <w:pStyle w:val="TextBody"/>
                              <w:bidi w:val="0"/>
                              <w:spacing w:lineRule="auto" w:line="300" w:before="240" w:after="283"/>
                              <w:jc w:val="left"/>
                              <w:rPr>
                                <w:rFonts w:ascii="Times New Roman;serif" w:hAnsi="Times New Roman;serif"/>
                                <w:b w:val="false"/>
                                <w:color w:val="000000"/>
                                <w:sz w:val="24"/>
                              </w:rPr>
                            </w:pPr>
                            <w:r>
                              <w:rPr>
                                <w:rFonts w:ascii="Times New Roman;serif" w:hAnsi="Times New Roman;serif"/>
                                <w:b w:val="false"/>
                                <w:color w:val="000000"/>
                                <w:sz w:val="24"/>
                              </w:rPr>
                              <w:t>UAL-MISC-2605350        Page 2</w:t>
                            </w:r>
                            <w:r>
                              <w:br w:type="page"/>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Matters (September 2026)</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BOEING/UNITED AIRLINES, INC.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240" w:after="283"/>
                        <w:jc w:val="left"/>
                        <w:rPr>
                          <w:rFonts w:ascii="Times New Roman;serif" w:hAnsi="Times New Roman;serif"/>
                          <w:b w:val="false"/>
                          <w:color w:val="000000"/>
                          <w:sz w:val="24"/>
                        </w:rPr>
                      </w:pPr>
                      <w:r>
                        <w:rPr>
                          <w:rFonts w:ascii="Times New Roman;serif" w:hAnsi="Times New Roman;serif"/>
                          <w:b w:val="false"/>
                          <w:color w:val="000000"/>
                          <w:sz w:val="24"/>
                        </w:rPr>
                        <w:t>UAL-MISC-2605350        Page 2</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Matters (September 2026)</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BOEING/UNITED AIRLINES, INC. PROPRIETARY</w:t>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10.5</w:t>
      </w:r>
    </w:p>
    <w:p>
      <w:pPr>
        <w:pStyle w:val="TextBody"/>
        <w:bidi w:val="0"/>
        <w:spacing w:before="0" w:after="160"/>
        <w:jc w:val="left"/>
        <w:rPr/>
      </w:pPr>
      <w:r>
        <w:rPr/>
        <w:drawing>
          <wp:inline distT="0" distB="0" distL="0" distR="0">
            <wp:extent cx="1638300" cy="381000"/>
            <wp:effectExtent l="0" t="0" r="0" b="0"/>
            <wp:docPr id="26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6" descr=""/>
                    <pic:cNvPicPr>
                      <a:picLocks noChangeAspect="1" noChangeArrowheads="1"/>
                    </pic:cNvPicPr>
                  </pic:nvPicPr>
                  <pic:blipFill>
                    <a:blip r:embed="rId17"/>
                    <a:stretch>
                      <a:fillRect/>
                    </a:stretch>
                  </pic:blipFill>
                  <pic:spPr bwMode="auto">
                    <a:xfrm>
                      <a:off x="0" y="0"/>
                      <a:ext cx="1638300" cy="381000"/>
                    </a:xfrm>
                    <a:prstGeom prst="rect">
                      <a:avLst/>
                    </a:prstGeom>
                  </pic:spPr>
                </pic:pic>
              </a:graphicData>
            </a:graphic>
          </wp:inline>
        </w:drawing>
      </w:r>
    </w:p>
    <w:tbl>
      <w:tblPr>
        <w:tblW w:w="1890" w:type="dxa"/>
        <w:jc w:val="left"/>
        <w:tblInd w:w="0" w:type="dxa"/>
        <w:tblLayout w:type="fixed"/>
        <w:tblCellMar>
          <w:top w:w="28" w:type="dxa"/>
          <w:left w:w="28" w:type="dxa"/>
          <w:bottom w:w="28" w:type="dxa"/>
          <w:right w:w="28" w:type="dxa"/>
        </w:tblCellMar>
      </w:tblPr>
      <w:tblGrid>
        <w:gridCol w:w="604"/>
        <w:gridCol w:w="531"/>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808080"/>
                <w:sz w:val="15"/>
              </w:rPr>
            </w:pPr>
            <w:r>
              <w:rPr>
                <w:rFonts w:ascii="Arial;sans-serif" w:hAnsi="Arial;sans-serif"/>
                <w:b w:val="false"/>
                <w:color w:val="808080"/>
                <w:sz w:val="15"/>
              </w:rPr>
              <w:t>The Boeing Company</w:t>
              <w:br/>
              <w:t>P.O. Box 3707</w:t>
              <w:br/>
              <w:t>Seattle, WA 98124-2207</w:t>
            </w:r>
          </w:p>
        </w:tc>
      </w:tr>
    </w:tbl>
    <w:p>
      <w:pPr>
        <w:pStyle w:val="TextBody"/>
        <w:bidi w:val="0"/>
        <w:spacing w:before="0" w:after="160"/>
        <w:jc w:val="left"/>
        <w:rPr/>
      </w:pPr>
      <w:r>
        <w:rPr/>
        <w:drawing>
          <wp:inline distT="0" distB="0" distL="0" distR="0">
            <wp:extent cx="6515100" cy="14605"/>
            <wp:effectExtent l="0" t="0" r="0" b="0"/>
            <wp:docPr id="26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7" descr=""/>
                    <pic:cNvPicPr>
                      <a:picLocks noChangeAspect="1" noChangeArrowheads="1"/>
                    </pic:cNvPicPr>
                  </pic:nvPicPr>
                  <pic:blipFill>
                    <a:blip r:embed="rId18"/>
                    <a:stretch>
                      <a:fillRect/>
                    </a:stretch>
                  </pic:blipFill>
                  <pic:spPr bwMode="auto">
                    <a:xfrm>
                      <a:off x="0" y="0"/>
                      <a:ext cx="6515100" cy="14605"/>
                    </a:xfrm>
                    <a:prstGeom prst="rect">
                      <a:avLst/>
                    </a:prstGeom>
                  </pic:spPr>
                </pic:pic>
              </a:graphicData>
            </a:graphic>
          </wp:inline>
        </w:drawing>
      </w:r>
    </w:p>
    <w:p>
      <w:pPr>
        <w:pStyle w:val="TextBody"/>
        <w:bidi w:val="0"/>
        <w:spacing w:lineRule="auto" w:line="285" w:before="240" w:after="160"/>
        <w:jc w:val="left"/>
        <w:rPr/>
      </w:pPr>
      <w:r>
        <w:rPr>
          <w:rFonts w:ascii="Times New Roman;serif" w:hAnsi="Times New Roman;serif"/>
          <w:b w:val="false"/>
          <w:color w:val="444444"/>
          <w:sz w:val="24"/>
        </w:rPr>
        <w:t>IN WITNESS WHEREOF</w:t>
      </w:r>
      <w:r>
        <w:rPr>
          <w:rFonts w:ascii="Times New Roman;serif" w:hAnsi="Times New Roman;serif"/>
          <w:b w:val="false"/>
          <w:color w:val="727272"/>
          <w:sz w:val="24"/>
        </w:rPr>
        <w:t xml:space="preserve">, </w:t>
      </w:r>
      <w:r>
        <w:rPr>
          <w:rFonts w:ascii="Times New Roman;serif" w:hAnsi="Times New Roman;serif"/>
          <w:b w:val="false"/>
          <w:color w:val="444444"/>
          <w:sz w:val="24"/>
        </w:rPr>
        <w:t>the Parties have signed this Agreement by their respective duly authorized representatives.</w:t>
      </w:r>
      <w:r>
        <w:rPr>
          <w:color w:val="3D3D3D"/>
        </w:rPr>
        <w:t xml:space="preserve"> </w:t>
      </w:r>
    </w:p>
    <w:tbl>
      <w:tblPr>
        <w:tblW w:w="4028" w:type="dxa"/>
        <w:jc w:val="left"/>
        <w:tblInd w:w="0" w:type="dxa"/>
        <w:tblLayout w:type="fixed"/>
        <w:tblCellMar>
          <w:top w:w="28" w:type="dxa"/>
          <w:left w:w="28" w:type="dxa"/>
          <w:bottom w:w="28" w:type="dxa"/>
          <w:right w:w="28" w:type="dxa"/>
        </w:tblCellMar>
      </w:tblPr>
      <w:tblGrid>
        <w:gridCol w:w="674"/>
        <w:gridCol w:w="590"/>
        <w:gridCol w:w="590"/>
        <w:gridCol w:w="632"/>
        <w:gridCol w:w="632"/>
        <w:gridCol w:w="910"/>
      </w:tblGrid>
      <w:tr>
        <w:trPr/>
        <w:tc>
          <w:tcPr>
            <w:tcW w:w="6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4028" w:type="dxa"/>
            <w:gridSpan w:val="6"/>
            <w:tcBorders/>
            <w:tcMar>
              <w:top w:w="0" w:type="dxa"/>
              <w:left w:w="0" w:type="dxa"/>
              <w:bottom w:w="0" w:type="dxa"/>
              <w:right w:w="0" w:type="dxa"/>
            </w:tcMar>
            <w:vAlign w:val="center"/>
          </w:tcPr>
          <w:p>
            <w:pPr>
              <w:pStyle w:val="TableContents"/>
              <w:bidi w:val="0"/>
              <w:spacing w:lineRule="auto" w:line="300" w:before="600" w:after="160"/>
              <w:jc w:val="left"/>
              <w:rPr>
                <w:rFonts w:ascii="Times New Roman;serif" w:hAnsi="Times New Roman;serif"/>
                <w:b w:val="false"/>
                <w:color w:val="000000"/>
                <w:sz w:val="24"/>
              </w:rPr>
            </w:pPr>
            <w:r>
              <w:rPr>
                <w:rFonts w:ascii="Times New Roman;serif" w:hAnsi="Times New Roman;serif"/>
                <w:b w:val="false"/>
                <w:color w:val="000000"/>
                <w:sz w:val="24"/>
              </w:rPr>
              <w:t>ACCEPTED AND AGREED TO this</w:t>
            </w:r>
          </w:p>
        </w:tc>
      </w:tr>
      <w:tr>
        <w:trPr/>
        <w:tc>
          <w:tcPr>
            <w:tcW w:w="4028" w:type="dxa"/>
            <w:gridSpan w:val="6"/>
            <w:tcBorders/>
            <w:tcMar>
              <w:top w:w="0" w:type="dxa"/>
              <w:left w:w="0" w:type="dxa"/>
              <w:bottom w:w="0" w:type="dxa"/>
              <w:right w:w="0" w:type="dxa"/>
            </w:tcMar>
            <w:vAlign w:val="center"/>
          </w:tcPr>
          <w:p>
            <w:pPr>
              <w:pStyle w:val="TableContents"/>
              <w:bidi w:val="0"/>
              <w:spacing w:before="0" w:after="160"/>
              <w:jc w:val="left"/>
              <w:rPr/>
            </w:pPr>
            <w:r>
              <w:rPr/>
            </w:r>
          </w:p>
        </w:tc>
      </w:tr>
      <w:tr>
        <w:trPr/>
        <w:tc>
          <w:tcPr>
            <w:tcW w:w="185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2174"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u w:val="single"/>
              </w:rPr>
            </w:pPr>
            <w:r>
              <w:rPr>
                <w:color w:val="000000"/>
                <w:u w:val="single"/>
              </w:rPr>
              <w:t>  </w:t>
            </w:r>
            <w:r>
              <w:rPr>
                <w:rFonts w:ascii="Times New Roman;serif" w:hAnsi="Times New Roman;serif"/>
                <w:b w:val="false"/>
                <w:color w:val="000000"/>
                <w:sz w:val="24"/>
                <w:u w:val="single"/>
              </w:rPr>
              <w:t>September 30, 2026</w:t>
            </w:r>
          </w:p>
        </w:tc>
      </w:tr>
      <w:tr>
        <w:trPr/>
        <w:tc>
          <w:tcPr>
            <w:tcW w:w="4028" w:type="dxa"/>
            <w:gridSpan w:val="6"/>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160"/>
        <w:jc w:val="left"/>
        <w:rPr/>
      </w:pPr>
      <w:r>
        <w:rPr/>
      </w:r>
    </w:p>
    <w:tbl>
      <w:tblPr>
        <w:tblW w:w="4239" w:type="dxa"/>
        <w:jc w:val="left"/>
        <w:tblInd w:w="0" w:type="dxa"/>
        <w:tblLayout w:type="fixed"/>
        <w:tblCellMar>
          <w:top w:w="28" w:type="dxa"/>
          <w:left w:w="28" w:type="dxa"/>
          <w:bottom w:w="28" w:type="dxa"/>
          <w:right w:w="28" w:type="dxa"/>
        </w:tblCellMar>
      </w:tblPr>
      <w:tblGrid>
        <w:gridCol w:w="521"/>
        <w:gridCol w:w="457"/>
        <w:gridCol w:w="457"/>
        <w:gridCol w:w="819"/>
        <w:gridCol w:w="819"/>
        <w:gridCol w:w="1166"/>
      </w:tblGrid>
      <w:tr>
        <w:trPr/>
        <w:tc>
          <w:tcPr>
            <w:tcW w:w="5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4239" w:type="dxa"/>
            <w:gridSpan w:val="6"/>
            <w:tcBorders/>
            <w:tcMar>
              <w:top w:w="0" w:type="dxa"/>
              <w:left w:w="0" w:type="dxa"/>
              <w:bottom w:w="0" w:type="dxa"/>
              <w:right w:w="0" w:type="dxa"/>
            </w:tcMar>
            <w:vAlign w:val="center"/>
          </w:tcPr>
          <w:p>
            <w:pPr>
              <w:pStyle w:val="TableContents"/>
              <w:bidi w:val="0"/>
              <w:spacing w:lineRule="auto" w:line="300" w:before="960" w:after="600"/>
              <w:jc w:val="left"/>
              <w:rPr>
                <w:rFonts w:ascii="Times New Roman;serif" w:hAnsi="Times New Roman;serif"/>
                <w:b/>
                <w:color w:val="000000"/>
                <w:sz w:val="24"/>
              </w:rPr>
            </w:pPr>
            <w:r>
              <w:rPr>
                <w:rFonts w:ascii="Times New Roman;serif" w:hAnsi="Times New Roman;serif"/>
                <w:b/>
                <w:color w:val="000000"/>
                <w:sz w:val="24"/>
              </w:rPr>
              <w:t>UNITED AIRLINES, INC.</w:t>
            </w:r>
          </w:p>
        </w:tc>
      </w:tr>
      <w:tr>
        <w:trPr/>
        <w:tc>
          <w:tcPr>
            <w:tcW w:w="4239"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/s/ John Gebo</w:t>
            </w:r>
          </w:p>
        </w:tc>
      </w:tr>
      <w:tr>
        <w:trPr/>
        <w:tc>
          <w:tcPr>
            <w:tcW w:w="4239" w:type="dxa"/>
            <w:gridSpan w:val="6"/>
            <w:tcBorders/>
            <w:tcMar>
              <w:top w:w="0" w:type="dxa"/>
              <w:left w:w="0" w:type="dxa"/>
              <w:bottom w:w="0" w:type="dxa"/>
              <w:right w:w="0" w:type="dxa"/>
            </w:tcMar>
            <w:vAlign w:val="center"/>
          </w:tcPr>
          <w:p>
            <w:pPr>
              <w:pStyle w:val="TableContents"/>
              <w:bidi w:val="0"/>
              <w:spacing w:before="0" w:after="160"/>
              <w:jc w:val="left"/>
              <w:rPr/>
            </w:pPr>
            <w:r>
              <w:rPr/>
            </w:r>
          </w:p>
        </w:tc>
      </w:tr>
      <w:tr>
        <w:trPr/>
        <w:tc>
          <w:tcPr>
            <w:tcW w:w="143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0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John Gebo</w:t>
            </w:r>
          </w:p>
        </w:tc>
      </w:tr>
      <w:tr>
        <w:trPr/>
        <w:tc>
          <w:tcPr>
            <w:tcW w:w="4239" w:type="dxa"/>
            <w:gridSpan w:val="6"/>
            <w:tcBorders/>
            <w:tcMar>
              <w:top w:w="0" w:type="dxa"/>
              <w:left w:w="0" w:type="dxa"/>
              <w:bottom w:w="0" w:type="dxa"/>
              <w:right w:w="0" w:type="dxa"/>
            </w:tcMar>
            <w:vAlign w:val="center"/>
          </w:tcPr>
          <w:p>
            <w:pPr>
              <w:pStyle w:val="TableContents"/>
              <w:bidi w:val="0"/>
              <w:spacing w:before="0" w:after="160"/>
              <w:jc w:val="left"/>
              <w:rPr/>
            </w:pPr>
            <w:r>
              <w:rPr/>
            </w:r>
          </w:p>
        </w:tc>
      </w:tr>
      <w:tr>
        <w:trPr/>
        <w:tc>
          <w:tcPr>
            <w:tcW w:w="143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280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00" w:before="0" w:after="16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SVP Treasury, Fleet &amp; Fuel</w:t>
            </w:r>
          </w:p>
        </w:tc>
      </w:tr>
    </w:tbl>
    <w:p>
      <w:pPr>
        <w:pStyle w:val="TextBody"/>
        <w:bidi w:val="0"/>
        <w:spacing w:before="0" w:after="160"/>
        <w:jc w:val="left"/>
        <w:rPr/>
      </w:pPr>
      <w:r>
        <w:rPr/>
      </w:r>
    </w:p>
    <w:tbl>
      <w:tblPr>
        <w:tblW w:w="3409" w:type="dxa"/>
        <w:jc w:val="left"/>
        <w:tblInd w:w="0" w:type="dxa"/>
        <w:tblLayout w:type="fixed"/>
        <w:tblCellMar>
          <w:top w:w="28" w:type="dxa"/>
          <w:left w:w="28" w:type="dxa"/>
          <w:bottom w:w="28" w:type="dxa"/>
          <w:right w:w="28" w:type="dxa"/>
        </w:tblCellMar>
      </w:tblPr>
      <w:tblGrid>
        <w:gridCol w:w="525"/>
        <w:gridCol w:w="460"/>
        <w:gridCol w:w="460"/>
        <w:gridCol w:w="571"/>
        <w:gridCol w:w="571"/>
        <w:gridCol w:w="822"/>
      </w:tblGrid>
      <w:tr>
        <w:trPr/>
        <w:tc>
          <w:tcPr>
            <w:tcW w:w="5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3409" w:type="dxa"/>
            <w:gridSpan w:val="6"/>
            <w:tcBorders/>
            <w:tcMar>
              <w:top w:w="0" w:type="dxa"/>
              <w:left w:w="0" w:type="dxa"/>
              <w:bottom w:w="0" w:type="dxa"/>
              <w:right w:w="0" w:type="dxa"/>
            </w:tcMar>
            <w:vAlign w:val="center"/>
          </w:tcPr>
          <w:p>
            <w:pPr>
              <w:pStyle w:val="TableContents"/>
              <w:bidi w:val="0"/>
              <w:spacing w:lineRule="auto" w:line="300" w:before="960" w:after="600"/>
              <w:jc w:val="left"/>
              <w:rPr>
                <w:rFonts w:ascii="Times New Roman;serif" w:hAnsi="Times New Roman;serif"/>
                <w:b/>
                <w:color w:val="000000"/>
                <w:sz w:val="24"/>
              </w:rPr>
            </w:pPr>
            <w:r>
              <w:rPr>
                <w:rFonts w:ascii="Times New Roman;serif" w:hAnsi="Times New Roman;serif"/>
                <w:b/>
                <w:color w:val="000000"/>
                <w:sz w:val="24"/>
              </w:rPr>
              <w:t>THE BOEING COMPANY</w:t>
            </w:r>
          </w:p>
        </w:tc>
      </w:tr>
      <w:tr>
        <w:trPr/>
        <w:tc>
          <w:tcPr>
            <w:tcW w:w="3409" w:type="dxa"/>
            <w:gridSpan w:val="6"/>
            <w:tcBorders/>
            <w:tcMar>
              <w:top w:w="0" w:type="dxa"/>
              <w:left w:w="0" w:type="dxa"/>
              <w:bottom w:w="0" w:type="dxa"/>
              <w:right w:w="0" w:type="dxa"/>
            </w:tcMar>
            <w:vAlign w:val="center"/>
          </w:tcPr>
          <w:p>
            <w:pPr>
              <w:pStyle w:val="TableContents"/>
              <w:bidi w:val="0"/>
              <w:spacing w:before="0" w:after="160"/>
              <w:jc w:val="left"/>
              <w:rPr/>
            </w:pPr>
            <w:r>
              <w:rPr/>
            </w:r>
          </w:p>
        </w:tc>
      </w:tr>
      <w:tr>
        <w:trPr/>
        <w:tc>
          <w:tcPr>
            <w:tcW w:w="14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96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/s/ Irma L. Krueger</w:t>
            </w:r>
          </w:p>
        </w:tc>
      </w:tr>
      <w:tr>
        <w:trPr/>
        <w:tc>
          <w:tcPr>
            <w:tcW w:w="3409" w:type="dxa"/>
            <w:gridSpan w:val="6"/>
            <w:tcBorders/>
            <w:tcMar>
              <w:top w:w="0" w:type="dxa"/>
              <w:left w:w="0" w:type="dxa"/>
              <w:bottom w:w="0" w:type="dxa"/>
              <w:right w:w="0" w:type="dxa"/>
            </w:tcMar>
            <w:vAlign w:val="center"/>
          </w:tcPr>
          <w:p>
            <w:pPr>
              <w:pStyle w:val="TableContents"/>
              <w:bidi w:val="0"/>
              <w:spacing w:before="0" w:after="160"/>
              <w:jc w:val="left"/>
              <w:rPr/>
            </w:pPr>
            <w:r>
              <w:rPr/>
            </w:r>
          </w:p>
        </w:tc>
      </w:tr>
      <w:tr>
        <w:trPr/>
        <w:tc>
          <w:tcPr>
            <w:tcW w:w="144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196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Attorney-in-Fact</w:t>
            </w:r>
          </w:p>
        </w:tc>
      </w:tr>
      <w:tr>
        <w:trPr/>
        <w:tc>
          <w:tcPr>
            <w:tcW w:w="3409" w:type="dxa"/>
            <w:gridSpan w:val="6"/>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047115"/>
                <wp:effectExtent l="0" t="0" r="0" b="0"/>
                <wp:wrapNone/>
                <wp:docPr id="263" name="Frame246"/>
                <a:graphic xmlns:a="http://schemas.openxmlformats.org/drawingml/2006/main">
                  <a:graphicData uri="http://schemas.microsoft.com/office/word/2010/wordprocessingShape">
                    <wps:wsp>
                      <wps:cNvSpPr txBox="1"/>
                      <wps:spPr>
                        <a:xfrm>
                          <a:off x="0" y="0"/>
                          <a:ext cx="6480175" cy="1047115"/>
                        </a:xfrm>
                        <a:prstGeom prst="rect"/>
                        <a:solidFill>
                          <a:srgbClr val="FFFFFF"/>
                        </a:solidFill>
                      </wps:spPr>
                      <wps:txbx>
                        <w:txbxContent>
                          <w:p>
                            <w:pPr>
                              <w:pStyle w:val="TextBody"/>
                              <w:bidi w:val="0"/>
                              <w:spacing w:lineRule="auto" w:line="300" w:before="240" w:after="283"/>
                              <w:jc w:val="left"/>
                              <w:rPr>
                                <w:rFonts w:ascii="Times New Roman;serif" w:hAnsi="Times New Roman;serif"/>
                                <w:b w:val="false"/>
                                <w:color w:val="000000"/>
                                <w:sz w:val="24"/>
                              </w:rPr>
                            </w:pPr>
                            <w:r>
                              <w:rPr>
                                <w:rFonts w:ascii="Times New Roman;serif" w:hAnsi="Times New Roman;serif"/>
                                <w:b w:val="false"/>
                                <w:color w:val="000000"/>
                                <w:sz w:val="24"/>
                              </w:rPr>
                              <w:t>UAL-MISC-2605350        Page 3</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Matters (September 2026)</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BOEING/UNITED AIRLINES, INC. PROPRIETARY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240" w:after="283"/>
                        <w:jc w:val="left"/>
                        <w:rPr>
                          <w:rFonts w:ascii="Times New Roman;serif" w:hAnsi="Times New Roman;serif"/>
                          <w:b w:val="false"/>
                          <w:color w:val="000000"/>
                          <w:sz w:val="24"/>
                        </w:rPr>
                      </w:pPr>
                      <w:r>
                        <w:rPr>
                          <w:rFonts w:ascii="Times New Roman;serif" w:hAnsi="Times New Roman;serif"/>
                          <w:b w:val="false"/>
                          <w:color w:val="000000"/>
                          <w:sz w:val="24"/>
                        </w:rPr>
                        <w:t>UAL-MISC-2605350        Page 3</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Matters (September 2026)</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BOEING/UNITED AIRLINES, INC. PROPRIETARY</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15 U.S.C. 78m(a) or 78o(d)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302 of the Sarbanes-Oxley Act of 2002)</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 Scott Kirby, certify that:</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quarterly period ended September 30, 2026 of United Airlines Holdings, Inc. (the "Company");</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Scott Kirby</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Scott Kirby</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21,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60" w:after="283"/>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15 U.S.C. 78m(a) or 78o(d)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302 of the Sarbanes-Oxley Act of 2002)</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Michael Leskinen, certify that: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quarterly period ended September 30, 2026 of United Airlines Holdings, Inc. (the "Company");</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8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288" w:before="0" w:after="0"/>
        <w:jc w:val="left"/>
        <w:rPr>
          <w:color w:val="000000"/>
        </w:rPr>
      </w:pPr>
      <w:r>
        <w:rPr>
          <w:color w:val="000000"/>
        </w:rPr>
        <w:t> </w:t>
      </w:r>
    </w:p>
    <w:tbl>
      <w:tblPr>
        <w:tblW w:w="4455" w:type="dxa"/>
        <w:jc w:val="left"/>
        <w:tblInd w:w="0" w:type="dxa"/>
        <w:tblLayout w:type="fixed"/>
        <w:tblCellMar>
          <w:top w:w="28" w:type="dxa"/>
          <w:left w:w="28" w:type="dxa"/>
          <w:bottom w:w="28" w:type="dxa"/>
          <w:right w:w="28" w:type="dxa"/>
        </w:tblCellMar>
      </w:tblPr>
      <w:tblGrid>
        <w:gridCol w:w="1425"/>
        <w:gridCol w:w="1250"/>
        <w:gridCol w:w="1780"/>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Leskinen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Leskinen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21,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15 U.S.C. 78m(a) or 78o(d)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302 of the Sarbanes-Oxley Act of 2002)</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 Scott Kirby, certify that: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quarterly period ended September 30, 2026 of United Airlines, Inc. (the "Company");</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80" w:after="283"/>
        <w:ind w:left="0" w:right="0" w:hanging="58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80" w:after="283"/>
        <w:ind w:left="0" w:right="0" w:hanging="58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Scott Kirby</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Scott Kirby</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 xml:space="preserve">Date: October 21, 2026 </w:t>
      </w:r>
      <w:r>
        <w:rPr>
          <w:color w:val="000000"/>
        </w:rPr>
        <w:t> </w:t>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15 U.S.C. 78m(a) or 78o(d)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302 of the Sarbanes-Oxley Act of 2002)</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Michael Leskinen, certify that: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quarterly period ended September 30, 2026 of United Airlines, Inc. (the "Company");</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 </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80" w:after="283"/>
        <w:ind w:left="0" w:right="0" w:hanging="58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80" w:after="283"/>
        <w:ind w:left="0" w:right="0" w:hanging="58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Company's internal control over financial reporting.</w:t>
      </w:r>
    </w:p>
    <w:p>
      <w:pPr>
        <w:pStyle w:val="TextBody"/>
        <w:bidi w:val="0"/>
        <w:spacing w:lineRule="auto" w:line="288" w:before="0" w:after="0"/>
        <w:jc w:val="left"/>
        <w:rPr>
          <w:color w:val="000000"/>
        </w:rPr>
      </w:pPr>
      <w:r>
        <w:rPr>
          <w:color w:val="000000"/>
        </w:rPr>
        <w:t> </w:t>
      </w:r>
    </w:p>
    <w:tbl>
      <w:tblPr>
        <w:tblW w:w="4455" w:type="dxa"/>
        <w:jc w:val="left"/>
        <w:tblInd w:w="0" w:type="dxa"/>
        <w:tblLayout w:type="fixed"/>
        <w:tblCellMar>
          <w:top w:w="28" w:type="dxa"/>
          <w:left w:w="28" w:type="dxa"/>
          <w:bottom w:w="28" w:type="dxa"/>
          <w:right w:w="28" w:type="dxa"/>
        </w:tblCellMar>
      </w:tblPr>
      <w:tblGrid>
        <w:gridCol w:w="1425"/>
        <w:gridCol w:w="1250"/>
        <w:gridCol w:w="1780"/>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Leskinen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Leskinen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21, 2026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United Airlines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Each undersigned officer certifies that to the best of his knowledge based on a review of the quarterly report on Form 10-Q for the quarterly period ended September 30, 2026 of United Airlines Holdings, Inc. (the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United Airlines Holdings, Inc.</w:t>
      </w:r>
    </w:p>
    <w:tbl>
      <w:tblPr>
        <w:tblW w:w="4455" w:type="dxa"/>
        <w:jc w:val="left"/>
        <w:tblInd w:w="0" w:type="dxa"/>
        <w:tblLayout w:type="fixed"/>
        <w:tblCellMar>
          <w:top w:w="28" w:type="dxa"/>
          <w:left w:w="28" w:type="dxa"/>
          <w:bottom w:w="28" w:type="dxa"/>
          <w:right w:w="28" w:type="dxa"/>
        </w:tblCellMar>
      </w:tblPr>
      <w:tblGrid>
        <w:gridCol w:w="1425"/>
        <w:gridCol w:w="1250"/>
        <w:gridCol w:w="1780"/>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Scott Kirby</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Scott Kirby</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Leskinen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Leskinen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lineRule="auto" w:line="288" w:before="260" w:after="283"/>
        <w:jc w:val="left"/>
        <w:rPr>
          <w:color w:val="000000"/>
        </w:rPr>
      </w:pPr>
      <w:r>
        <w:rPr>
          <w:color w:val="000000"/>
        </w:rPr>
        <w:t> </w:t>
      </w:r>
    </w:p>
    <w:p>
      <w:pPr>
        <w:pStyle w:val="TextBody"/>
        <w:bidi w:val="0"/>
        <w:spacing w:before="0" w:after="0"/>
        <w:jc w:val="righ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21, 2026 </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United Airlines,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Each undersigned officer certifies that to the best of his knowledge based on a review of the quarterly report on Form 10-Q for the quarterly period ended September 30, 2026 of United Airlines, Inc. (the "Report"):</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8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United Airlines, Inc.</w:t>
      </w:r>
    </w:p>
    <w:tbl>
      <w:tblPr>
        <w:tblW w:w="4455" w:type="dxa"/>
        <w:jc w:val="left"/>
        <w:tblInd w:w="0" w:type="dxa"/>
        <w:tblLayout w:type="fixed"/>
        <w:tblCellMar>
          <w:top w:w="28" w:type="dxa"/>
          <w:left w:w="28" w:type="dxa"/>
          <w:bottom w:w="28" w:type="dxa"/>
          <w:right w:w="28" w:type="dxa"/>
        </w:tblCellMar>
      </w:tblPr>
      <w:tblGrid>
        <w:gridCol w:w="1425"/>
        <w:gridCol w:w="1250"/>
        <w:gridCol w:w="1780"/>
      </w:tblGrid>
      <w:tr>
        <w:trPr/>
        <w:tc>
          <w:tcPr>
            <w:tcW w:w="142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J. Scott Kirby</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Scott Kirby</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Michael Leskinen</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Leskinen</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21, 2026 </w:t>
      </w:r>
    </w:p>
    <w:p>
      <w:pPr>
        <w:pStyle w:val="TextBody"/>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3.png"/><Relationship Id="rId6" Type="http://schemas.openxmlformats.org/officeDocument/2006/relationships/image" Target="media/image3.png"/><Relationship Id="rId7" Type="http://schemas.openxmlformats.org/officeDocument/2006/relationships/image" Target="media/image3.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4.png"/><Relationship Id="rId12" Type="http://schemas.openxmlformats.org/officeDocument/2006/relationships/image" Target="media/image4.png"/><Relationship Id="rId13" Type="http://schemas.openxmlformats.org/officeDocument/2006/relationships/image" Target="media/image4.png"/><Relationship Id="rId14" Type="http://schemas.openxmlformats.org/officeDocument/2006/relationships/image" Target="media/image6.png"/><Relationship Id="rId15" Type="http://schemas.openxmlformats.org/officeDocument/2006/relationships/image" Target="media/image4.png"/><Relationship Id="rId16" Type="http://schemas.openxmlformats.org/officeDocument/2006/relationships/image" Target="media/image6.png"/><Relationship Id="rId17" Type="http://schemas.openxmlformats.org/officeDocument/2006/relationships/image" Target="media/image4.png"/><Relationship Id="rId18" Type="http://schemas.openxmlformats.org/officeDocument/2006/relationships/image" Target="media/image6.pn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223</Pages>
  <Words>100796</Words>
  <Characters>534463</Characters>
  <CharactersWithSpaces>634369</CharactersWithSpaces>
  <Paragraphs>6190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