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HOLDINGS,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3560" w:type="dxa"/>
            <w:vAlign w:val="bottom"/>
          </w:tcPr>
          <w:p>
            <w:pPr>
              <w:jc w:val="center"/>
              <w:ind w:right="1570"/>
              <w:spacing w:after="0"/>
              <w:rPr>
                <w:sz w:val="20"/>
                <w:szCs w:val="20"/>
                <w:color w:val="auto"/>
              </w:rPr>
            </w:pPr>
            <w:r>
              <w:rPr>
                <w:rFonts w:ascii="Arial" w:cs="Arial" w:eastAsia="Arial" w:hAnsi="Arial"/>
                <w:sz w:val="18"/>
                <w:szCs w:val="18"/>
                <w:b w:val="1"/>
                <w:bCs w:val="1"/>
                <w:color w:val="auto"/>
                <w:w w:val="93"/>
              </w:rPr>
              <w:t>Delaware</w:t>
            </w:r>
          </w:p>
        </w:tc>
        <w:tc>
          <w:tcPr>
            <w:tcW w:w="29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001-06033</w:t>
            </w:r>
          </w:p>
        </w:tc>
        <w:tc>
          <w:tcPr>
            <w:tcW w:w="29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36-2675207</w:t>
            </w:r>
          </w:p>
        </w:tc>
      </w:tr>
      <w:tr>
        <w:trPr>
          <w:trHeight w:val="220"/>
        </w:trPr>
        <w:tc>
          <w:tcPr>
            <w:tcW w:w="3560" w:type="dxa"/>
            <w:vAlign w:val="bottom"/>
          </w:tcPr>
          <w:p>
            <w:pPr>
              <w:jc w:val="center"/>
              <w:ind w:right="1570"/>
              <w:spacing w:after="0"/>
              <w:rPr>
                <w:sz w:val="20"/>
                <w:szCs w:val="20"/>
                <w:color w:val="auto"/>
              </w:rPr>
            </w:pPr>
            <w:r>
              <w:rPr>
                <w:rFonts w:ascii="Arial" w:cs="Arial" w:eastAsia="Arial" w:hAnsi="Arial"/>
                <w:sz w:val="18"/>
                <w:szCs w:val="18"/>
                <w:b w:val="1"/>
                <w:bCs w:val="1"/>
                <w:color w:val="auto"/>
                <w:w w:val="93"/>
              </w:rPr>
              <w:t>Delaware</w:t>
            </w:r>
          </w:p>
        </w:tc>
        <w:tc>
          <w:tcPr>
            <w:tcW w:w="29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001-10323</w:t>
            </w:r>
          </w:p>
        </w:tc>
        <w:tc>
          <w:tcPr>
            <w:tcW w:w="29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74-2099724</w:t>
            </w:r>
          </w:p>
        </w:tc>
      </w:tr>
      <w:tr>
        <w:trPr>
          <w:trHeight w:val="216"/>
        </w:trPr>
        <w:tc>
          <w:tcPr>
            <w:tcW w:w="3560" w:type="dxa"/>
            <w:vAlign w:val="bottom"/>
          </w:tcPr>
          <w:p>
            <w:pPr>
              <w:jc w:val="center"/>
              <w:ind w:right="1570"/>
              <w:spacing w:after="0"/>
              <w:rPr>
                <w:sz w:val="20"/>
                <w:szCs w:val="20"/>
                <w:color w:val="auto"/>
              </w:rPr>
            </w:pPr>
            <w:r>
              <w:rPr>
                <w:rFonts w:ascii="Arial" w:cs="Arial" w:eastAsia="Arial" w:hAnsi="Arial"/>
                <w:sz w:val="18"/>
                <w:szCs w:val="18"/>
                <w:color w:val="auto"/>
                <w:w w:val="92"/>
              </w:rPr>
              <w:t>(State or other jurisdiction</w:t>
            </w:r>
          </w:p>
        </w:tc>
        <w:tc>
          <w:tcPr>
            <w:tcW w:w="29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92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3560" w:type="dxa"/>
            <w:vAlign w:val="bottom"/>
          </w:tcPr>
          <w:p>
            <w:pPr>
              <w:jc w:val="center"/>
              <w:ind w:right="1570"/>
              <w:spacing w:after="0"/>
              <w:rPr>
                <w:sz w:val="20"/>
                <w:szCs w:val="20"/>
                <w:color w:val="auto"/>
              </w:rPr>
            </w:pPr>
            <w:r>
              <w:rPr>
                <w:rFonts w:ascii="Arial" w:cs="Arial" w:eastAsia="Arial" w:hAnsi="Arial"/>
                <w:sz w:val="18"/>
                <w:szCs w:val="18"/>
                <w:color w:val="auto"/>
                <w:w w:val="93"/>
              </w:rPr>
              <w:t>of incorporation)</w:t>
            </w:r>
          </w:p>
        </w:tc>
        <w:tc>
          <w:tcPr>
            <w:tcW w:w="2940" w:type="dxa"/>
            <w:vAlign w:val="bottom"/>
          </w:tcPr>
          <w:p>
            <w:pPr>
              <w:spacing w:after="0"/>
              <w:rPr>
                <w:sz w:val="20"/>
                <w:szCs w:val="20"/>
                <w:color w:val="auto"/>
              </w:rPr>
            </w:pPr>
          </w:p>
        </w:tc>
        <w:tc>
          <w:tcPr>
            <w:tcW w:w="2920" w:type="dxa"/>
            <w:vAlign w:val="bottom"/>
          </w:tcPr>
          <w:p>
            <w:pPr>
              <w:jc w:val="center"/>
              <w:ind w:left="11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35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233 S. Wacker Drive, Chicago, IL</w:t>
            </w:r>
          </w:p>
        </w:tc>
        <w:tc>
          <w:tcPr>
            <w:tcW w:w="2940" w:type="dxa"/>
            <w:vAlign w:val="bottom"/>
          </w:tcPr>
          <w:p>
            <w:pPr>
              <w:spacing w:after="0"/>
              <w:rPr>
                <w:sz w:val="24"/>
                <w:szCs w:val="24"/>
                <w:color w:val="auto"/>
              </w:rPr>
            </w:pPr>
          </w:p>
        </w:tc>
        <w:tc>
          <w:tcPr>
            <w:tcW w:w="292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60606</w:t>
            </w:r>
          </w:p>
        </w:tc>
      </w:tr>
      <w:tr>
        <w:trPr>
          <w:trHeight w:val="220"/>
        </w:trPr>
        <w:tc>
          <w:tcPr>
            <w:tcW w:w="35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233 S. Wacker Drive, Chicago, IL</w:t>
            </w:r>
          </w:p>
        </w:tc>
        <w:tc>
          <w:tcPr>
            <w:tcW w:w="2940" w:type="dxa"/>
            <w:vAlign w:val="bottom"/>
          </w:tcPr>
          <w:p>
            <w:pPr>
              <w:spacing w:after="0"/>
              <w:rPr>
                <w:sz w:val="19"/>
                <w:szCs w:val="19"/>
                <w:color w:val="auto"/>
              </w:rPr>
            </w:pPr>
          </w:p>
        </w:tc>
        <w:tc>
          <w:tcPr>
            <w:tcW w:w="292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560" w:type="dxa"/>
            <w:vAlign w:val="bottom"/>
          </w:tcPr>
          <w:p>
            <w:pPr>
              <w:jc w:val="center"/>
              <w:ind w:left="15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spacing w:after="0"/>
              <w:rPr>
                <w:sz w:val="20"/>
                <w:szCs w:val="20"/>
                <w:color w:val="auto"/>
              </w:rPr>
            </w:pPr>
          </w:p>
        </w:tc>
        <w:tc>
          <w:tcPr>
            <w:tcW w:w="2920" w:type="dxa"/>
            <w:vAlign w:val="bottom"/>
          </w:tcPr>
          <w:p>
            <w:pPr>
              <w:jc w:val="center"/>
              <w:ind w:right="5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right="2860" w:firstLine="8"/>
        <w:spacing w:after="0" w:line="498" w:lineRule="auto"/>
        <w:tabs>
          <w:tab w:leader="none" w:pos="3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or to be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48"/>
        </w:trPr>
        <w:tc>
          <w:tcPr>
            <w:tcW w:w="2940" w:type="dxa"/>
            <w:vAlign w:val="bottom"/>
            <w:gridSpan w:val="2"/>
          </w:tcPr>
          <w:p>
            <w:pPr>
              <w:ind w:left="960"/>
              <w:spacing w:after="0"/>
              <w:rPr>
                <w:sz w:val="20"/>
                <w:szCs w:val="20"/>
                <w:color w:val="auto"/>
              </w:rPr>
            </w:pPr>
            <w:r>
              <w:rPr>
                <w:rFonts w:ascii="Arial" w:cs="Arial" w:eastAsia="Arial" w:hAnsi="Arial"/>
                <w:sz w:val="18"/>
                <w:szCs w:val="18"/>
                <w:b w:val="1"/>
                <w:bCs w:val="1"/>
                <w:color w:val="auto"/>
              </w:rPr>
              <w:t>Registrant</w:t>
            </w: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Symbol</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5"/>
        </w:trPr>
        <w:tc>
          <w:tcPr>
            <w:tcW w:w="2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Airlines Holdings, Inc.</w:t>
            </w:r>
          </w:p>
        </w:tc>
        <w:tc>
          <w:tcPr>
            <w:tcW w:w="2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UAL</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United Airlines, Inc.</w:t>
            </w: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None</w:t>
            </w:r>
          </w:p>
        </w:tc>
        <w:tc>
          <w:tcPr>
            <w:tcW w:w="2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258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2" w:lineRule="exact"/>
        <w:rPr>
          <w:sz w:val="24"/>
          <w:szCs w:val="24"/>
          <w:color w:val="auto"/>
        </w:rPr>
      </w:pPr>
    </w:p>
    <w:p>
      <w:pPr>
        <w:ind w:right="520"/>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 Emerging growth company o</w:t>
      </w:r>
    </w:p>
    <w:p>
      <w:pPr>
        <w:spacing w:after="0" w:line="146"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ind w:left="60"/>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1, 2020, United Airlines, Inc. ("United"), a wholly-owned subsidiary of United Airlines Holdings, Inc. (together with United, the "Company") distributed a letter to the Company’s employees which provided an update on the Company’s expectations regarding payments pursuant to the Company’s Annual Incentive Program and Profit Sharing Program for 2020. This internal communication is furnished herewith as Exhibit 99.1 and is incorporated by reference into this Item 7.01.</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in this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Certain statements in this Current Report on Form 8-K, including statements regarding the potential impacts of the COVID-19 pandemic and steps we plan to take in response thereto,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18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the existing global COVID-19 pandemic and the outbreak of any other disease or similar public health threat that affects travel demand or travel behavior; the final terms of borrowing pursuant to the Loan Program under the CARES Act, if any, and the effects of the grant and promissory note through the Payroll Support Program under the CARES Act; the costs and availability of financing; our significant amount of financial leverage from fixed obligations and ability to seek additional liquidity and maintain adequate liquidity; our ability to comply with the terms of our various financing arrangements; the material disruption of our strategic operating plan as a result of COVID-19, and our ability to execute our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 the Company's regional network, as a result of the COVID-19 pandemic or otherwise; the impact of regulatory, investigative and legal proceedings and legal compliance risks; the success of the Company's investments in other airlines, including in other parts of the world, which involve significant challenges and risks, particularly given the impact of the COVID-19 pandemic; industry consolidation or changes in airline alliances; the ability of other 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the impact of any management changes; extended interruptions or disruptions in service at major airports where the Company operates;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Company's ability to realize the full value of its intangible assets and long-lived assets; any impact to the Company's reputation or brand image and other risks and uncertainties set forth under Part I, Item 1A., "Risk Factors," of the Company's Annual Report on Form 10-K for the fiscal year ended December 31, 2019, as updated by our Current Report on Form 8-K dated April 21, 2020, as well as other risks and uncertainties set forth from time to time in the reports it files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left="60"/>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20" w:hanging="664"/>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r>
        <w:rPr>
          <w:rFonts w:ascii="Arial" w:cs="Arial" w:eastAsia="Arial" w:hAnsi="Arial"/>
          <w:sz w:val="18"/>
          <w:szCs w:val="18"/>
          <w:i w:val="1"/>
          <w:i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280" w:type="dxa"/>
            <w:vAlign w:val="bottom"/>
          </w:tcPr>
          <w:p>
            <w:pPr>
              <w:spacing w:after="0"/>
              <w:rPr>
                <w:sz w:val="18"/>
                <w:szCs w:val="18"/>
                <w:color w:val="auto"/>
              </w:rPr>
            </w:pPr>
          </w:p>
        </w:tc>
      </w:tr>
      <w:tr>
        <w:trPr>
          <w:trHeight w:val="234"/>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280" w:type="dxa"/>
            <w:vAlign w:val="bottom"/>
            <w:tcBorders>
              <w:bottom w:val="single" w:sz="8" w:color="auto"/>
            </w:tcBorders>
          </w:tcPr>
          <w:p>
            <w:pPr>
              <w:ind w:left="4900"/>
              <w:spacing w:after="0"/>
              <w:rPr>
                <w:sz w:val="20"/>
                <w:szCs w:val="20"/>
                <w:color w:val="auto"/>
              </w:rPr>
            </w:pPr>
            <w:r>
              <w:rPr>
                <w:rFonts w:ascii="Arial" w:cs="Arial" w:eastAsia="Arial" w:hAnsi="Arial"/>
                <w:sz w:val="18"/>
                <w:szCs w:val="18"/>
                <w:b w:val="1"/>
                <w:bCs w:val="1"/>
                <w:color w:val="auto"/>
              </w:rPr>
              <w:t>Description</w:t>
            </w:r>
          </w:p>
        </w:tc>
      </w:tr>
      <w:tr>
        <w:trPr>
          <w:trHeight w:val="211"/>
        </w:trPr>
        <w:tc>
          <w:tcPr>
            <w:tcW w:w="9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10280" w:type="dxa"/>
            <w:vAlign w:val="bottom"/>
          </w:tcPr>
          <w:p>
            <w:pPr>
              <w:ind w:left="4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Letter to Employees, dated May 1, 2020.</w:t>
              </w:r>
            </w:hyperlink>
          </w:p>
        </w:tc>
      </w:tr>
    </w:tbl>
    <w:p>
      <w:pPr>
        <w:ind w:left="5580" w:right="4100" w:hanging="5572"/>
        <w:spacing w:after="0" w:line="509" w:lineRule="auto"/>
        <w:tabs>
          <w:tab w:leader="none" w:pos="1359"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ind w:left="56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Jennifer L. Kraft</w:t>
            </w:r>
          </w:p>
        </w:tc>
      </w:tr>
      <w:tr>
        <w:trPr>
          <w:trHeight w:val="195"/>
        </w:trPr>
        <w:tc>
          <w:tcPr>
            <w:tcW w:w="6140" w:type="dxa"/>
            <w:vAlign w:val="bottom"/>
          </w:tcPr>
          <w:p>
            <w:pPr>
              <w:ind w:left="5600"/>
              <w:spacing w:after="0" w:line="195" w:lineRule="exact"/>
              <w:rPr>
                <w:sz w:val="20"/>
                <w:szCs w:val="20"/>
                <w:color w:val="auto"/>
              </w:rPr>
            </w:pPr>
            <w:r>
              <w:rPr>
                <w:rFonts w:ascii="Arial" w:cs="Arial" w:eastAsia="Arial" w:hAnsi="Arial"/>
                <w:sz w:val="18"/>
                <w:szCs w:val="18"/>
                <w:color w:val="auto"/>
                <w:w w:val="98"/>
              </w:rPr>
              <w:t>Name:</w:t>
            </w:r>
          </w:p>
        </w:tc>
        <w:tc>
          <w:tcPr>
            <w:tcW w:w="5100" w:type="dxa"/>
            <w:vAlign w:val="bottom"/>
          </w:tcPr>
          <w:p>
            <w:pPr>
              <w:ind w:left="60"/>
              <w:spacing w:after="0" w:line="195" w:lineRule="exact"/>
              <w:rPr>
                <w:sz w:val="20"/>
                <w:szCs w:val="20"/>
                <w:color w:val="auto"/>
              </w:rPr>
            </w:pPr>
            <w:r>
              <w:rPr>
                <w:rFonts w:ascii="Arial" w:cs="Arial" w:eastAsia="Arial" w:hAnsi="Arial"/>
                <w:sz w:val="18"/>
                <w:szCs w:val="18"/>
                <w:color w:val="auto"/>
              </w:rPr>
              <w:t>Jennifer L. Kraft</w:t>
            </w:r>
          </w:p>
        </w:tc>
      </w:tr>
      <w:tr>
        <w:trPr>
          <w:trHeight w:val="216"/>
        </w:trPr>
        <w:tc>
          <w:tcPr>
            <w:tcW w:w="6140" w:type="dxa"/>
            <w:vAlign w:val="bottom"/>
          </w:tcPr>
          <w:p>
            <w:pPr>
              <w:ind w:left="5600"/>
              <w:spacing w:after="0"/>
              <w:rPr>
                <w:sz w:val="20"/>
                <w:szCs w:val="20"/>
                <w:color w:val="auto"/>
              </w:rPr>
            </w:pPr>
            <w:r>
              <w:rPr>
                <w:rFonts w:ascii="Arial" w:cs="Arial" w:eastAsia="Arial" w:hAnsi="Arial"/>
                <w:sz w:val="18"/>
                <w:szCs w:val="18"/>
                <w:color w:val="auto"/>
              </w:rPr>
              <w:t>Title:</w:t>
            </w:r>
          </w:p>
        </w:tc>
        <w:tc>
          <w:tcPr>
            <w:tcW w:w="5100" w:type="dxa"/>
            <w:vAlign w:val="bottom"/>
          </w:tcPr>
          <w:p>
            <w:pPr>
              <w:ind w:left="60"/>
              <w:spacing w:after="0"/>
              <w:rPr>
                <w:sz w:val="20"/>
                <w:szCs w:val="20"/>
                <w:color w:val="auto"/>
              </w:rPr>
            </w:pPr>
            <w:r>
              <w:rPr>
                <w:rFonts w:ascii="Arial" w:cs="Arial" w:eastAsia="Arial" w:hAnsi="Arial"/>
                <w:sz w:val="18"/>
                <w:szCs w:val="18"/>
                <w:color w:val="auto"/>
              </w:rPr>
              <w:t>Vice President and Secretary</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Date: May 1, 2020</w:t>
            </w:r>
          </w:p>
        </w:tc>
        <w:tc>
          <w:tcPr>
            <w:tcW w:w="5100" w:type="dxa"/>
            <w:vAlign w:val="bottom"/>
          </w:tcPr>
          <w:p>
            <w:pPr>
              <w:spacing w:after="0"/>
              <w:rPr>
                <w:sz w:val="20"/>
                <w:szCs w:val="20"/>
                <w:color w:val="auto"/>
              </w:rPr>
            </w:pPr>
          </w:p>
        </w:tc>
      </w:tr>
      <w:tr>
        <w:trPr>
          <w:trHeight w:val="675"/>
        </w:trPr>
        <w:tc>
          <w:tcPr>
            <w:tcW w:w="614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4</w:t>
            </w: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message from Kate Gebo, Executive Vice President, Human Resources and Labor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all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hope you and your family are well.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expect you read the news related to our first quarter earnings – which reveals the difficult, unprecedented financial circumstances that we’re dealing with right now.</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you’ve heard repeatedly, we are aggressively and proactively reducing costs in every aspect of our business. Our May schedule is down 90% and we expect the same in June. I want to thank all of your who have participated or are participating in our voluntary leave programs or taking ANP. This is one of the biggest things you can do to help United at this time.</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Additionally, we’ve suspended merit increases for our management and administrative staff, put a freeze on hiring, reduced vendor and third party spend significantly, reduced the base salaries of all of our Officers by 50%, and cut Oscar and Scott’s base salaries by 100%.</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that context, I wanted to share an update about our Annual Incentive Program and Profit Sharing Program. Under the design of both these programs, we are required to make a profit in order to make a payment to employees. Given the drop in travel demand and financial outlook for United Airlines, it is extremely unlikely that either of these programs will pay out for 2020. While this may be obvious to some, in the spirit of transparency, I thought it was important to be direct.</w:t>
      </w:r>
    </w:p>
    <w:p>
      <w:pPr>
        <w:spacing w:after="0" w:line="18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Of course, this is difficult news to deliver because we know that so many of you are persevering through tough circumstances - personally and professionally - and working particularly hard to help United through this crisis.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Please know how much we appreciate your commitment to our company. And continue to stay safe and take care of each other and your families.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Take care,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Kate Gebo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EVP Human Resources and Labor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872"/>
    </w:lvl>
  </w:abstractNum>
  <w:abstractNum w:abstractNumId="1">
    <w:nsid w:val="625558EC"/>
    <w:multiLevelType w:val="hybridMultilevel"/>
    <w:lvl w:ilvl="0">
      <w:lvlJc w:val="left"/>
      <w:lvlText w:val="(%1)"/>
      <w:numFmt w:val="decimal"/>
      <w:start w:val="872"/>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2020-05-01T08:02:24Z</dcterms:created>
  <dcterms:modified xsi:type="dcterms:W3CDTF">2020-05-01T08:02:24Z</dcterms:modified>
</cp:coreProperties>
</file>