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3"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60325</wp:posOffset>
            </wp:positionV>
            <wp:extent cx="3987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77470</wp:posOffset>
            </wp:positionV>
            <wp:extent cx="3987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57" w:lineRule="exact"/>
        <w:rPr>
          <w:sz w:val="24"/>
          <w:szCs w:val="24"/>
          <w:color w:val="auto"/>
        </w:rPr>
      </w:pPr>
    </w:p>
    <w:p>
      <w:pPr>
        <w:ind w:left="580" w:right="4240" w:hanging="572"/>
        <w:spacing w:after="0" w:line="261" w:lineRule="auto"/>
        <w:tabs>
          <w:tab w:leader="none" w:pos="57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900" w:type="dxa"/>
            <w:vAlign w:val="bottom"/>
            <w:gridSpan w:val="2"/>
          </w:tcPr>
          <w:p>
            <w:pPr>
              <w:ind w:left="580"/>
              <w:spacing w:after="0"/>
              <w:rPr>
                <w:sz w:val="20"/>
                <w:szCs w:val="20"/>
                <w:color w:val="auto"/>
              </w:rPr>
            </w:pPr>
            <w:r>
              <w:rPr>
                <w:rFonts w:ascii="Arial" w:cs="Arial" w:eastAsia="Arial" w:hAnsi="Arial"/>
                <w:sz w:val="14"/>
                <w:szCs w:val="14"/>
                <w:b w:val="1"/>
                <w:bCs w:val="1"/>
                <w:color w:val="auto"/>
              </w:rPr>
              <w:t>For the transition period from</w:t>
            </w:r>
          </w:p>
        </w:tc>
        <w:tc>
          <w:tcPr>
            <w:tcW w:w="28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Exact Name of Registrant as</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Specified in its Charter, Principal</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Executive</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Commission</w:t>
            </w: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Office Address, Zip Code and</w:t>
            </w:r>
          </w:p>
        </w:tc>
        <w:tc>
          <w:tcPr>
            <w:tcW w:w="2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State of</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5"/>
        </w:trPr>
        <w:tc>
          <w:tcPr>
            <w:tcW w:w="2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File Number</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Telephone Number, Including Area Code</w:t>
            </w: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Incorporation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130"/>
        </w:trPr>
        <w:tc>
          <w:tcPr>
            <w:tcW w:w="2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6"/>
              </w:rPr>
              <w:t>001-06033</w:t>
            </w:r>
          </w:p>
        </w:tc>
        <w:tc>
          <w:tcPr>
            <w:tcW w:w="160" w:type="dxa"/>
            <w:vAlign w:val="bottom"/>
          </w:tcPr>
          <w:p>
            <w:pPr>
              <w:spacing w:after="0"/>
              <w:rPr>
                <w:sz w:val="11"/>
                <w:szCs w:val="11"/>
                <w:color w:val="auto"/>
              </w:rPr>
            </w:pPr>
          </w:p>
        </w:tc>
        <w:tc>
          <w:tcPr>
            <w:tcW w:w="27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9"/>
              </w:rPr>
              <w:t>United Continental Holdings, Inc.</w:t>
            </w:r>
          </w:p>
        </w:tc>
        <w:tc>
          <w:tcPr>
            <w:tcW w:w="120" w:type="dxa"/>
            <w:vAlign w:val="bottom"/>
          </w:tcPr>
          <w:p>
            <w:pPr>
              <w:spacing w:after="0"/>
              <w:rPr>
                <w:sz w:val="11"/>
                <w:szCs w:val="11"/>
                <w:color w:val="auto"/>
              </w:rPr>
            </w:pPr>
          </w:p>
        </w:tc>
        <w:tc>
          <w:tcPr>
            <w:tcW w:w="28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7"/>
              </w:rPr>
              <w:t>Delaware</w:t>
            </w:r>
          </w:p>
        </w:tc>
        <w:tc>
          <w:tcPr>
            <w:tcW w:w="120" w:type="dxa"/>
            <w:vAlign w:val="bottom"/>
          </w:tcPr>
          <w:p>
            <w:pPr>
              <w:spacing w:after="0"/>
              <w:rPr>
                <w:sz w:val="11"/>
                <w:szCs w:val="11"/>
                <w:color w:val="auto"/>
              </w:rPr>
            </w:pPr>
          </w:p>
        </w:tc>
        <w:tc>
          <w:tcPr>
            <w:tcW w:w="27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36-2675207</w:t>
            </w: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233 South Wacker Drive</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Chicago, Illinois 60606</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(872) 825-4000</w:t>
            </w: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86"/>
              </w:rPr>
              <w:t>001-10323</w:t>
            </w: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United Airlines, Inc.</w:t>
            </w:r>
          </w:p>
        </w:tc>
        <w:tc>
          <w:tcPr>
            <w:tcW w:w="2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Delaware</w:t>
            </w:r>
          </w:p>
        </w:tc>
        <w:tc>
          <w:tcPr>
            <w:tcW w:w="2720" w:type="dxa"/>
            <w:vAlign w:val="bottom"/>
          </w:tcPr>
          <w:p>
            <w:pPr>
              <w:jc w:val="center"/>
              <w:spacing w:after="0" w:line="149" w:lineRule="exact"/>
              <w:rPr>
                <w:sz w:val="20"/>
                <w:szCs w:val="20"/>
                <w:color w:val="auto"/>
              </w:rPr>
            </w:pPr>
            <w:r>
              <w:rPr>
                <w:rFonts w:ascii="Arial" w:cs="Arial" w:eastAsia="Arial" w:hAnsi="Arial"/>
                <w:sz w:val="14"/>
                <w:szCs w:val="14"/>
                <w:color w:val="auto"/>
                <w:w w:val="88"/>
              </w:rPr>
              <w:t>74-2099724</w:t>
            </w: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233 South Wacker Drive</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Chicago, Illinois 60606</w:t>
            </w: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7"/>
              </w:rPr>
              <w:t>(872) 825-4000</w:t>
            </w: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60325</wp:posOffset>
            </wp:positionV>
            <wp:extent cx="3987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ectPr>
          <w:pgSz w:w="11900" w:h="16838" w:orient="portrait"/>
          <w:cols w:equalWidth="0" w:num="1">
            <w:col w:w="11420"/>
          </w:cols>
          <w:pgMar w:left="240" w:top="235" w:right="2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United Continental Holdings, Inc.</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United Airlines, Inc.</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7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Securities registered pursuant to Section 12(b) of the Act:</w:t>
            </w:r>
          </w:p>
        </w:tc>
        <w:tc>
          <w:tcPr>
            <w:tcW w:w="3640" w:type="dxa"/>
            <w:vAlign w:val="bottom"/>
          </w:tcPr>
          <w:p>
            <w:pPr>
              <w:spacing w:after="0"/>
              <w:rPr>
                <w:sz w:val="15"/>
                <w:szCs w:val="15"/>
                <w:color w:val="auto"/>
              </w:rPr>
            </w:pPr>
          </w:p>
        </w:tc>
      </w:tr>
      <w:tr>
        <w:trPr>
          <w:trHeight w:val="257"/>
        </w:trPr>
        <w:tc>
          <w:tcPr>
            <w:tcW w:w="3760" w:type="dxa"/>
            <w:vAlign w:val="bottom"/>
            <w:gridSpan w:val="2"/>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3640" w:type="dxa"/>
            <w:vAlign w:val="bottom"/>
          </w:tcPr>
          <w:p>
            <w:pPr>
              <w:ind w:left="5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32"/>
        </w:trPr>
        <w:tc>
          <w:tcPr>
            <w:tcW w:w="3640" w:type="dxa"/>
            <w:vAlign w:val="bottom"/>
            <w:tcBorders>
              <w:top w:val="single" w:sz="8" w:color="auto"/>
            </w:tcBorders>
          </w:tcPr>
          <w:p>
            <w:pPr>
              <w:ind w:left="60"/>
              <w:spacing w:after="0" w:line="132" w:lineRule="exact"/>
              <w:rPr>
                <w:sz w:val="20"/>
                <w:szCs w:val="20"/>
                <w:color w:val="auto"/>
              </w:rPr>
            </w:pPr>
            <w:r>
              <w:rPr>
                <w:rFonts w:ascii="Arial" w:cs="Arial" w:eastAsia="Arial" w:hAnsi="Arial"/>
                <w:sz w:val="14"/>
                <w:szCs w:val="14"/>
                <w:color w:val="auto"/>
              </w:rPr>
              <w:t>Common Stock, $0.01 par value</w:t>
            </w:r>
          </w:p>
        </w:tc>
        <w:tc>
          <w:tcPr>
            <w:tcW w:w="120" w:type="dxa"/>
            <w:vAlign w:val="bottom"/>
          </w:tcPr>
          <w:p>
            <w:pPr>
              <w:spacing w:after="0"/>
              <w:rPr>
                <w:sz w:val="11"/>
                <w:szCs w:val="11"/>
                <w:color w:val="auto"/>
              </w:rPr>
            </w:pPr>
          </w:p>
        </w:tc>
        <w:tc>
          <w:tcPr>
            <w:tcW w:w="3640" w:type="dxa"/>
            <w:vAlign w:val="bottom"/>
            <w:tcBorders>
              <w:top w:val="single" w:sz="8" w:color="auto"/>
            </w:tcBorders>
          </w:tcPr>
          <w:p>
            <w:pPr>
              <w:ind w:left="60"/>
              <w:spacing w:after="0" w:line="132" w:lineRule="exact"/>
              <w:rPr>
                <w:sz w:val="20"/>
                <w:szCs w:val="20"/>
                <w:color w:val="auto"/>
              </w:rPr>
            </w:pPr>
            <w:r>
              <w:rPr>
                <w:rFonts w:ascii="Arial" w:cs="Arial" w:eastAsia="Arial" w:hAnsi="Arial"/>
                <w:sz w:val="14"/>
                <w:szCs w:val="14"/>
                <w:color w:val="auto"/>
              </w:rPr>
              <w:t>New York Stock Exchange</w:t>
            </w:r>
          </w:p>
        </w:tc>
      </w:tr>
      <w:tr>
        <w:trPr>
          <w:trHeight w:val="172"/>
        </w:trPr>
        <w:tc>
          <w:tcPr>
            <w:tcW w:w="3760" w:type="dxa"/>
            <w:vAlign w:val="bottom"/>
            <w:gridSpan w:val="2"/>
          </w:tcPr>
          <w:p>
            <w:pPr>
              <w:ind w:left="60"/>
              <w:spacing w:after="0"/>
              <w:rPr>
                <w:sz w:val="20"/>
                <w:szCs w:val="20"/>
                <w:color w:val="auto"/>
              </w:rPr>
            </w:pPr>
            <w:r>
              <w:rPr>
                <w:rFonts w:ascii="Arial" w:cs="Arial" w:eastAsia="Arial" w:hAnsi="Arial"/>
                <w:sz w:val="14"/>
                <w:szCs w:val="14"/>
                <w:color w:val="auto"/>
              </w:rPr>
              <w:t>None</w:t>
            </w:r>
          </w:p>
        </w:tc>
        <w:tc>
          <w:tcPr>
            <w:tcW w:w="3640" w:type="dxa"/>
            <w:vAlign w:val="bottom"/>
          </w:tcPr>
          <w:p>
            <w:pPr>
              <w:ind w:left="60"/>
              <w:spacing w:after="0"/>
              <w:rPr>
                <w:sz w:val="20"/>
                <w:szCs w:val="20"/>
                <w:color w:val="auto"/>
              </w:rPr>
            </w:pPr>
            <w:r>
              <w:rPr>
                <w:rFonts w:ascii="Arial" w:cs="Arial" w:eastAsia="Arial" w:hAnsi="Arial"/>
                <w:sz w:val="14"/>
                <w:szCs w:val="14"/>
                <w:color w:val="auto"/>
              </w:rPr>
              <w:t>None</w:t>
            </w:r>
          </w:p>
        </w:tc>
      </w:tr>
      <w:tr>
        <w:trPr>
          <w:trHeight w:val="176"/>
        </w:trPr>
        <w:tc>
          <w:tcPr>
            <w:tcW w:w="37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Securities registered pursuant to Section 12(g) of the Act:</w:t>
            </w:r>
          </w:p>
        </w:tc>
        <w:tc>
          <w:tcPr>
            <w:tcW w:w="3640" w:type="dxa"/>
            <w:vAlign w:val="bottom"/>
          </w:tcPr>
          <w:p>
            <w:pPr>
              <w:spacing w:after="0"/>
              <w:rPr>
                <w:sz w:val="15"/>
                <w:szCs w:val="15"/>
                <w:color w:val="auto"/>
              </w:rPr>
            </w:pPr>
          </w:p>
        </w:tc>
      </w:tr>
    </w:tbl>
    <w:p>
      <w:pPr>
        <w:spacing w:after="0" w:line="3" w:lineRule="exact"/>
        <w:rPr>
          <w:sz w:val="24"/>
          <w:szCs w:val="24"/>
          <w:color w:val="auto"/>
        </w:rPr>
      </w:pPr>
    </w:p>
    <w:p>
      <w:pPr>
        <w:sectPr>
          <w:pgSz w:w="11900" w:h="16838" w:orient="portrait"/>
          <w:cols w:equalWidth="0" w:num="2">
            <w:col w:w="3300" w:space="720"/>
            <w:col w:w="7400"/>
          </w:cols>
          <w:pgMar w:left="240" w:top="235" w:right="239" w:bottom="1440" w:gutter="0" w:footer="0" w:header="0"/>
          <w:type w:val="continuous"/>
        </w:sectPr>
      </w:pPr>
    </w:p>
    <w:p>
      <w:pPr>
        <w:ind w:left="4080"/>
        <w:spacing w:after="0"/>
        <w:tabs>
          <w:tab w:leader="none" w:pos="666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2"/>
          <w:szCs w:val="12"/>
          <w:color w:val="auto"/>
        </w:rPr>
        <w:t>None</w:t>
      </w:r>
    </w:p>
    <w:p>
      <w:pPr>
        <w:ind w:left="4080"/>
        <w:spacing w:after="0"/>
        <w:tabs>
          <w:tab w:leader="none" w:pos="666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2"/>
          <w:szCs w:val="1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59690</wp:posOffset>
            </wp:positionV>
            <wp:extent cx="3987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6" w:lineRule="exact"/>
        <w:rPr>
          <w:sz w:val="24"/>
          <w:szCs w:val="24"/>
          <w:color w:val="auto"/>
        </w:rPr>
      </w:pPr>
    </w:p>
    <w:p>
      <w:pPr>
        <w:ind w:left="720"/>
        <w:spacing w:after="0" w:line="165" w:lineRule="exact"/>
        <w:tabs>
          <w:tab w:leader="none" w:pos="3460" w:val="left"/>
          <w:tab w:leader="none" w:pos="398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ind w:left="720"/>
        <w:spacing w:after="0" w:line="161" w:lineRule="exact"/>
        <w:tabs>
          <w:tab w:leader="none" w:pos="3460" w:val="left"/>
          <w:tab w:leader="none" w:pos="398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ind w:left="720"/>
        <w:spacing w:after="0" w:line="159" w:lineRule="exact"/>
        <w:tabs>
          <w:tab w:leader="none" w:pos="3460" w:val="left"/>
          <w:tab w:leader="none" w:pos="398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ind w:left="720"/>
        <w:spacing w:after="0" w:line="161" w:lineRule="exact"/>
        <w:tabs>
          <w:tab w:leader="none" w:pos="3460" w:val="left"/>
          <w:tab w:leader="none" w:pos="398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34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20"/>
        <w:spacing w:after="0" w:line="159" w:lineRule="exact"/>
        <w:tabs>
          <w:tab w:leader="none" w:pos="3460" w:val="left"/>
          <w:tab w:leader="none" w:pos="398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ind w:left="720"/>
        <w:spacing w:after="0" w:line="161" w:lineRule="exact"/>
        <w:tabs>
          <w:tab w:leader="none" w:pos="3460" w:val="left"/>
          <w:tab w:leader="none" w:pos="398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240"/>
        <w:spacing w:after="0" w:line="269"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720"/>
        <w:spacing w:after="0" w:line="159" w:lineRule="exact"/>
        <w:tabs>
          <w:tab w:leader="none" w:pos="3460" w:val="left"/>
          <w:tab w:leader="none" w:pos="398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 w:lineRule="exact"/>
        <w:rPr>
          <w:sz w:val="24"/>
          <w:szCs w:val="24"/>
          <w:color w:val="auto"/>
        </w:rPr>
      </w:pPr>
    </w:p>
    <w:p>
      <w:pPr>
        <w:ind w:left="720"/>
        <w:spacing w:after="0" w:line="161" w:lineRule="exact"/>
        <w:tabs>
          <w:tab w:leader="none" w:pos="3460" w:val="left"/>
          <w:tab w:leader="none" w:pos="398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640"/>
        <w:spacing w:after="0" w:line="231"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ind w:left="720"/>
        <w:spacing w:after="0" w:line="156" w:lineRule="exact"/>
        <w:tabs>
          <w:tab w:leader="none" w:pos="342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MS PGothic" w:cs="MS PGothic" w:eastAsia="MS PGothic" w:hAnsi="MS PGothic"/>
          <w:sz w:val="12"/>
          <w:szCs w:val="12"/>
          <w:color w:val="auto"/>
        </w:rPr>
        <w:t>☒</w:t>
      </w:r>
    </w:p>
    <w:p>
      <w:pPr>
        <w:spacing w:after="0" w:line="3" w:lineRule="exact"/>
        <w:rPr>
          <w:sz w:val="24"/>
          <w:szCs w:val="24"/>
          <w:color w:val="auto"/>
        </w:rPr>
      </w:pPr>
    </w:p>
    <w:p>
      <w:pPr>
        <w:ind w:left="720"/>
        <w:spacing w:after="0" w:line="161" w:lineRule="exact"/>
        <w:tabs>
          <w:tab w:leader="none" w:pos="342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MS PGothic" w:cs="MS PGothic" w:eastAsia="MS PGothic" w:hAnsi="MS PGothic"/>
          <w:sz w:val="12"/>
          <w:szCs w:val="12"/>
          <w:color w:val="auto"/>
        </w:rPr>
        <w:t>☒</w:t>
      </w:r>
    </w:p>
    <w:p>
      <w:pPr>
        <w:spacing w:after="0" w:line="18" w:lineRule="exact"/>
        <w:rPr>
          <w:sz w:val="24"/>
          <w:szCs w:val="24"/>
          <w:color w:val="auto"/>
        </w:rPr>
      </w:pPr>
    </w:p>
    <w:p>
      <w:pPr>
        <w:ind w:right="14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52"/>
        </w:trPr>
        <w:tc>
          <w:tcPr>
            <w:tcW w:w="1660" w:type="dxa"/>
            <w:vAlign w:val="bottom"/>
          </w:tcPr>
          <w:p>
            <w:pPr>
              <w:spacing w:after="0" w:line="152" w:lineRule="exact"/>
              <w:rPr>
                <w:sz w:val="20"/>
                <w:szCs w:val="20"/>
                <w:color w:val="auto"/>
              </w:rPr>
            </w:pPr>
            <w:r>
              <w:rPr>
                <w:rFonts w:ascii="Arial" w:cs="Arial" w:eastAsia="Arial" w:hAnsi="Arial"/>
                <w:sz w:val="14"/>
                <w:szCs w:val="14"/>
                <w:color w:val="auto"/>
              </w:rPr>
              <w:t>United Continental</w:t>
            </w:r>
          </w:p>
        </w:tc>
        <w:tc>
          <w:tcPr>
            <w:tcW w:w="1800" w:type="dxa"/>
            <w:vAlign w:val="bottom"/>
          </w:tcPr>
          <w:p>
            <w:pPr>
              <w:spacing w:after="0"/>
              <w:rPr>
                <w:sz w:val="13"/>
                <w:szCs w:val="13"/>
                <w:color w:val="auto"/>
              </w:rPr>
            </w:pPr>
          </w:p>
        </w:tc>
        <w:tc>
          <w:tcPr>
            <w:tcW w:w="58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380" w:type="dxa"/>
            <w:vAlign w:val="bottom"/>
          </w:tcPr>
          <w:p>
            <w:pPr>
              <w:spacing w:after="0"/>
              <w:rPr>
                <w:sz w:val="13"/>
                <w:szCs w:val="13"/>
                <w:color w:val="auto"/>
              </w:rPr>
            </w:pPr>
          </w:p>
        </w:tc>
        <w:tc>
          <w:tcPr>
            <w:tcW w:w="80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spacing w:after="0"/>
              <w:rPr>
                <w:sz w:val="13"/>
                <w:szCs w:val="13"/>
                <w:color w:val="auto"/>
              </w:rPr>
            </w:pPr>
          </w:p>
        </w:tc>
        <w:tc>
          <w:tcPr>
            <w:tcW w:w="9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spacing w:after="0"/>
              <w:rPr>
                <w:sz w:val="13"/>
                <w:szCs w:val="13"/>
                <w:color w:val="auto"/>
              </w:rPr>
            </w:pP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6"/>
        </w:trPr>
        <w:tc>
          <w:tcPr>
            <w:tcW w:w="1660" w:type="dxa"/>
            <w:vAlign w:val="bottom"/>
          </w:tcPr>
          <w:p>
            <w:pPr>
              <w:spacing w:after="0" w:line="146" w:lineRule="exact"/>
              <w:rPr>
                <w:sz w:val="20"/>
                <w:szCs w:val="20"/>
                <w:color w:val="auto"/>
              </w:rPr>
            </w:pPr>
            <w:r>
              <w:rPr>
                <w:rFonts w:ascii="Arial" w:cs="Arial" w:eastAsia="Arial" w:hAnsi="Arial"/>
                <w:sz w:val="14"/>
                <w:szCs w:val="14"/>
                <w:color w:val="auto"/>
              </w:rPr>
              <w:t>Holdings, Inc.</w:t>
            </w:r>
          </w:p>
        </w:tc>
        <w:tc>
          <w:tcPr>
            <w:tcW w:w="1800" w:type="dxa"/>
            <w:vAlign w:val="bottom"/>
          </w:tcPr>
          <w:p>
            <w:pPr>
              <w:ind w:left="540"/>
              <w:spacing w:after="0" w:line="146" w:lineRule="exact"/>
              <w:rPr>
                <w:sz w:val="20"/>
                <w:szCs w:val="20"/>
                <w:color w:val="auto"/>
              </w:rPr>
            </w:pPr>
            <w:r>
              <w:rPr>
                <w:rFonts w:ascii="Arial" w:cs="Arial" w:eastAsia="Arial" w:hAnsi="Arial"/>
                <w:sz w:val="14"/>
                <w:szCs w:val="14"/>
                <w:color w:val="auto"/>
                <w:w w:val="89"/>
              </w:rPr>
              <w:t>Large accelerated filer</w:t>
            </w:r>
          </w:p>
        </w:tc>
        <w:tc>
          <w:tcPr>
            <w:tcW w:w="580" w:type="dxa"/>
            <w:vAlign w:val="bottom"/>
            <w:vMerge w:val="continue"/>
          </w:tcPr>
          <w:p>
            <w:pPr>
              <w:spacing w:after="0"/>
              <w:rPr>
                <w:sz w:val="12"/>
                <w:szCs w:val="12"/>
                <w:color w:val="auto"/>
              </w:rPr>
            </w:pPr>
          </w:p>
        </w:tc>
        <w:tc>
          <w:tcPr>
            <w:tcW w:w="1380" w:type="dxa"/>
            <w:vAlign w:val="bottom"/>
          </w:tcPr>
          <w:p>
            <w:pPr>
              <w:ind w:left="440"/>
              <w:spacing w:after="0" w:line="146" w:lineRule="exact"/>
              <w:rPr>
                <w:sz w:val="20"/>
                <w:szCs w:val="20"/>
                <w:color w:val="auto"/>
              </w:rPr>
            </w:pPr>
            <w:r>
              <w:rPr>
                <w:rFonts w:ascii="Arial" w:cs="Arial" w:eastAsia="Arial" w:hAnsi="Arial"/>
                <w:sz w:val="14"/>
                <w:szCs w:val="14"/>
                <w:color w:val="auto"/>
                <w:w w:val="91"/>
              </w:rPr>
              <w:t>Accelerated filer</w:t>
            </w:r>
          </w:p>
        </w:tc>
        <w:tc>
          <w:tcPr>
            <w:tcW w:w="800" w:type="dxa"/>
            <w:vAlign w:val="bottom"/>
            <w:vMerge w:val="continue"/>
          </w:tcPr>
          <w:p>
            <w:pPr>
              <w:spacing w:after="0"/>
              <w:rPr>
                <w:sz w:val="12"/>
                <w:szCs w:val="12"/>
                <w:color w:val="auto"/>
              </w:rPr>
            </w:pPr>
          </w:p>
        </w:tc>
        <w:tc>
          <w:tcPr>
            <w:tcW w:w="1820" w:type="dxa"/>
            <w:vAlign w:val="bottom"/>
          </w:tcPr>
          <w:p>
            <w:pPr>
              <w:ind w:left="640"/>
              <w:spacing w:after="0" w:line="146" w:lineRule="exact"/>
              <w:rPr>
                <w:sz w:val="20"/>
                <w:szCs w:val="20"/>
                <w:color w:val="auto"/>
              </w:rPr>
            </w:pPr>
            <w:r>
              <w:rPr>
                <w:rFonts w:ascii="Arial" w:cs="Arial" w:eastAsia="Arial" w:hAnsi="Arial"/>
                <w:sz w:val="14"/>
                <w:szCs w:val="14"/>
                <w:color w:val="auto"/>
                <w:w w:val="89"/>
              </w:rPr>
              <w:t>Non-accelerated filer</w:t>
            </w:r>
          </w:p>
        </w:tc>
        <w:tc>
          <w:tcPr>
            <w:tcW w:w="940" w:type="dxa"/>
            <w:vAlign w:val="bottom"/>
            <w:vMerge w:val="continue"/>
          </w:tcPr>
          <w:p>
            <w:pPr>
              <w:spacing w:after="0"/>
              <w:rPr>
                <w:sz w:val="12"/>
                <w:szCs w:val="12"/>
                <w:color w:val="auto"/>
              </w:rPr>
            </w:pPr>
          </w:p>
        </w:tc>
        <w:tc>
          <w:tcPr>
            <w:tcW w:w="2280" w:type="dxa"/>
            <w:vAlign w:val="bottom"/>
          </w:tcPr>
          <w:p>
            <w:pPr>
              <w:ind w:left="780"/>
              <w:spacing w:after="0" w:line="146" w:lineRule="exact"/>
              <w:rPr>
                <w:sz w:val="20"/>
                <w:szCs w:val="20"/>
                <w:color w:val="auto"/>
              </w:rPr>
            </w:pPr>
            <w:r>
              <w:rPr>
                <w:rFonts w:ascii="Arial" w:cs="Arial" w:eastAsia="Arial" w:hAnsi="Arial"/>
                <w:sz w:val="14"/>
                <w:szCs w:val="14"/>
                <w:color w:val="auto"/>
                <w:w w:val="88"/>
              </w:rPr>
              <w:t>Smaller reporting company</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660" w:type="dxa"/>
            <w:vAlign w:val="bottom"/>
          </w:tcPr>
          <w:p>
            <w:pPr>
              <w:spacing w:after="0"/>
              <w:rPr>
                <w:sz w:val="20"/>
                <w:szCs w:val="20"/>
                <w:color w:val="auto"/>
              </w:rPr>
            </w:pPr>
            <w:r>
              <w:rPr>
                <w:rFonts w:ascii="Arial" w:cs="Arial" w:eastAsia="Arial" w:hAnsi="Arial"/>
                <w:sz w:val="14"/>
                <w:szCs w:val="14"/>
                <w:color w:val="auto"/>
              </w:rPr>
              <w:t>United Airlines, Inc.</w:t>
            </w:r>
          </w:p>
        </w:tc>
        <w:tc>
          <w:tcPr>
            <w:tcW w:w="1800" w:type="dxa"/>
            <w:vAlign w:val="bottom"/>
          </w:tcPr>
          <w:p>
            <w:pPr>
              <w:ind w:left="540"/>
              <w:spacing w:after="0"/>
              <w:rPr>
                <w:sz w:val="20"/>
                <w:szCs w:val="20"/>
                <w:color w:val="auto"/>
              </w:rPr>
            </w:pPr>
            <w:r>
              <w:rPr>
                <w:rFonts w:ascii="Arial" w:cs="Arial" w:eastAsia="Arial" w:hAnsi="Arial"/>
                <w:sz w:val="14"/>
                <w:szCs w:val="14"/>
                <w:color w:val="auto"/>
                <w:w w:val="89"/>
              </w:rPr>
              <w:t>Large accelerated filer</w:t>
            </w:r>
          </w:p>
        </w:tc>
        <w:tc>
          <w:tcPr>
            <w:tcW w:w="5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380" w:type="dxa"/>
            <w:vAlign w:val="bottom"/>
          </w:tcPr>
          <w:p>
            <w:pPr>
              <w:ind w:left="440"/>
              <w:spacing w:after="0"/>
              <w:rPr>
                <w:sz w:val="20"/>
                <w:szCs w:val="20"/>
                <w:color w:val="auto"/>
              </w:rPr>
            </w:pPr>
            <w:r>
              <w:rPr>
                <w:rFonts w:ascii="Arial" w:cs="Arial" w:eastAsia="Arial" w:hAnsi="Arial"/>
                <w:sz w:val="14"/>
                <w:szCs w:val="14"/>
                <w:color w:val="auto"/>
                <w:w w:val="91"/>
              </w:rPr>
              <w:t>Accelerated filer</w:t>
            </w:r>
          </w:p>
        </w:tc>
        <w:tc>
          <w:tcPr>
            <w:tcW w:w="8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820" w:type="dxa"/>
            <w:vAlign w:val="bottom"/>
          </w:tcPr>
          <w:p>
            <w:pPr>
              <w:ind w:left="640"/>
              <w:spacing w:after="0"/>
              <w:rPr>
                <w:sz w:val="20"/>
                <w:szCs w:val="20"/>
                <w:color w:val="auto"/>
              </w:rPr>
            </w:pPr>
            <w:r>
              <w:rPr>
                <w:rFonts w:ascii="Arial" w:cs="Arial" w:eastAsia="Arial" w:hAnsi="Arial"/>
                <w:sz w:val="14"/>
                <w:szCs w:val="14"/>
                <w:color w:val="auto"/>
                <w:w w:val="89"/>
              </w:rPr>
              <w:t>Non-accelerated filer</w:t>
            </w:r>
          </w:p>
        </w:tc>
        <w:tc>
          <w:tcPr>
            <w:tcW w:w="9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80" w:type="dxa"/>
            <w:vAlign w:val="bottom"/>
          </w:tcPr>
          <w:p>
            <w:pPr>
              <w:ind w:left="780"/>
              <w:spacing w:after="0"/>
              <w:rPr>
                <w:sz w:val="20"/>
                <w:szCs w:val="20"/>
                <w:color w:val="auto"/>
              </w:rPr>
            </w:pPr>
            <w:r>
              <w:rPr>
                <w:rFonts w:ascii="Arial" w:cs="Arial" w:eastAsia="Arial" w:hAnsi="Arial"/>
                <w:sz w:val="14"/>
                <w:szCs w:val="14"/>
                <w:color w:val="auto"/>
                <w:w w:val="88"/>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ind w:left="720"/>
        <w:spacing w:after="0" w:line="159" w:lineRule="exact"/>
        <w:tabs>
          <w:tab w:leader="none" w:pos="3460" w:val="left"/>
          <w:tab w:leader="none" w:pos="398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ind w:left="720"/>
        <w:spacing w:after="0" w:line="161" w:lineRule="exact"/>
        <w:tabs>
          <w:tab w:leader="none" w:pos="3460" w:val="left"/>
          <w:tab w:leader="none" w:pos="398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140"/>
        <w:spacing w:after="0" w:line="231" w:lineRule="auto"/>
        <w:rPr>
          <w:sz w:val="20"/>
          <w:szCs w:val="20"/>
          <w:color w:val="auto"/>
        </w:rPr>
      </w:pPr>
      <w:r>
        <w:rPr>
          <w:rFonts w:ascii="Arial" w:cs="Arial" w:eastAsia="Arial" w:hAnsi="Arial"/>
          <w:sz w:val="14"/>
          <w:szCs w:val="14"/>
          <w:color w:val="auto"/>
        </w:rPr>
        <w:t>The aggregate market value of common stock held by non-affiliates of United Continental Holdings, Inc. was $20,035,996,479 as of June 30, 2015, based on the closing price of $53.01 on the New York Stock Exchange reported for that date. There is no market for United Airlines, Inc. common stock.</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February 9, 2016.</w:t>
      </w:r>
    </w:p>
    <w:p>
      <w:pPr>
        <w:spacing w:after="0" w:line="14" w:lineRule="exact"/>
        <w:rPr>
          <w:sz w:val="24"/>
          <w:szCs w:val="24"/>
          <w:color w:val="auto"/>
        </w:rPr>
      </w:pPr>
    </w:p>
    <w:p>
      <w:pPr>
        <w:spacing w:after="0"/>
        <w:tabs>
          <w:tab w:leader="none" w:pos="3420" w:val="left"/>
        </w:tabs>
        <w:rPr>
          <w:sz w:val="20"/>
          <w:szCs w:val="20"/>
          <w:color w:val="auto"/>
        </w:rPr>
      </w:pPr>
      <w:r>
        <w:rPr>
          <w:rFonts w:ascii="Arial" w:cs="Arial" w:eastAsia="Arial" w:hAnsi="Arial"/>
          <w:sz w:val="14"/>
          <w:szCs w:val="14"/>
          <w:color w:val="auto"/>
        </w:rPr>
        <w:t>United Continental Holdings, Inc.</w:t>
      </w:r>
      <w:r>
        <w:rPr>
          <w:sz w:val="20"/>
          <w:szCs w:val="20"/>
          <w:color w:val="auto"/>
        </w:rPr>
        <w:tab/>
      </w:r>
      <w:r>
        <w:rPr>
          <w:rFonts w:ascii="Arial" w:cs="Arial" w:eastAsia="Arial" w:hAnsi="Arial"/>
          <w:sz w:val="12"/>
          <w:szCs w:val="12"/>
          <w:color w:val="auto"/>
        </w:rPr>
        <w:t>359,484,808 shares of common stock ($0.01 par value)</w:t>
      </w:r>
    </w:p>
    <w:p>
      <w:pPr>
        <w:spacing w:after="0"/>
        <w:tabs>
          <w:tab w:leader="none" w:pos="3420" w:val="left"/>
        </w:tabs>
        <w:rPr>
          <w:sz w:val="20"/>
          <w:szCs w:val="20"/>
          <w:color w:val="auto"/>
        </w:rPr>
      </w:pPr>
      <w:r>
        <w:rPr>
          <w:rFonts w:ascii="Arial" w:cs="Arial" w:eastAsia="Arial" w:hAnsi="Arial"/>
          <w:sz w:val="14"/>
          <w:szCs w:val="14"/>
          <w:color w:val="auto"/>
        </w:rPr>
        <w:t>United Airlines, Inc.</w:t>
      </w:r>
      <w:r>
        <w:rPr>
          <w:sz w:val="20"/>
          <w:szCs w:val="20"/>
          <w:color w:val="auto"/>
        </w:rPr>
        <w:tab/>
      </w:r>
      <w:r>
        <w:rPr>
          <w:rFonts w:ascii="Arial" w:cs="Arial" w:eastAsia="Arial" w:hAnsi="Arial"/>
          <w:sz w:val="12"/>
          <w:szCs w:val="12"/>
          <w:color w:val="auto"/>
        </w:rPr>
        <w:t>1,000 (100% owned by United Continental Holdings, Inc.)</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This combined Form 10-K is separately filed by United Continental Holdings, Inc. and United Airlines, Inc.</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OMISSION OF CERTAIN INFORMATION</w:t>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United Airlines, Inc. meets the conditions set forth in General Instruction I(1)(a) and (b) of Form 10-K and are therefore filing this form with the reduced disclosure format allowed under that General Instruction.</w:t>
      </w:r>
    </w:p>
    <w:p>
      <w:pPr>
        <w:spacing w:after="0" w:line="36"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80"/>
        <w:spacing w:after="0" w:line="239" w:lineRule="auto"/>
        <w:rPr>
          <w:sz w:val="20"/>
          <w:szCs w:val="20"/>
          <w:color w:val="auto"/>
        </w:rPr>
      </w:pPr>
      <w:r>
        <w:rPr>
          <w:rFonts w:ascii="Arial" w:cs="Arial" w:eastAsia="Arial" w:hAnsi="Arial"/>
          <w:sz w:val="14"/>
          <w:szCs w:val="14"/>
          <w:color w:val="auto"/>
        </w:rPr>
        <w:t>Information required by Items 10, 11, 12 and 13 of Part III of this Form 10-K are incorporated by reference for United Continental Holdings, Inc. from its definitive proxy statement for its 2016 Annual Meeting of Stockholders.</w:t>
      </w:r>
    </w:p>
    <w:p>
      <w:pPr>
        <w:sectPr>
          <w:pgSz w:w="11900" w:h="16838" w:orient="portrait"/>
          <w:cols w:equalWidth="0" w:num="1">
            <w:col w:w="11420"/>
          </w:cols>
          <w:pgMar w:left="240" w:top="2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60" w:type="dxa"/>
            <w:vAlign w:val="bottom"/>
            <w:gridSpan w:val="20"/>
          </w:tcPr>
          <w:p>
            <w:pPr>
              <w:jc w:val="center"/>
              <w:ind w:right="2220"/>
              <w:spacing w:after="0"/>
              <w:rPr>
                <w:sz w:val="20"/>
                <w:szCs w:val="20"/>
                <w:color w:val="auto"/>
              </w:rPr>
            </w:pPr>
            <w:r>
              <w:rPr>
                <w:rFonts w:ascii="Arial" w:cs="Arial" w:eastAsia="Arial" w:hAnsi="Arial"/>
                <w:sz w:val="18"/>
                <w:szCs w:val="18"/>
                <w:b w:val="1"/>
                <w:bCs w:val="1"/>
                <w:color w:val="auto"/>
                <w:w w:val="88"/>
              </w:rPr>
              <w:t>United Continental Holdings, Inc. and Subsidiary Companies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20"/>
          </w:tcPr>
          <w:p>
            <w:pPr>
              <w:jc w:val="center"/>
              <w:ind w:right="2240"/>
              <w:spacing w:after="0"/>
              <w:rPr>
                <w:sz w:val="20"/>
                <w:szCs w:val="20"/>
                <w:color w:val="auto"/>
              </w:rPr>
            </w:pPr>
            <w:r>
              <w:rPr>
                <w:rFonts w:ascii="Arial" w:cs="Arial" w:eastAsia="Arial" w:hAnsi="Arial"/>
                <w:sz w:val="18"/>
                <w:szCs w:val="18"/>
                <w:b w:val="1"/>
                <w:bCs w:val="1"/>
                <w:color w:val="auto"/>
                <w:w w:val="88"/>
              </w:rPr>
              <w:t>United Airlines, Inc. and Subsidiary Companies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80" w:type="dxa"/>
            <w:vAlign w:val="bottom"/>
            <w:gridSpan w:val="18"/>
          </w:tcPr>
          <w:p>
            <w:pPr>
              <w:jc w:val="center"/>
              <w:ind w:right="3300"/>
              <w:spacing w:after="0"/>
              <w:rPr>
                <w:sz w:val="20"/>
                <w:szCs w:val="20"/>
                <w:color w:val="auto"/>
              </w:rPr>
            </w:pPr>
            <w:r>
              <w:rPr>
                <w:rFonts w:ascii="Arial" w:cs="Arial" w:eastAsia="Arial" w:hAnsi="Arial"/>
                <w:sz w:val="18"/>
                <w:szCs w:val="18"/>
                <w:b w:val="1"/>
                <w:bCs w:val="1"/>
                <w:color w:val="auto"/>
                <w:w w:val="91"/>
              </w:rPr>
              <w:t>Annual Report on Form 10-K</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80" w:type="dxa"/>
            <w:vAlign w:val="bottom"/>
            <w:gridSpan w:val="19"/>
          </w:tcPr>
          <w:p>
            <w:pPr>
              <w:jc w:val="center"/>
              <w:ind w:right="3020"/>
              <w:spacing w:after="0"/>
              <w:rPr>
                <w:sz w:val="20"/>
                <w:szCs w:val="20"/>
                <w:color w:val="auto"/>
              </w:rPr>
            </w:pPr>
            <w:r>
              <w:rPr>
                <w:rFonts w:ascii="Arial" w:cs="Arial" w:eastAsia="Arial" w:hAnsi="Arial"/>
                <w:sz w:val="18"/>
                <w:szCs w:val="18"/>
                <w:b w:val="1"/>
                <w:bCs w:val="1"/>
                <w:color w:val="auto"/>
                <w:w w:val="88"/>
              </w:rPr>
              <w:t>For the Year Ended December 31, 2015</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4"/>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460" w:type="dxa"/>
            <w:vAlign w:val="bottom"/>
            <w:gridSpan w:val="9"/>
            <w:vMerge w:val="restart"/>
          </w:tcPr>
          <w:p>
            <w:pPr>
              <w:spacing w:after="0"/>
              <w:rPr>
                <w:sz w:val="24"/>
                <w:szCs w:val="24"/>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3"/>
        </w:trPr>
        <w:tc>
          <w:tcPr>
            <w:tcW w:w="1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0000EE"/>
            </w:tcBorders>
            <w:gridSpan w:val="4"/>
            <w:vMerge w:val="continue"/>
          </w:tcPr>
          <w:p>
            <w:pPr>
              <w:spacing w:after="0"/>
              <w:rPr>
                <w:sz w:val="13"/>
                <w:szCs w:val="13"/>
                <w:color w:val="auto"/>
              </w:rPr>
            </w:pPr>
          </w:p>
        </w:tc>
        <w:tc>
          <w:tcPr>
            <w:tcW w:w="4460" w:type="dxa"/>
            <w:vAlign w:val="bottom"/>
            <w:gridSpan w:val="9"/>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8860" w:type="dxa"/>
            <w:vAlign w:val="bottom"/>
            <w:gridSpan w:val="2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6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Unresolved Staff Comments</w:t>
              </w:r>
            </w:hyperlink>
          </w:p>
        </w:tc>
        <w:tc>
          <w:tcPr>
            <w:tcW w:w="6860" w:type="dxa"/>
            <w:vAlign w:val="bottom"/>
            <w:gridSpan w:val="20"/>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8140" w:type="dxa"/>
            <w:vAlign w:val="bottom"/>
            <w:gridSpan w:val="2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860" w:type="dxa"/>
            <w:vAlign w:val="bottom"/>
            <w:gridSpan w:val="2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2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PART II</w:t>
              </w:r>
            </w:hyperlink>
          </w:p>
        </w:tc>
        <w:tc>
          <w:tcPr>
            <w:tcW w:w="44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Market for Registrant’s Common Equity, Related Stockholder Matters and Issuer Purchases of Equity Securities</w:t>
              </w:r>
            </w:hyperlink>
          </w:p>
        </w:tc>
        <w:tc>
          <w:tcPr>
            <w:tcW w:w="9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86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Management’s Discussion and Analysis of Financial Condition and Results of Operations</w:t>
              </w:r>
            </w:hyperlink>
          </w:p>
        </w:tc>
        <w:tc>
          <w:tcPr>
            <w:tcW w:w="2560" w:type="dxa"/>
            <w:vAlign w:val="bottom"/>
            <w:gridSpan w:val="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8860" w:type="dxa"/>
            <w:vAlign w:val="bottom"/>
            <w:gridSpan w:val="2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660" w:type="dxa"/>
            <w:vAlign w:val="bottom"/>
            <w:gridSpan w:val="10"/>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8860" w:type="dxa"/>
            <w:vAlign w:val="bottom"/>
            <w:gridSpan w:val="2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Combined Notes to Consolidated Financial Statements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Changes in and Disagreements with Accountants on Accounting and Financial Disclosure</w:t>
              </w:r>
            </w:hyperlink>
          </w:p>
        </w:tc>
        <w:tc>
          <w:tcPr>
            <w:tcW w:w="254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8860" w:type="dxa"/>
            <w:vAlign w:val="bottom"/>
            <w:gridSpan w:val="2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7140" w:type="dxa"/>
            <w:vAlign w:val="bottom"/>
            <w:gridSpan w:val="2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Borders>
              <w:bottom w:val="single" w:sz="8" w:color="0000EE"/>
            </w:tcBorders>
            <w:gridSpan w:val="10"/>
          </w:tcPr>
          <w:p>
            <w:pPr>
              <w:jc w:val="center"/>
              <w:ind w:right="20"/>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III</w:t>
              </w:r>
            </w:hyperlink>
          </w:p>
        </w:tc>
        <w:tc>
          <w:tcPr>
            <w:tcW w:w="438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Directors, Executive Officers and Corporate Governance</w:t>
              </w:r>
            </w:hyperlink>
          </w:p>
        </w:tc>
        <w:tc>
          <w:tcPr>
            <w:tcW w:w="4860" w:type="dxa"/>
            <w:vAlign w:val="bottom"/>
            <w:gridSpan w:val="11"/>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Executive Compensation</w:t>
              </w:r>
            </w:hyperlink>
          </w:p>
        </w:tc>
        <w:tc>
          <w:tcPr>
            <w:tcW w:w="7100" w:type="dxa"/>
            <w:vAlign w:val="bottom"/>
            <w:gridSpan w:val="21"/>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Security Ownership of Certain Beneficial Owners and Management and Related Stockholder Matters</w:t>
              </w:r>
            </w:hyperlink>
          </w:p>
        </w:tc>
        <w:tc>
          <w:tcPr>
            <w:tcW w:w="174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Certain Relationships and Related Transactions, and Director Independence</w:t>
              </w:r>
            </w:hyperlink>
          </w:p>
        </w:tc>
        <w:tc>
          <w:tcPr>
            <w:tcW w:w="354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860" w:type="dxa"/>
            <w:vAlign w:val="bottom"/>
            <w:gridSpan w:val="2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00" w:type="dxa"/>
            <w:vAlign w:val="bottom"/>
            <w:gridSpan w:val="16"/>
          </w:tcPr>
          <w:p>
            <w:pPr>
              <w:jc w:val="center"/>
              <w:ind w:right="4400"/>
              <w:spacing w:after="0"/>
              <w:rPr>
                <w:rFonts w:ascii="Arial" w:cs="Arial" w:eastAsia="Arial" w:hAnsi="Arial"/>
                <w:sz w:val="18"/>
                <w:szCs w:val="18"/>
                <w:b w:val="1"/>
                <w:bCs w:val="1"/>
                <w:color w:val="0000EE"/>
                <w:w w:val="98"/>
              </w:rPr>
            </w:pPr>
            <w:hyperlink w:anchor="page116">
              <w:r>
                <w:rPr>
                  <w:rFonts w:ascii="Arial" w:cs="Arial" w:eastAsia="Arial" w:hAnsi="Arial"/>
                  <w:sz w:val="18"/>
                  <w:szCs w:val="18"/>
                  <w:b w:val="1"/>
                  <w:bCs w:val="1"/>
                  <w:color w:val="0000EE"/>
                  <w:w w:val="98"/>
                </w:rPr>
                <w:t>PART IV</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780" w:type="dxa"/>
            <w:vAlign w:val="bottom"/>
            <w:gridSpan w:val="1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8"/>
          </w:tcPr>
          <w:p>
            <w:pPr>
              <w:spacing w:after="0"/>
              <w:rPr>
                <w:sz w:val="17"/>
                <w:szCs w:val="17"/>
                <w:color w:val="auto"/>
              </w:rPr>
            </w:pPr>
          </w:p>
        </w:tc>
        <w:tc>
          <w:tcPr>
            <w:tcW w:w="4400" w:type="dxa"/>
            <w:vAlign w:val="bottom"/>
            <w:gridSpan w:val="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83"/>
        </w:trPr>
        <w:tc>
          <w:tcPr>
            <w:tcW w:w="1400" w:type="dxa"/>
            <w:vAlign w:val="bottom"/>
          </w:tcPr>
          <w:p>
            <w:pPr>
              <w:spacing w:after="0"/>
              <w:rPr>
                <w:sz w:val="24"/>
                <w:szCs w:val="24"/>
                <w:color w:val="auto"/>
              </w:rPr>
            </w:pPr>
          </w:p>
        </w:tc>
        <w:tc>
          <w:tcPr>
            <w:tcW w:w="3080" w:type="dxa"/>
            <w:vAlign w:val="bottom"/>
            <w:tcBorders>
              <w:top w:val="single" w:sz="8" w:color="0000EE"/>
            </w:tcBorders>
            <w:gridSpan w:val="10"/>
          </w:tcPr>
          <w:p>
            <w:pPr>
              <w:spacing w:after="0"/>
              <w:rPr>
                <w:sz w:val="24"/>
                <w:szCs w:val="24"/>
                <w:color w:val="auto"/>
              </w:rPr>
            </w:pPr>
          </w:p>
        </w:tc>
        <w:tc>
          <w:tcPr>
            <w:tcW w:w="1320" w:type="dxa"/>
            <w:vAlign w:val="bottom"/>
            <w:gridSpan w:val="9"/>
          </w:tcPr>
          <w:p>
            <w:pPr>
              <w:jc w:val="center"/>
              <w:ind w:left="107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ind w:right="80"/>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Form 10-K contains various “forward-looking statements” within the meaning of Section 27A of the Securities Act of 1933, as amended (the “Securities Act”), and Section 21E of the Securities Exchange Act of 1934, as amended (the “Exchange Act”). Forward-looking statements represent the Company’s expectations and beliefs concerning future events, based on information available to the Company on the date of the filing of this Form 10-K, and are subject to various risks and uncertainties. Factors that could cause actual results to differ materially from those referenced in the forward-looking statements are listed in Part I, Item 1A, Risk Factors and in Part II, Item 7, Management’s Discussion and Analysis of Financial Condition and Results of Operations. The Company disclaims any intent or obligation to update or revise any of the forward-looking statements, whether in response to new information, unforeseen events, changed circumstances or otherwise, except as required by applicable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United Continental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UAL was incorporated under the laws of the State of Delaware on December 30, 1968. Our world headquarters is located at 233 South Wacker Drive, Chicago, Illinois 60606 (telephone number (872) 825-4000).</w:t>
      </w:r>
    </w:p>
    <w:p>
      <w:pPr>
        <w:spacing w:after="0" w:line="7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Company’s website is www.unitedcontinentalholdings.com. The information contained on or connected to the Company’s website is not incorporated by reference into this annual report on Form 10-K and should not be considered part of this or any other report filed with the U.S. Securities and Exchange Commission (“SEC”). Through this website, the Company’s filings with the SEC, including annual reports on Form 10-K, quarterly reports on Form 10-Q, current reports on Form 8-K, and all amendments to those reports, as well as our proxy statement for our annual meeting of stockholders, are accessible without charge as soon as reasonably practicable after such material is electronically filed with or furnished to the SEC. Such filings are also available on the SEC’s website at www.sec.gov.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transports people and cargo through its mainline and regional operations. See Part I, Item 2 Properties, for a description of the Company’s mainline and regional aircraft.</w:t>
      </w:r>
    </w:p>
    <w:p>
      <w:pPr>
        <w:spacing w:after="0" w:line="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With key global air rights in North America, Asia-Pacific, Europe, Middle East, Africa and Latin America, UAL has the world’s most comprehensive global route network. UAL, through United and its regional carriers, operates an average of nearly 5,000 flights a day to 342 airports across six continents from the Company’s hubs at Newark Liberty International Airport (“Newark Liberty”), Chicago O’Hare International Airport (“Chicago O’Hare”), Denver International Airport (“Denver”), George Bush Intercontinental Airport (“Houston Bush”), Los Angeles International Airport (“LAX”), A.B. Won Pat International Airport (“Guam”), San Francisco International Airport (“SFO”) and Washington Dulles International Airport (“Washington Dulles”).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w:t>
      </w:r>
      <w:r>
        <w:rPr>
          <w:rFonts w:ascii="Arial" w:cs="Arial" w:eastAsia="Arial" w:hAnsi="Arial"/>
          <w:sz w:val="16"/>
          <w:szCs w:val="16"/>
          <w:i w:val="1"/>
          <w:iCs w:val="1"/>
          <w:color w:val="auto"/>
        </w:rPr>
        <w:t>Alliances</w:t>
      </w:r>
      <w:r>
        <w:rPr>
          <w:rFonts w:ascii="Arial" w:cs="Arial" w:eastAsia="Arial" w:hAnsi="Arial"/>
          <w:sz w:val="16"/>
          <w:szCs w:val="16"/>
          <w:color w:val="auto"/>
        </w:rPr>
        <w:t xml:space="preserve"> below, United is a member of Star Alliance, the world’s largest alliance network.</w:t>
      </w:r>
    </w:p>
    <w:p>
      <w:pPr>
        <w:spacing w:after="0" w:line="5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Financial information on the Company’s operating revenues by geographic regions, as reported to the U.S. Department of Transportation (the “DOT”), can be found in Note 17 to the financial statements included in Part II, Item 8 of this report.</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Regional. </w:t>
      </w:r>
      <w:r>
        <w:rPr>
          <w:rFonts w:ascii="Arial" w:cs="Arial" w:eastAsia="Arial" w:hAnsi="Arial"/>
          <w:sz w:val="16"/>
          <w:szCs w:val="16"/>
          <w:color w:val="auto"/>
        </w:rPr>
        <w:t>The Company has contractual relationships with various regional carriers to provide regional jet and turboprop service branded as United Express.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regional operations are an extension of the Company’s mainline network. This regional service complements our operations by carrying traffic that connects to our mainline service and allows flights to smaller cities that cannot be provided economically with mainline aircraft. Republic Airlines (“Republic”), CommutAir Airlines (“CommutAir”), ExpressJet Airlines (“ExpressJet”), GoJet Airlines (“GoJet”), Mesa Airlines (“Mesa”), Shuttle America (“Shuttle”), SkyWest Airlines (“SkyWest”) and Trans States Airlines (“Trans States”) are all regional carriers, which operate most of their capacity contracted to United under capacity purchase agreements (“CPAs”) with United. Under these CPAs, the Company pays the regional carriers contractually agreed fees (carrier-controlled costs) for operating these flights plus a variable reimbursement (incentive payment for operational performance) based on agreed performance metrics. The fees for carrier-controlled costs are based on specific rates for various operating expenses of the regional carriers, such as crew expenses, maintenance and aircraft ownership, some of which are multiplied by specific operating statistics (e.g., block hours, departures) while others are fixed monthly amounts. Under these CPAs, the Company is responsible for all fuel costs incurred as well as landing fees, facilities rent and other costs, which are either passed through by the regional carrier to the Company without any markup or directly incurred by the Company. In return, the regional carriers operate this capacity exclusively for United, on schedules determined by the Company. The Company also determines pricing and revenue management, assumes the inventory and distribution risk for the available seats, and permits mileage accrual and redemption for regional flights through its MileagePlus loyalty program.</w:t>
      </w:r>
    </w:p>
    <w:p>
      <w:pPr>
        <w:spacing w:after="0" w:line="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While the regional carriers operating under CPAs comprise more than 95% of all regional flights, the Company also has prorate agreements with Hyannis Air Service, Inc. (“Cape Air”), SkyWest and Trans States. Under these commercial flying agreements, the Company and its regional carriers agree to divide revenue collected from each passenger according to a formula, while both the Company and its regional carriers are individually responsible for their own costs of operations. Unlike CPAs, under a prorate agreement, the regional carrier retains the control and risk of scheduling, and in most cases, market selection, local seat pricing and inventory for its flights, although the Company and its regional carriers may coordinate schedules to maximize connections.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Alliances. </w:t>
      </w:r>
      <w:r>
        <w:rPr>
          <w:rFonts w:ascii="Arial" w:cs="Arial" w:eastAsia="Arial" w:hAnsi="Arial"/>
          <w:sz w:val="18"/>
          <w:szCs w:val="18"/>
          <w:color w:val="auto"/>
        </w:rPr>
        <w:t>United is a member of Star Alliance, a global integrated airline network co-founded by United in 1997 and the largest and most comprehensive airline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alliance in the world. As of January 1, 2016, Star Alliance carriers served over 1,300 airports in more than 190 countries with over 18,500 daily departures. Current Star Alliance members, in addition to United, are Adria Airways, Aegean Airlines, Air Canada, Air China, Air India, Air New Zealand, All Nippon Airways (“ANA”), Asiana Airlines, Austrian Airlines, Avianca, Avianca Brasil, Brussels Airlines, Copa Airlines, Croatia Airlines, EGYPTAIR, Ethiopian Airlines, EVA Air, LOT Polish Airlines, Lufthansa, SAS Scandinavian Airlines, Shenzhen Airlines, Singapore Airlines, South African Airways, SWISS, TAP Portugal, THAI Airways International and Turkish Airlines.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United has a variety of bilateral commercial alliance agreements and obligations with Star Alliance members, addressing, among other things, reciprocal earning, redemption of frequent flyer miles and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marketing alliance agreements with other air carriers currently unaffiliated with a global alliance, including Aeromar, Aer Lingus, Air Dolomiti, Azul, Cape Air,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Eurowings, Germanwings, Great Lakes Airlines, Hawaiian Airlines, Island Air, Jet Airways and Silver Airways. United also offers a train-to-plane codeshare and frequent flyer alliance with Amtrak from Newark Liberty on select city pairs in the Northeastern United States.</w:t>
      </w:r>
    </w:p>
    <w:p>
      <w:pPr>
        <w:spacing w:after="0" w:line="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United also participates in joint ventures, one with Air Canada and the Lufthansa Group (which includes Lufthansa and its affiliates Austrian Airlines, Brussels Airlines and SWISS) covering transatlantic routes, and another with ANA covering certain transpacific routes. These joint ventures enable the participating carriers to integrate the services they provide in the respective regions, capturing revenue synergies and delivering highly competitive flight schedules, fares and services.</w:t>
      </w:r>
    </w:p>
    <w:p>
      <w:pPr>
        <w:spacing w:after="0" w:line="89"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b w:val="1"/>
          <w:bCs w:val="1"/>
          <w:i w:val="1"/>
          <w:iCs w:val="1"/>
          <w:color w:val="auto"/>
        </w:rPr>
        <w:t xml:space="preserve">Loyalty Program. </w:t>
      </w:r>
      <w:r>
        <w:rPr>
          <w:rFonts w:ascii="Arial" w:cs="Arial" w:eastAsia="Arial" w:hAnsi="Arial"/>
          <w:sz w:val="15"/>
          <w:szCs w:val="15"/>
          <w:color w:val="auto"/>
        </w:rPr>
        <w:t>United’s MileagePlus program builds customer loyalty by offering awards and services to program participants. Members in this program earn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mileage credit for flights on United, United Express, airlines in Star Alliance and certain other airlines that participate in the program. Members can also earn miles by purchasing the goods and services of our network of non-airline partners, such as credit card issuers, retail merchants, hotels and car rental companies. Members can redeem mileage credits for free (other than taxes and government imposed fees), discounted or upgraded travel and non-travel awards.</w:t>
      </w:r>
    </w:p>
    <w:p>
      <w:pPr>
        <w:spacing w:after="0" w:line="4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Company has an agreement with Chase Bank USA, N.A. (“Chase”), pursuant to which members of the Company’s MileagePlus</w:t>
      </w:r>
      <w:r>
        <w:rPr>
          <w:rFonts w:ascii="Arial" w:cs="Arial" w:eastAsia="Arial" w:hAnsi="Arial"/>
          <w:sz w:val="10"/>
          <w:szCs w:val="10"/>
          <w:color w:val="auto"/>
        </w:rPr>
        <w:t>®</w:t>
      </w:r>
      <w:r>
        <w:rPr>
          <w:rFonts w:ascii="Arial" w:cs="Arial" w:eastAsia="Arial" w:hAnsi="Arial"/>
          <w:sz w:val="16"/>
          <w:szCs w:val="16"/>
          <w:color w:val="auto"/>
        </w:rPr>
        <w:t xml:space="preserve"> loyalty program earn miles for making purchases using a MileagePlus</w:t>
      </w:r>
      <w:r>
        <w:rPr>
          <w:rFonts w:ascii="Arial" w:cs="Arial" w:eastAsia="Arial" w:hAnsi="Arial"/>
          <w:sz w:val="10"/>
          <w:szCs w:val="10"/>
          <w:color w:val="auto"/>
        </w:rPr>
        <w:t>®</w:t>
      </w:r>
      <w:r>
        <w:rPr>
          <w:rFonts w:ascii="Arial" w:cs="Arial" w:eastAsia="Arial" w:hAnsi="Arial"/>
          <w:sz w:val="16"/>
          <w:szCs w:val="16"/>
          <w:color w:val="auto"/>
        </w:rPr>
        <w:t xml:space="preserve"> credit card issued by Chase. The agreement also provides for joint marketing and other support for the MileagePlus</w:t>
      </w:r>
      <w:r>
        <w:rPr>
          <w:rFonts w:ascii="Arial" w:cs="Arial" w:eastAsia="Arial" w:hAnsi="Arial"/>
          <w:sz w:val="10"/>
          <w:szCs w:val="10"/>
          <w:color w:val="auto"/>
        </w:rPr>
        <w:t>®</w:t>
      </w:r>
      <w:r>
        <w:rPr>
          <w:rFonts w:ascii="Arial" w:cs="Arial" w:eastAsia="Arial" w:hAnsi="Arial"/>
          <w:sz w:val="16"/>
          <w:szCs w:val="16"/>
          <w:color w:val="auto"/>
        </w:rPr>
        <w:t xml:space="preserve"> credit card and provides Chase with other benefits such as permission to market to the Company’s customer database.</w:t>
      </w:r>
    </w:p>
    <w:p>
      <w:pPr>
        <w:spacing w:after="0" w:line="5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Approximately 5.0 million and 4.8 million MileagePlus flight awards were used on United in 2015 and 2014, respectively. These awards represented 7.5% and 7.1% of United’s total revenue passenger miles in 2015 and 2014, respectively. Total miles redeemed for flights on United in 2015, including class-of-service upgrades, represented approximately 83% of the total miles redeemed.</w:t>
      </w:r>
    </w:p>
    <w:p>
      <w:pPr>
        <w:spacing w:after="0" w:line="8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addition, excluding miles redeemed for flights on United, MileagePlus members redeemed miles for approximately 1.8 million other awards in 2015 as compared to 1.75 million in 2014. These awards include United Club memberships, car and hotel awards, merchandise and flights on other air carriers.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Aircraft Fuel. </w:t>
      </w:r>
      <w:r>
        <w:rPr>
          <w:rFonts w:ascii="Arial" w:cs="Arial" w:eastAsia="Arial" w:hAnsi="Arial"/>
          <w:sz w:val="18"/>
          <w:szCs w:val="18"/>
          <w:color w:val="auto"/>
        </w:rPr>
        <w:t>The table below summarizes UAL’s aircraft fuel consumption and expense during the last three years.</w:t>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3"/>
              </w:rPr>
              <w:t>Percentage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Gallons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7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Year</w:t>
            </w: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5"/>
              </w:rPr>
              <w:t>Consumed</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Fuel Expense</w:t>
            </w:r>
          </w:p>
        </w:tc>
        <w:tc>
          <w:tcPr>
            <w:tcW w:w="16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Average Price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(in millions)</w:t>
            </w: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millions)</w:t>
            </w:r>
          </w:p>
        </w:tc>
        <w:tc>
          <w:tcPr>
            <w:tcW w:w="16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Per Gallon</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Expense (a)</w:t>
            </w:r>
          </w:p>
        </w:tc>
        <w:tc>
          <w:tcPr>
            <w:tcW w:w="0" w:type="dxa"/>
            <w:vAlign w:val="bottom"/>
          </w:tcPr>
          <w:p>
            <w:pPr>
              <w:spacing w:after="0"/>
              <w:rPr>
                <w:sz w:val="1"/>
                <w:szCs w:val="1"/>
                <w:color w:val="auto"/>
              </w:rPr>
            </w:pPr>
          </w:p>
        </w:tc>
      </w:tr>
      <w:tr>
        <w:trPr>
          <w:trHeight w:val="211"/>
        </w:trPr>
        <w:tc>
          <w:tcPr>
            <w:tcW w:w="420" w:type="dxa"/>
            <w:vAlign w:val="bottom"/>
            <w:tcBorders>
              <w:top w:val="single" w:sz="8" w:color="CCCCCC"/>
            </w:tcBorders>
            <w:shd w:val="clear" w:color="auto" w:fill="CCCCCC"/>
          </w:tcPr>
          <w:p>
            <w:pPr>
              <w:spacing w:after="0"/>
              <w:rPr>
                <w:sz w:val="18"/>
                <w:szCs w:val="18"/>
                <w:color w:val="auto"/>
              </w:rPr>
            </w:pPr>
          </w:p>
        </w:tc>
        <w:tc>
          <w:tcPr>
            <w:tcW w:w="1260" w:type="dxa"/>
            <w:vAlign w:val="bottom"/>
            <w:tcBorders>
              <w:top w:val="single" w:sz="8" w:color="auto"/>
            </w:tcBorders>
            <w:shd w:val="clear" w:color="auto" w:fill="CCCCCC"/>
          </w:tcPr>
          <w:p>
            <w:pPr>
              <w:jc w:val="right"/>
              <w:ind w:right="732"/>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top w:val="single" w:sz="8" w:color="CCCCCC"/>
            </w:tcBorders>
            <w:shd w:val="clear" w:color="auto" w:fill="CCCCCC"/>
          </w:tcPr>
          <w:p>
            <w:pPr>
              <w:spacing w:after="0"/>
              <w:rPr>
                <w:sz w:val="18"/>
                <w:szCs w:val="18"/>
                <w:color w:val="auto"/>
              </w:rPr>
            </w:pPr>
          </w:p>
        </w:tc>
        <w:tc>
          <w:tcPr>
            <w:tcW w:w="9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3,886</w:t>
            </w:r>
          </w:p>
        </w:tc>
        <w:tc>
          <w:tcPr>
            <w:tcW w:w="560" w:type="dxa"/>
            <w:vAlign w:val="bottom"/>
            <w:tcBorders>
              <w:top w:val="single" w:sz="8" w:color="CCCCCC"/>
            </w:tcBorders>
            <w:shd w:val="clear" w:color="auto" w:fill="CCCCCC"/>
          </w:tcPr>
          <w:p>
            <w:pPr>
              <w:spacing w:after="0"/>
              <w:rPr>
                <w:sz w:val="18"/>
                <w:szCs w:val="18"/>
                <w:color w:val="auto"/>
              </w:rPr>
            </w:pPr>
          </w:p>
        </w:tc>
        <w:tc>
          <w:tcPr>
            <w:tcW w:w="340" w:type="dxa"/>
            <w:vAlign w:val="bottom"/>
            <w:tcBorders>
              <w:top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7,522</w:t>
            </w:r>
          </w:p>
        </w:tc>
        <w:tc>
          <w:tcPr>
            <w:tcW w:w="540" w:type="dxa"/>
            <w:vAlign w:val="bottom"/>
            <w:tcBorders>
              <w:top w:val="single" w:sz="8" w:color="CCCCCC"/>
            </w:tcBorders>
            <w:shd w:val="clear" w:color="auto" w:fill="CCCCCC"/>
          </w:tcPr>
          <w:p>
            <w:pPr>
              <w:spacing w:after="0"/>
              <w:rPr>
                <w:sz w:val="18"/>
                <w:szCs w:val="18"/>
                <w:color w:val="auto"/>
              </w:rPr>
            </w:pPr>
          </w:p>
        </w:tc>
        <w:tc>
          <w:tcPr>
            <w:tcW w:w="420" w:type="dxa"/>
            <w:vAlign w:val="bottom"/>
            <w:tcBorders>
              <w:top w:val="single" w:sz="8" w:color="auto"/>
            </w:tcBorders>
            <w:shd w:val="clear" w:color="auto" w:fill="CCCCCC"/>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1.94</w:t>
            </w:r>
          </w:p>
        </w:tc>
        <w:tc>
          <w:tcPr>
            <w:tcW w:w="560" w:type="dxa"/>
            <w:vAlign w:val="bottom"/>
            <w:tcBorders>
              <w:top w:val="single" w:sz="8" w:color="CCCCCC"/>
            </w:tcBorders>
            <w:shd w:val="clear" w:color="auto" w:fill="CCCCCC"/>
          </w:tcPr>
          <w:p>
            <w:pPr>
              <w:spacing w:after="0"/>
              <w:rPr>
                <w:sz w:val="18"/>
                <w:szCs w:val="18"/>
                <w:color w:val="auto"/>
              </w:rPr>
            </w:pPr>
          </w:p>
        </w:tc>
        <w:tc>
          <w:tcPr>
            <w:tcW w:w="10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jc w:val="right"/>
              <w:ind w:right="732"/>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3,905</w:t>
            </w:r>
          </w:p>
        </w:tc>
        <w:tc>
          <w:tcPr>
            <w:tcW w:w="56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11,675</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gridSpan w:val="2"/>
            <w:shd w:val="clear" w:color="auto" w:fill="CCCCCC"/>
          </w:tcPr>
          <w:p>
            <w:pPr>
              <w:jc w:val="right"/>
              <w:ind w:right="732"/>
              <w:spacing w:after="0"/>
              <w:rPr>
                <w:sz w:val="20"/>
                <w:szCs w:val="20"/>
                <w:color w:val="auto"/>
              </w:rPr>
            </w:pPr>
            <w:r>
              <w:rPr>
                <w:rFonts w:ascii="Arial" w:cs="Arial" w:eastAsia="Arial" w:hAnsi="Arial"/>
                <w:sz w:val="18"/>
                <w:szCs w:val="18"/>
                <w:b w:val="1"/>
                <w:bCs w:val="1"/>
                <w:color w:val="auto"/>
              </w:rPr>
              <w:t>2013</w:t>
            </w:r>
          </w:p>
        </w:tc>
        <w:tc>
          <w:tcPr>
            <w:tcW w:w="460" w:type="dxa"/>
            <w:vAlign w:val="bottom"/>
            <w:shd w:val="clear" w:color="auto" w:fill="CCCCCC"/>
          </w:tcPr>
          <w:p>
            <w:pPr>
              <w:spacing w:after="0"/>
              <w:rPr>
                <w:sz w:val="18"/>
                <w:szCs w:val="18"/>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3,947</w:t>
            </w:r>
          </w:p>
        </w:tc>
        <w:tc>
          <w:tcPr>
            <w:tcW w:w="560" w:type="dxa"/>
            <w:vAlign w:val="bottom"/>
            <w:shd w:val="clear" w:color="auto" w:fill="CCCCCC"/>
          </w:tcPr>
          <w:p>
            <w:pPr>
              <w:spacing w:after="0"/>
              <w:rPr>
                <w:sz w:val="18"/>
                <w:szCs w:val="18"/>
                <w:color w:val="auto"/>
              </w:rPr>
            </w:pPr>
          </w:p>
        </w:tc>
        <w:tc>
          <w:tcPr>
            <w:tcW w:w="340" w:type="dxa"/>
            <w:vAlign w:val="bottom"/>
            <w:shd w:val="clear" w:color="auto" w:fill="CCCCCC"/>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CCCC"/>
          </w:tcPr>
          <w:p>
            <w:pPr>
              <w:jc w:val="right"/>
              <w:ind w:right="540"/>
              <w:spacing w:after="0"/>
              <w:rPr>
                <w:sz w:val="20"/>
                <w:szCs w:val="20"/>
                <w:color w:val="auto"/>
              </w:rPr>
            </w:pPr>
            <w:r>
              <w:rPr>
                <w:rFonts w:ascii="Arial" w:cs="Arial" w:eastAsia="Arial" w:hAnsi="Arial"/>
                <w:sz w:val="18"/>
                <w:szCs w:val="18"/>
                <w:color w:val="auto"/>
              </w:rPr>
              <w:t>12,345</w:t>
            </w:r>
          </w:p>
        </w:tc>
        <w:tc>
          <w:tcPr>
            <w:tcW w:w="420" w:type="dxa"/>
            <w:vAlign w:val="bottom"/>
            <w:shd w:val="clear" w:color="auto" w:fill="CCCCCC"/>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3.13</w:t>
            </w:r>
          </w:p>
        </w:tc>
        <w:tc>
          <w:tcPr>
            <w:tcW w:w="560" w:type="dxa"/>
            <w:vAlign w:val="bottom"/>
            <w:shd w:val="clear" w:color="auto" w:fill="CCCCCC"/>
          </w:tcPr>
          <w:p>
            <w:pPr>
              <w:spacing w:after="0"/>
              <w:rPr>
                <w:sz w:val="18"/>
                <w:szCs w:val="18"/>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291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Calculation excludes special charges identified in Note 16 to the financial statements included in Part II, Item 8 of this report.</w:t>
      </w:r>
    </w:p>
    <w:p>
      <w:pPr>
        <w:spacing w:after="0" w:line="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availability and price of aircraft fuel significantly affect the Company’s operations, results of operations, financial position and liquidity. To provide adequate supplies of fuel, the Company routinely enters into short-term and long-term purchase contracts that are generally indexed to floating market prices for aircraft fuel, and the Company has some ability to store fuel close to its major hub locations. To lower its exposure to unpredictable increases in the floating market prices of aircraft fuel, the Company may hedge a portion of its planned fuel requirements. The Company generally employs commonly used financial hedge instruments based on aircraft fuel or closely related commodities including diesel fuel and crude oil.</w:t>
      </w:r>
    </w:p>
    <w:p>
      <w:pPr>
        <w:spacing w:after="0" w:line="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Third-Party Business. </w:t>
      </w:r>
      <w:r>
        <w:rPr>
          <w:rFonts w:ascii="Arial" w:cs="Arial" w:eastAsia="Arial" w:hAnsi="Arial"/>
          <w:sz w:val="18"/>
          <w:szCs w:val="18"/>
          <w:color w:val="auto"/>
        </w:rPr>
        <w:t>United generates third-party business revenue that includes fuel sales, catering, ground handling, maintenance services and frequent flyer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non-air redemptions, and third-party business revenue is recorded in Other operating revenue. United also incurs third-party business expenses, such as maintenance, ground handling and catering services for third parties, fuel sales and non-air mileage redemptions, and those third-party business expenses are recorded in Other operating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right="20"/>
        <w:spacing w:after="0" w:line="290"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Distribution Channels. </w:t>
      </w:r>
      <w:r>
        <w:rPr>
          <w:rFonts w:ascii="Arial" w:cs="Arial" w:eastAsia="Arial" w:hAnsi="Arial"/>
          <w:sz w:val="16"/>
          <w:szCs w:val="16"/>
          <w:color w:val="auto"/>
        </w:rPr>
        <w:t>The Company’s airline seat inventory and fares are distributed through the Company’s direct channels, traditional travel agencies and on-line travel agencies. The use of the Company’s direct sales website, united.com, the Company’s mobile applications and alternative distribution systems, provides the Company with an opportunity to de-commoditize its services, better present its content, make more targeted offerings, better retain its customers, enhance its brand and lower its ticket distribution costs. Agency sales are primarily sold using global distribution systems (“GDS”). United has developed capabilities to sell certain ancillary products through the GDS channel to provide an enhanced buying experience for customers who purchase in that channel. To increase the Company’s opportunities to sell its full range of products and services and lower distribution costs, the Company will continue to develop new selling capabilities in third-party channels and expand the capabilities of its website and mobile applications.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Conditions</w:t>
      </w:r>
    </w:p>
    <w:p>
      <w:pPr>
        <w:spacing w:after="0" w:line="12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Domestic Competition. </w:t>
      </w:r>
      <w:r>
        <w:rPr>
          <w:rFonts w:ascii="Arial" w:cs="Arial" w:eastAsia="Arial" w:hAnsi="Arial"/>
          <w:sz w:val="16"/>
          <w:szCs w:val="16"/>
          <w:color w:val="auto"/>
        </w:rPr>
        <w:t>The domestic airline industry is highly competitive and dynamic. The Company’s competitors consist primarily of other airlines and,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extent, other forms of transportation. Currently, any U.S. carrier deemed fit by the DOT is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there are numerous factors influencing cost structure. Carriers with lower costs may offer lower fares to passengers, which could have a potential negative impact on the Company’s revenues. Decisions on domestic pricing are based on intense competitive pressure exerted on the Company by other U.S. airlines. In order to remain competitive and maintain passenger traffic levels, we often find it necessary to match competitors’ discounted fares. Since we compete in a dynamic marketplace, attempts to generate additional revenue through increased fares oftentimes fail.</w:t>
      </w:r>
    </w:p>
    <w:p>
      <w:pPr>
        <w:spacing w:after="0" w:line="64"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b w:val="1"/>
          <w:bCs w:val="1"/>
          <w:i w:val="1"/>
          <w:iCs w:val="1"/>
          <w:color w:val="auto"/>
        </w:rPr>
        <w:t xml:space="preserve">International Competition. </w:t>
      </w:r>
      <w:r>
        <w:rPr>
          <w:rFonts w:ascii="Arial" w:cs="Arial" w:eastAsia="Arial" w:hAnsi="Arial"/>
          <w:sz w:val="15"/>
          <w:szCs w:val="15"/>
          <w:color w:val="auto"/>
        </w:rPr>
        <w:t>Internationally, the Company competes not only with U.S. airlines, but also with foreign carriers. International competition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increased and may increase in the future as a result of airline mergers and acquisitions, joint ventures, alliances, restructurings, liberalization of aviation bilateral agreements and new or increased service by competitors, including government subsidized competitors from certain Middle East countries. 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experiences comparable restrictions in foreign countries except where “fifth freedom rights” have been negotiated between the U.S. government and other countries. In addition, in the absence of open skies and fifth freedom rights, U.S. carriers are constrained from carrying passengers to points beyond designated international gateway cities due to limitations in air service agreements and restrictions imposed unilaterally by foreign governments. To compensate partially for these structural limitations, U.S. and foreign carriers have entered into alliances, joint ventures and marketing arrangements that enable these carriers to exchange traffic between each other’s flights and route networks. See </w:t>
      </w:r>
      <w:r>
        <w:rPr>
          <w:rFonts w:ascii="Arial" w:cs="Arial" w:eastAsia="Arial" w:hAnsi="Arial"/>
          <w:sz w:val="15"/>
          <w:szCs w:val="15"/>
          <w:i w:val="1"/>
          <w:iCs w:val="1"/>
          <w:color w:val="auto"/>
        </w:rPr>
        <w:t>Alliances,</w:t>
      </w:r>
      <w:r>
        <w:rPr>
          <w:rFonts w:ascii="Arial" w:cs="Arial" w:eastAsia="Arial" w:hAnsi="Arial"/>
          <w:sz w:val="15"/>
          <w:szCs w:val="15"/>
          <w:color w:val="auto"/>
        </w:rPr>
        <w:t xml:space="preserve"> above, for additional information.</w:t>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The air travel business is subject to seasonal fluctuations. Historically, demand for air travel is higher in the second and third quarters, driving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than in the first and fourth quarters, which are periods of lower travel demand.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carriers engaged in air transportation in the United States are subject to regulation by the DOT. Absent an exemption, no air carrier may provide air transportation of passengers or property without first being issued a DOT certificate of public convenience and necessity. The DOT also grants international route authority, approves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jc w:val="both"/>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8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 pilot and other employee training. From time to time, the FAA issues directives that require air carriers to inspect or modify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Railway Labor Act (“RLA”), a federal statute. The Company is also subject to investigation inquiries by the DOT, FAA, DOJ, DHS and other U.S. and international regulatory bodies.</w:t>
      </w:r>
    </w:p>
    <w:p>
      <w:pPr>
        <w:spacing w:after="0" w:line="6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Airport Access. </w:t>
      </w:r>
      <w:r>
        <w:rPr>
          <w:rFonts w:ascii="Arial" w:cs="Arial" w:eastAsia="Arial" w:hAnsi="Arial"/>
          <w:sz w:val="16"/>
          <w:szCs w:val="16"/>
          <w:color w:val="auto"/>
        </w:rPr>
        <w:t>Access to landing and take-off rights, or “slots,” at several major U.S. airports and many foreign airports served by the Company are, or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subject to government regulation. Federally mandated domestic slot restrictions currently apply at Reagan National Airport in Washington D.C., and at John F. Kennedy International Airport (“JFK”), LaGuardia Airport (“LaGuardia”) and Newark Liberty in the metropolitan New York region. In addition, to address concerns about airport congestion, the FAA has imposed operating restrictions at certain airports, including Newark Liberty, JFK, and LaGuardia, which may include capacity reductions. Additional restrictions on airline routes and takeoff and landing slots at these and other airports may be proposed in the future that could affect the Company’s rights of ownership and transfer. In January 2015, the FAA issued a notice of proposed rulemaking to revise and alter the current methods to manage congestion and delay at the New York area’s three major commercial airports which may alter use of slots and congestion at those airports.</w:t>
      </w:r>
    </w:p>
    <w:p>
      <w:pPr>
        <w:spacing w:after="0" w:line="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Legislation. </w:t>
      </w:r>
      <w:r>
        <w:rPr>
          <w:rFonts w:ascii="Arial" w:cs="Arial" w:eastAsia="Arial" w:hAnsi="Arial"/>
          <w:sz w:val="16"/>
          <w:szCs w:val="16"/>
          <w:color w:val="auto"/>
        </w:rPr>
        <w:t>The airline industry is subject to legislative activity that may have an impact on operations and costs. In 2016, the U.S. Congress will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 legislation to reauthorize the FAA, which encompasses all significant aviation tax and policy-related issues. As with previous reauthorization legislation, the U.S. Congress may consider a range of policy changes that could impact operations and costs. Climate change legislation is also likely to be a significant area of legislative and regulatory focus and could adversely impact the Company’s costs. See </w:t>
      </w:r>
      <w:r>
        <w:rPr>
          <w:rFonts w:ascii="Arial" w:cs="Arial" w:eastAsia="Arial" w:hAnsi="Arial"/>
          <w:sz w:val="16"/>
          <w:szCs w:val="16"/>
          <w:i w:val="1"/>
          <w:iCs w:val="1"/>
          <w:color w:val="auto"/>
        </w:rPr>
        <w:t>Environmental Regulation</w:t>
      </w:r>
      <w:r>
        <w:rPr>
          <w:rFonts w:ascii="Arial" w:cs="Arial" w:eastAsia="Arial" w:hAnsi="Arial"/>
          <w:sz w:val="16"/>
          <w:szCs w:val="16"/>
          <w:color w:val="auto"/>
        </w:rPr>
        <w:t>, below.</w:t>
      </w:r>
    </w:p>
    <w:p>
      <w:pPr>
        <w:spacing w:after="0" w:line="5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Finally, aviation security continues to be the subject of legislative and regulatory action, requiring changes to the Company’s security processes, increasing the cost of its security procedures, and affecting its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International air transportation is subject to extensive government regulation. In connection with the Company’s international services, the Company is regulated by both the U.S. government and the governments of the foreign countries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89" w:lineRule="exact"/>
        <w:rPr>
          <w:sz w:val="20"/>
          <w:szCs w:val="20"/>
          <w:color w:val="auto"/>
        </w:rPr>
      </w:pPr>
    </w:p>
    <w:p>
      <w:pPr>
        <w:jc w:val="both"/>
        <w:ind w:right="220"/>
        <w:spacing w:after="0" w:line="335" w:lineRule="auto"/>
        <w:rPr>
          <w:sz w:val="20"/>
          <w:szCs w:val="20"/>
          <w:color w:val="auto"/>
        </w:rPr>
      </w:pPr>
      <w:r>
        <w:rPr>
          <w:rFonts w:ascii="Arial" w:cs="Arial" w:eastAsia="Arial" w:hAnsi="Arial"/>
          <w:sz w:val="15"/>
          <w:szCs w:val="15"/>
          <w:i w:val="1"/>
          <w:iCs w:val="1"/>
          <w:color w:val="auto"/>
        </w:rPr>
        <w:t xml:space="preserve">Legislation. </w:t>
      </w:r>
      <w:r>
        <w:rPr>
          <w:rFonts w:ascii="Arial" w:cs="Arial" w:eastAsia="Arial" w:hAnsi="Arial"/>
          <w:sz w:val="15"/>
          <w:szCs w:val="15"/>
          <w:color w:val="auto"/>
        </w:rPr>
        <w:t>Foreign countries are increasingly enacting passenger protection laws, rules and regulations that meet or exceed U.S. requirements. In cases where</w:t>
      </w:r>
      <w:r>
        <w:rPr>
          <w:rFonts w:ascii="Arial" w:cs="Arial" w:eastAsia="Arial" w:hAnsi="Arial"/>
          <w:sz w:val="15"/>
          <w:szCs w:val="15"/>
          <w:i w:val="1"/>
          <w:iCs w:val="1"/>
          <w:color w:val="auto"/>
        </w:rPr>
        <w:t xml:space="preserve"> </w:t>
      </w:r>
      <w:r>
        <w:rPr>
          <w:rFonts w:ascii="Arial" w:cs="Arial" w:eastAsia="Arial" w:hAnsi="Arial"/>
          <w:sz w:val="15"/>
          <w:szCs w:val="15"/>
          <w:color w:val="auto"/>
        </w:rPr>
        <w:t>this activity exceeds U.S. requirements, additional burden and liability may be placed on the Company. Certain countries have regulations requiring passenger compensation and/or enforcement penalties from the Company in addition to changes in operating procedures due to canceled and delayed flights.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Airport Access. </w:t>
      </w:r>
      <w:r>
        <w:rPr>
          <w:rFonts w:ascii="Arial" w:cs="Arial" w:eastAsia="Arial" w:hAnsi="Arial"/>
          <w:sz w:val="16"/>
          <w:szCs w:val="16"/>
          <w:color w:val="auto"/>
        </w:rPr>
        <w:t>Historically, access to foreign markets has been tightly controlled through bilateral agreements between the U.S. and each foreign country</w:t>
      </w:r>
      <w:r>
        <w:rPr>
          <w:rFonts w:ascii="Arial" w:cs="Arial" w:eastAsia="Arial" w:hAnsi="Arial"/>
          <w:sz w:val="16"/>
          <w:szCs w:val="16"/>
          <w:i w:val="1"/>
          <w:iCs w:val="1"/>
          <w:color w:val="auto"/>
        </w:rPr>
        <w:t xml:space="preserve"> </w:t>
      </w:r>
      <w:r>
        <w:rPr>
          <w:rFonts w:ascii="Arial" w:cs="Arial" w:eastAsia="Arial" w:hAnsi="Arial"/>
          <w:sz w:val="16"/>
          <w:szCs w:val="16"/>
          <w:color w:val="auto"/>
        </w:rPr>
        <w:t>involved. These agreements regulate the markets served, the number of carriers allowed to serve each market and the frequency of carriers’ flights. Since the early 1990s, the U.S. has pursued a policy of “open skies” (meaning all U.S.-flag carriers have access to the destination), under which the U.S. government has negotiated a number of bilateral agreements allowing unrestricted access between U.S. and foreign markets. Currently, there are more than 100 open skies agreements in effect. However, many of the airports that the Company serves in Europe, Asia and Latin America maintain slot controls. A large number of these are restrictive due to congestion at these airports. London Heathrow International Airport, Frankfurt Rhein-Main Airport, Shanghai Pudong International Airport, Beijing Capital International Airport, Sao Paulo Guarulhos International Airport and Tokyo Haneda International Airport are among the most restrictive foreign airports due to capacity limitations.</w:t>
      </w:r>
    </w:p>
    <w:p>
      <w:pPr>
        <w:spacing w:after="0" w:line="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ability to serve some foreign markets and expand into certain others is limited by the absence of aviation agreements between the U.S. government and the relevant foreign governments. Shifts in U.S. or foreign government aviation policies may lead to the alteration or termination of air service agreements. Depending on the nature of any such change, the value of the Company’s international route authorities and slot rights may be materially enhanced or diminished.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airline industry is subject to increasingly stringent federal, state, local and international environmental requirements, including emissions to air, water discharges, safe drinking water, and the use and management of hazardous substances and wastes.</w:t>
      </w:r>
    </w:p>
    <w:p>
      <w:pPr>
        <w:spacing w:after="0" w:line="7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There is an increasing global regulatory focus on greenhouse gas (“GHG”) emissions and their potential impacts relating to climate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to regulate GHG emissions from aviation have been underway in the European Union (“EU”) since 2009 but applicability to flights arriving or departing from airports outside the EU was postponed to provide the International Civil Aviation Organization (“ICAO”) the opportunity to reach agreement on a global approach for international aviation. ICAO is expected to reach a resolution in 2016 advancing a global market-based measure for international aviation emissions starting in 2021. Separately, in 2016 ICAO is expected to adopt a carbon dioxide (“CO2”) standard for aircraft and the U.S. Environmental Protection Agency has already started the process required to adopt such an aircraft standard. In consideration of these future requirements, the Company is taking various actions that will help to reduce its CO2 emissions such as fleet renewal, aircraft retrofits and seeking to stimulate the commercialization of aviation alternative fuels.</w:t>
      </w:r>
    </w:p>
    <w:p>
      <w:pPr>
        <w:spacing w:after="0" w:line="9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Other Regulations</w:t>
      </w:r>
      <w:r>
        <w:rPr>
          <w:rFonts w:ascii="Arial" w:cs="Arial" w:eastAsia="Arial" w:hAnsi="Arial"/>
          <w:sz w:val="16"/>
          <w:szCs w:val="16"/>
          <w:color w:val="auto"/>
        </w:rPr>
        <w:t>. Our operations are subject to a variety of other environmental laws and regulations both in the United States and internationally. These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noise-related restrictions on aircraft types and operating times, which have or could in the future result in curtailments in services, increased operating costs or limits on expansion. Certain foreign airports and/or governments either have or are seeking to establish environmental fees applicable to carbon emissions, local air quality pollutants and/or noise. In the United States, new regulations affecting storm water and underground storage tanks became effective in 2015, which could affect airport fuel hydrant systems or airport storm water management, potentially impacting operating costs. Also, in October 2015, a final rule to reduce the national ambient air quality standards for ozone was issued which, if upheld, is expected to trigger restrictions on mobile sources such as cars, trucks, and airport ground support equipment in certain jurisdictions. Finally, environmental cleanup laws can require the Company to undertake or subject the Company to liability for investigation and remediation costs at owned or leased locations or third party disposal locations.</w:t>
      </w:r>
    </w:p>
    <w:p>
      <w:pPr>
        <w:spacing w:after="0" w:line="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Until applicability of new regulations to our specific operations is better defined, or in the case of the referenced GHG and ozone standards, these implementation measures are actually developed, future costs to comply with such regulations will remain uncertain. While we continue to monitor these developments, we do not currently believe that such developments or resulting expenditures will have a material impact on our capital expenditures or otherwise materially adversely affect our operations, operating costs or competitive position.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w:t>
      </w:r>
    </w:p>
    <w:p>
      <w:pPr>
        <w:spacing w:after="0" w:line="12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of December 31, 2015, UAL, including its subsidiaries, had approximately 84,000 employees. Approximately 80% of the Company’s employees were represented by various U.S. labor organizations as of December 31, 2015.</w:t>
      </w:r>
    </w:p>
    <w:p>
      <w:pPr>
        <w:spacing w:after="0" w:line="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Collective bargaining agreements between the Company and its represented employee groups are negotiated under the RLA. Such agreements typically do not contain an expiration date and instead specify an amendable date, upon which the contract is considered “open for amendment.” The Company has reached joint collective bargaining agreements with the majority of its employee groups since the merger transaction in 2010. The Company continues to negotiate in mediation for a joint flight attendant collective bargaining agreement, extensions to the IAM represented employees’ agreements and a joint technician and related employees’ collective bargaining agreement following the rejected proposal for ratification of a joint technician and related employees’ agreement. The Company can provide no assurance that a successful or timely resolution of these labor negotiations will be achieved.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reflects the Company’s represented employee groups, number of employees per represented group, union representation for each of United’s employee groups where applicable, and the amendable date for each employee group’s collective bargaining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Employee</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Contract Open</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38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0"/>
              </w:rPr>
              <w:t>Group</w:t>
            </w:r>
          </w:p>
        </w:tc>
        <w:tc>
          <w:tcPr>
            <w:tcW w:w="980" w:type="dxa"/>
            <w:vAlign w:val="bottom"/>
          </w:tcPr>
          <w:p>
            <w:pPr>
              <w:spacing w:after="0"/>
              <w:rPr>
                <w:sz w:val="16"/>
                <w:szCs w:val="16"/>
                <w:color w:val="auto"/>
              </w:rPr>
            </w:pPr>
          </w:p>
        </w:tc>
        <w:tc>
          <w:tcPr>
            <w:tcW w:w="1080" w:type="dxa"/>
            <w:vAlign w:val="bottom"/>
            <w:gridSpan w:val="2"/>
          </w:tcPr>
          <w:p>
            <w:pPr>
              <w:jc w:val="center"/>
              <w:ind w:right="60"/>
              <w:spacing w:after="0" w:line="128" w:lineRule="exact"/>
              <w:rPr>
                <w:sz w:val="20"/>
                <w:szCs w:val="20"/>
                <w:color w:val="auto"/>
              </w:rPr>
            </w:pPr>
            <w:r>
              <w:rPr>
                <w:rFonts w:ascii="Arial" w:cs="Arial" w:eastAsia="Arial" w:hAnsi="Arial"/>
                <w:sz w:val="14"/>
                <w:szCs w:val="14"/>
                <w:b w:val="1"/>
                <w:bCs w:val="1"/>
                <w:color w:val="auto"/>
                <w:w w:val="86"/>
              </w:rPr>
              <w:t>Employees (a)</w:t>
            </w:r>
          </w:p>
        </w:tc>
        <w:tc>
          <w:tcPr>
            <w:tcW w:w="2940" w:type="dxa"/>
            <w:vAlign w:val="bottom"/>
          </w:tcPr>
          <w:p>
            <w:pPr>
              <w:spacing w:after="0"/>
              <w:rPr>
                <w:sz w:val="16"/>
                <w:szCs w:val="16"/>
                <w:color w:val="auto"/>
              </w:rPr>
            </w:pPr>
          </w:p>
        </w:tc>
        <w:tc>
          <w:tcPr>
            <w:tcW w:w="380" w:type="dxa"/>
            <w:vAlign w:val="bottom"/>
            <w:tcBorders>
              <w:bottom w:val="single" w:sz="8" w:color="auto"/>
            </w:tcBorders>
          </w:tcPr>
          <w:p>
            <w:pPr>
              <w:ind w:left="20"/>
              <w:spacing w:after="0" w:line="128" w:lineRule="exact"/>
              <w:rPr>
                <w:sz w:val="20"/>
                <w:szCs w:val="20"/>
                <w:color w:val="auto"/>
              </w:rPr>
            </w:pPr>
            <w:r>
              <w:rPr>
                <w:rFonts w:ascii="Arial" w:cs="Arial" w:eastAsia="Arial" w:hAnsi="Arial"/>
                <w:sz w:val="14"/>
                <w:szCs w:val="14"/>
                <w:b w:val="1"/>
                <w:bCs w:val="1"/>
                <w:color w:val="auto"/>
                <w:w w:val="85"/>
              </w:rPr>
              <w:t>Union</w:t>
            </w:r>
          </w:p>
        </w:tc>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Borders>
              <w:bottom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87"/>
              </w:rPr>
              <w:t>for Amendment (b)</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00" w:type="dxa"/>
            <w:vAlign w:val="bottom"/>
            <w:tcBorders>
              <w:top w:val="single" w:sz="8" w:color="CCCCCC"/>
            </w:tcBorders>
            <w:shd w:val="clear" w:color="auto" w:fill="CCCCCC"/>
          </w:tcPr>
          <w:p>
            <w:pPr>
              <w:spacing w:after="0"/>
              <w:rPr>
                <w:sz w:val="15"/>
                <w:szCs w:val="15"/>
                <w:color w:val="auto"/>
              </w:rPr>
            </w:pPr>
          </w:p>
        </w:tc>
        <w:tc>
          <w:tcPr>
            <w:tcW w:w="380" w:type="dxa"/>
            <w:vAlign w:val="bottom"/>
            <w:tcBorders>
              <w:top w:val="single" w:sz="8" w:color="CCCCCC"/>
            </w:tcBorders>
            <w:shd w:val="clear" w:color="auto" w:fill="CCCCCC"/>
          </w:tcPr>
          <w:p>
            <w:pPr>
              <w:spacing w:after="0"/>
              <w:rPr>
                <w:sz w:val="15"/>
                <w:szCs w:val="15"/>
                <w:color w:val="auto"/>
              </w:rPr>
            </w:pPr>
          </w:p>
        </w:tc>
        <w:tc>
          <w:tcPr>
            <w:tcW w:w="980" w:type="dxa"/>
            <w:vAlign w:val="bottom"/>
            <w:tcBorders>
              <w:top w:val="single" w:sz="8" w:color="CCCCCC"/>
            </w:tcBorders>
            <w:shd w:val="clear" w:color="auto" w:fill="CCCCCC"/>
          </w:tcPr>
          <w:p>
            <w:pPr>
              <w:spacing w:after="0"/>
              <w:rPr>
                <w:sz w:val="15"/>
                <w:szCs w:val="15"/>
                <w:color w:val="auto"/>
              </w:rPr>
            </w:pPr>
          </w:p>
        </w:tc>
        <w:tc>
          <w:tcPr>
            <w:tcW w:w="980" w:type="dxa"/>
            <w:vAlign w:val="bottom"/>
            <w:tcBorders>
              <w:top w:val="single" w:sz="8" w:color="auto"/>
            </w:tcBorders>
            <w:shd w:val="clear" w:color="auto" w:fill="CCCCCC"/>
          </w:tcPr>
          <w:p>
            <w:pPr>
              <w:spacing w:after="0"/>
              <w:rPr>
                <w:sz w:val="15"/>
                <w:szCs w:val="15"/>
                <w:color w:val="auto"/>
              </w:rPr>
            </w:pPr>
          </w:p>
        </w:tc>
        <w:tc>
          <w:tcPr>
            <w:tcW w:w="100" w:type="dxa"/>
            <w:vAlign w:val="bottom"/>
            <w:tcBorders>
              <w:top w:val="single" w:sz="8" w:color="CCCCCC"/>
            </w:tcBorders>
            <w:shd w:val="clear" w:color="auto" w:fill="CCCCCC"/>
          </w:tcPr>
          <w:p>
            <w:pPr>
              <w:spacing w:after="0"/>
              <w:rPr>
                <w:sz w:val="15"/>
                <w:szCs w:val="15"/>
                <w:color w:val="auto"/>
              </w:rPr>
            </w:pPr>
          </w:p>
        </w:tc>
        <w:tc>
          <w:tcPr>
            <w:tcW w:w="2940" w:type="dxa"/>
            <w:vAlign w:val="bottom"/>
            <w:tcBorders>
              <w:top w:val="single" w:sz="8" w:color="CCCCCC"/>
            </w:tcBorders>
            <w:shd w:val="clear" w:color="auto" w:fill="CCCCCC"/>
          </w:tcPr>
          <w:p>
            <w:pPr>
              <w:spacing w:after="0"/>
              <w:rPr>
                <w:sz w:val="15"/>
                <w:szCs w:val="15"/>
                <w:color w:val="auto"/>
              </w:rPr>
            </w:pPr>
          </w:p>
        </w:tc>
        <w:tc>
          <w:tcPr>
            <w:tcW w:w="380" w:type="dxa"/>
            <w:vAlign w:val="bottom"/>
            <w:tcBorders>
              <w:top w:val="single" w:sz="8" w:color="CCCCCC"/>
            </w:tcBorders>
            <w:shd w:val="clear" w:color="auto" w:fill="CCCCCC"/>
          </w:tcPr>
          <w:p>
            <w:pPr>
              <w:spacing w:after="0"/>
              <w:rPr>
                <w:sz w:val="15"/>
                <w:szCs w:val="15"/>
                <w:color w:val="auto"/>
              </w:rPr>
            </w:pPr>
          </w:p>
        </w:tc>
        <w:tc>
          <w:tcPr>
            <w:tcW w:w="2140" w:type="dxa"/>
            <w:vAlign w:val="bottom"/>
            <w:tcBorders>
              <w:top w:val="single" w:sz="8" w:color="CCCCCC"/>
            </w:tcBorders>
            <w:shd w:val="clear" w:color="auto" w:fill="CCCCCC"/>
          </w:tcPr>
          <w:p>
            <w:pPr>
              <w:spacing w:after="0"/>
              <w:rPr>
                <w:sz w:val="15"/>
                <w:szCs w:val="15"/>
                <w:color w:val="auto"/>
              </w:rPr>
            </w:pPr>
          </w:p>
        </w:tc>
        <w:tc>
          <w:tcPr>
            <w:tcW w:w="2620" w:type="dxa"/>
            <w:vAlign w:val="bottom"/>
            <w:tcBorders>
              <w:top w:val="single" w:sz="8" w:color="CCCCCC"/>
            </w:tcBorders>
            <w:gridSpan w:val="3"/>
            <w:shd w:val="clear" w:color="auto" w:fill="CCCCCC"/>
          </w:tcPr>
          <w:p>
            <w:pPr>
              <w:ind w:left="800"/>
              <w:spacing w:after="0" w:line="175" w:lineRule="exact"/>
              <w:rPr>
                <w:sz w:val="20"/>
                <w:szCs w:val="20"/>
                <w:color w:val="auto"/>
              </w:rPr>
            </w:pPr>
            <w:r>
              <w:rPr>
                <w:rFonts w:ascii="Arial" w:cs="Arial" w:eastAsia="Arial" w:hAnsi="Arial"/>
                <w:sz w:val="18"/>
                <w:szCs w:val="18"/>
                <w:color w:val="auto"/>
              </w:rPr>
              <w:t>December 2014/</w:t>
            </w:r>
          </w:p>
        </w:tc>
        <w:tc>
          <w:tcPr>
            <w:tcW w:w="0" w:type="dxa"/>
            <w:vAlign w:val="bottom"/>
          </w:tcPr>
          <w:p>
            <w:pPr>
              <w:spacing w:after="0"/>
              <w:rPr>
                <w:sz w:val="1"/>
                <w:szCs w:val="1"/>
                <w:color w:val="auto"/>
              </w:rPr>
            </w:pPr>
          </w:p>
        </w:tc>
      </w:tr>
      <w:tr>
        <w:trPr>
          <w:trHeight w:val="238"/>
        </w:trPr>
        <w:tc>
          <w:tcPr>
            <w:tcW w:w="2260" w:type="dxa"/>
            <w:vAlign w:val="bottom"/>
            <w:gridSpan w:val="3"/>
            <w:shd w:val="clear" w:color="auto" w:fill="CCCCCC"/>
          </w:tcPr>
          <w:p>
            <w:pPr>
              <w:spacing w:after="0"/>
              <w:rPr>
                <w:sz w:val="20"/>
                <w:szCs w:val="20"/>
                <w:color w:val="auto"/>
              </w:rPr>
            </w:pPr>
            <w:r>
              <w:rPr>
                <w:rFonts w:ascii="Arial" w:cs="Arial" w:eastAsia="Arial" w:hAnsi="Arial"/>
                <w:sz w:val="18"/>
                <w:szCs w:val="18"/>
                <w:b w:val="1"/>
                <w:bCs w:val="1"/>
                <w:color w:val="auto"/>
              </w:rPr>
              <w:t>Flight Attendants</w:t>
            </w:r>
          </w:p>
        </w:tc>
        <w:tc>
          <w:tcPr>
            <w:tcW w:w="10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21,078</w:t>
            </w:r>
          </w:p>
        </w:tc>
        <w:tc>
          <w:tcPr>
            <w:tcW w:w="546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Association of Flight Attendants</w:t>
            </w: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28"/>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Fleet Service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12,210</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Int’l Association of Machinists and Aerospace Workers (“IAM”)</w:t>
            </w:r>
          </w:p>
        </w:tc>
        <w:tc>
          <w:tcPr>
            <w:tcW w:w="2620" w:type="dxa"/>
            <w:vAlign w:val="bottom"/>
            <w:gridSpan w:val="3"/>
          </w:tcPr>
          <w:p>
            <w:pPr>
              <w:ind w:left="80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217"/>
        </w:trPr>
        <w:tc>
          <w:tcPr>
            <w:tcW w:w="2260" w:type="dxa"/>
            <w:vAlign w:val="bottom"/>
            <w:gridSpan w:val="3"/>
            <w:shd w:val="clear" w:color="auto" w:fill="CCCCCC"/>
          </w:tcPr>
          <w:p>
            <w:pPr>
              <w:spacing w:after="0"/>
              <w:rPr>
                <w:sz w:val="20"/>
                <w:szCs w:val="20"/>
                <w:color w:val="auto"/>
              </w:rPr>
            </w:pPr>
            <w:r>
              <w:rPr>
                <w:rFonts w:ascii="Arial" w:cs="Arial" w:eastAsia="Arial" w:hAnsi="Arial"/>
                <w:sz w:val="18"/>
                <w:szCs w:val="18"/>
                <w:b w:val="1"/>
                <w:bCs w:val="1"/>
                <w:color w:val="auto"/>
              </w:rPr>
              <w:t>Passenger Service</w:t>
            </w:r>
          </w:p>
        </w:tc>
        <w:tc>
          <w:tcPr>
            <w:tcW w:w="10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11,998</w:t>
            </w:r>
          </w:p>
        </w:tc>
        <w:tc>
          <w:tcPr>
            <w:tcW w:w="546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Pilots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11,204</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Air Line Pilots Association, International</w:t>
            </w:r>
          </w:p>
        </w:tc>
        <w:tc>
          <w:tcPr>
            <w:tcW w:w="2620" w:type="dxa"/>
            <w:vAlign w:val="bottom"/>
            <w:gridSpan w:val="3"/>
          </w:tcPr>
          <w:p>
            <w:pPr>
              <w:ind w:left="800"/>
              <w:spacing w:after="0"/>
              <w:rPr>
                <w:sz w:val="20"/>
                <w:szCs w:val="20"/>
                <w:color w:val="auto"/>
              </w:rPr>
            </w:pPr>
            <w:r>
              <w:rPr>
                <w:rFonts w:ascii="Arial" w:cs="Arial" w:eastAsia="Arial" w:hAnsi="Arial"/>
                <w:sz w:val="18"/>
                <w:szCs w:val="18"/>
                <w:color w:val="auto"/>
              </w:rPr>
              <w:t>January 2019</w:t>
            </w:r>
          </w:p>
        </w:tc>
        <w:tc>
          <w:tcPr>
            <w:tcW w:w="0" w:type="dxa"/>
            <w:vAlign w:val="bottom"/>
          </w:tcPr>
          <w:p>
            <w:pPr>
              <w:spacing w:after="0"/>
              <w:rPr>
                <w:sz w:val="1"/>
                <w:szCs w:val="1"/>
                <w:color w:val="auto"/>
              </w:rPr>
            </w:pPr>
          </w:p>
        </w:tc>
      </w:tr>
      <w:tr>
        <w:trPr>
          <w:trHeight w:val="208"/>
        </w:trPr>
        <w:tc>
          <w:tcPr>
            <w:tcW w:w="2260" w:type="dxa"/>
            <w:vAlign w:val="bottom"/>
            <w:gridSpan w:val="3"/>
            <w:vMerge w:val="restart"/>
            <w:shd w:val="clear" w:color="auto" w:fill="CCCCCC"/>
          </w:tcPr>
          <w:p>
            <w:pPr>
              <w:spacing w:after="0"/>
              <w:rPr>
                <w:sz w:val="20"/>
                <w:szCs w:val="20"/>
                <w:color w:val="auto"/>
              </w:rPr>
            </w:pPr>
            <w:r>
              <w:rPr>
                <w:rFonts w:ascii="Arial" w:cs="Arial" w:eastAsia="Arial" w:hAnsi="Arial"/>
                <w:sz w:val="18"/>
                <w:szCs w:val="18"/>
                <w:b w:val="1"/>
                <w:bCs w:val="1"/>
                <w:color w:val="auto"/>
                <w:w w:val="97"/>
              </w:rPr>
              <w:t>Technicians and Related &amp;</w:t>
            </w:r>
          </w:p>
        </w:tc>
        <w:tc>
          <w:tcPr>
            <w:tcW w:w="9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2940" w:type="dxa"/>
            <w:vAlign w:val="bottom"/>
            <w:shd w:val="clear" w:color="auto" w:fill="CCCCCC"/>
          </w:tcPr>
          <w:p>
            <w:pPr>
              <w:spacing w:after="0"/>
              <w:rPr>
                <w:sz w:val="18"/>
                <w:szCs w:val="18"/>
                <w:color w:val="auto"/>
              </w:rPr>
            </w:pPr>
          </w:p>
        </w:tc>
        <w:tc>
          <w:tcPr>
            <w:tcW w:w="380" w:type="dxa"/>
            <w:vAlign w:val="bottom"/>
            <w:shd w:val="clear" w:color="auto" w:fill="CCCCCC"/>
          </w:tcPr>
          <w:p>
            <w:pPr>
              <w:spacing w:after="0"/>
              <w:rPr>
                <w:sz w:val="18"/>
                <w:szCs w:val="18"/>
                <w:color w:val="auto"/>
              </w:rPr>
            </w:pPr>
          </w:p>
        </w:tc>
        <w:tc>
          <w:tcPr>
            <w:tcW w:w="2140" w:type="dxa"/>
            <w:vAlign w:val="bottom"/>
            <w:shd w:val="clear" w:color="auto" w:fill="CCCCCC"/>
          </w:tcPr>
          <w:p>
            <w:pPr>
              <w:spacing w:after="0"/>
              <w:rPr>
                <w:sz w:val="18"/>
                <w:szCs w:val="18"/>
                <w:color w:val="auto"/>
              </w:rPr>
            </w:pP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r>
        <w:trPr>
          <w:trHeight w:val="210"/>
        </w:trPr>
        <w:tc>
          <w:tcPr>
            <w:tcW w:w="2260" w:type="dxa"/>
            <w:vAlign w:val="bottom"/>
            <w:gridSpan w:val="3"/>
            <w:vMerge w:val="continue"/>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2940" w:type="dxa"/>
            <w:vAlign w:val="bottom"/>
            <w:shd w:val="clear" w:color="auto" w:fill="CCCCCC"/>
          </w:tcPr>
          <w:p>
            <w:pPr>
              <w:spacing w:after="0"/>
              <w:rPr>
                <w:sz w:val="18"/>
                <w:szCs w:val="18"/>
                <w:color w:val="auto"/>
              </w:rPr>
            </w:pPr>
          </w:p>
        </w:tc>
        <w:tc>
          <w:tcPr>
            <w:tcW w:w="380" w:type="dxa"/>
            <w:vAlign w:val="bottom"/>
            <w:shd w:val="clear" w:color="auto" w:fill="CCCCCC"/>
          </w:tcPr>
          <w:p>
            <w:pPr>
              <w:spacing w:after="0"/>
              <w:rPr>
                <w:sz w:val="18"/>
                <w:szCs w:val="18"/>
                <w:color w:val="auto"/>
              </w:rPr>
            </w:pPr>
          </w:p>
        </w:tc>
        <w:tc>
          <w:tcPr>
            <w:tcW w:w="2140" w:type="dxa"/>
            <w:vAlign w:val="bottom"/>
            <w:shd w:val="clear" w:color="auto" w:fill="CCCCCC"/>
          </w:tcPr>
          <w:p>
            <w:pPr>
              <w:spacing w:after="0"/>
              <w:rPr>
                <w:sz w:val="18"/>
                <w:szCs w:val="18"/>
                <w:color w:val="auto"/>
              </w:rPr>
            </w:pP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June 2013 &amp; January</w:t>
            </w:r>
          </w:p>
        </w:tc>
        <w:tc>
          <w:tcPr>
            <w:tcW w:w="0" w:type="dxa"/>
            <w:vAlign w:val="bottom"/>
          </w:tcPr>
          <w:p>
            <w:pPr>
              <w:spacing w:after="0"/>
              <w:rPr>
                <w:sz w:val="1"/>
                <w:szCs w:val="1"/>
                <w:color w:val="auto"/>
              </w:rPr>
            </w:pPr>
          </w:p>
        </w:tc>
      </w:tr>
      <w:tr>
        <w:trPr>
          <w:trHeight w:val="244"/>
        </w:trPr>
        <w:tc>
          <w:tcPr>
            <w:tcW w:w="2260" w:type="dxa"/>
            <w:vAlign w:val="bottom"/>
            <w:gridSpan w:val="3"/>
            <w:shd w:val="clear" w:color="auto" w:fill="CCCCCC"/>
          </w:tcPr>
          <w:p>
            <w:pPr>
              <w:spacing w:after="0"/>
              <w:rPr>
                <w:sz w:val="20"/>
                <w:szCs w:val="20"/>
                <w:color w:val="auto"/>
              </w:rPr>
            </w:pPr>
            <w:r>
              <w:rPr>
                <w:rFonts w:ascii="Arial" w:cs="Arial" w:eastAsia="Arial" w:hAnsi="Arial"/>
                <w:sz w:val="18"/>
                <w:szCs w:val="18"/>
                <w:b w:val="1"/>
                <w:bCs w:val="1"/>
                <w:color w:val="auto"/>
                <w:w w:val="91"/>
              </w:rPr>
              <w:t>Flight Simulator Technicians</w:t>
            </w:r>
          </w:p>
        </w:tc>
        <w:tc>
          <w:tcPr>
            <w:tcW w:w="10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8,899</w:t>
            </w:r>
          </w:p>
        </w:tc>
        <w:tc>
          <w:tcPr>
            <w:tcW w:w="546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Int’l Brotherhood of Teamsters</w:t>
            </w:r>
          </w:p>
        </w:tc>
        <w:tc>
          <w:tcPr>
            <w:tcW w:w="2300" w:type="dxa"/>
            <w:vAlign w:val="bottom"/>
            <w:gridSpan w:val="2"/>
            <w:shd w:val="clear" w:color="auto" w:fill="CCCCCC"/>
          </w:tcPr>
          <w:p>
            <w:pPr>
              <w:ind w:left="800"/>
              <w:spacing w:after="0"/>
              <w:rPr>
                <w:sz w:val="20"/>
                <w:szCs w:val="20"/>
                <w:color w:val="auto"/>
              </w:rPr>
            </w:pPr>
            <w:r>
              <w:rPr>
                <w:rFonts w:ascii="Arial" w:cs="Arial" w:eastAsia="Arial" w:hAnsi="Arial"/>
                <w:sz w:val="18"/>
                <w:szCs w:val="18"/>
                <w:color w:val="auto"/>
              </w:rPr>
              <w:t>2013</w:t>
            </w:r>
          </w:p>
        </w:tc>
        <w:tc>
          <w:tcPr>
            <w:tcW w:w="32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Storekeeper Employees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tcPr>
          <w:p>
            <w:pPr>
              <w:ind w:left="80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CCCC"/>
          </w:tcPr>
          <w:p>
            <w:pPr>
              <w:spacing w:after="0"/>
              <w:rPr>
                <w:sz w:val="20"/>
                <w:szCs w:val="20"/>
                <w:color w:val="auto"/>
              </w:rPr>
            </w:pPr>
            <w:r>
              <w:rPr>
                <w:rFonts w:ascii="Arial" w:cs="Arial" w:eastAsia="Arial" w:hAnsi="Arial"/>
                <w:sz w:val="18"/>
                <w:szCs w:val="18"/>
                <w:b w:val="1"/>
                <w:bCs w:val="1"/>
                <w:color w:val="auto"/>
              </w:rPr>
              <w:t>Dispatchers</w:t>
            </w:r>
          </w:p>
        </w:tc>
        <w:tc>
          <w:tcPr>
            <w:tcW w:w="10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383</w:t>
            </w:r>
          </w:p>
        </w:tc>
        <w:tc>
          <w:tcPr>
            <w:tcW w:w="546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Professional Airline Flight Control Association</w:t>
            </w: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July 2018</w:t>
            </w: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Fleet Tech Instructors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tcPr>
          <w:p>
            <w:pPr>
              <w:ind w:left="800"/>
              <w:spacing w:after="0"/>
              <w:rPr>
                <w:sz w:val="20"/>
                <w:szCs w:val="20"/>
                <w:color w:val="auto"/>
              </w:rPr>
            </w:pPr>
            <w:r>
              <w:rPr>
                <w:rFonts w:ascii="Arial" w:cs="Arial" w:eastAsia="Arial" w:hAnsi="Arial"/>
                <w:sz w:val="18"/>
                <w:szCs w:val="18"/>
                <w:color w:val="auto"/>
              </w:rPr>
              <w:t>January 2019</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CCCC"/>
          </w:tcPr>
          <w:p>
            <w:pPr>
              <w:spacing w:after="0"/>
              <w:rPr>
                <w:sz w:val="20"/>
                <w:szCs w:val="20"/>
                <w:color w:val="auto"/>
              </w:rPr>
            </w:pPr>
            <w:r>
              <w:rPr>
                <w:rFonts w:ascii="Arial" w:cs="Arial" w:eastAsia="Arial" w:hAnsi="Arial"/>
                <w:sz w:val="18"/>
                <w:szCs w:val="18"/>
                <w:b w:val="1"/>
                <w:bCs w:val="1"/>
                <w:color w:val="auto"/>
              </w:rPr>
              <w:t>Load Planners</w:t>
            </w:r>
          </w:p>
        </w:tc>
        <w:tc>
          <w:tcPr>
            <w:tcW w:w="10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67</w:t>
            </w:r>
          </w:p>
        </w:tc>
        <w:tc>
          <w:tcPr>
            <w:tcW w:w="546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May 2018</w:t>
            </w:r>
          </w:p>
        </w:tc>
        <w:tc>
          <w:tcPr>
            <w:tcW w:w="0" w:type="dxa"/>
            <w:vAlign w:val="bottom"/>
          </w:tcPr>
          <w:p>
            <w:pPr>
              <w:spacing w:after="0"/>
              <w:rPr>
                <w:sz w:val="1"/>
                <w:szCs w:val="1"/>
                <w:color w:val="auto"/>
              </w:rPr>
            </w:pPr>
          </w:p>
        </w:tc>
      </w:tr>
      <w:tr>
        <w:trPr>
          <w:trHeight w:val="216"/>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Security Officers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tcPr>
          <w:p>
            <w:pPr>
              <w:ind w:left="800"/>
              <w:spacing w:after="0"/>
              <w:rPr>
                <w:sz w:val="20"/>
                <w:szCs w:val="20"/>
                <w:color w:val="auto"/>
              </w:rPr>
            </w:pPr>
            <w:r>
              <w:rPr>
                <w:rFonts w:ascii="Arial" w:cs="Arial" w:eastAsia="Arial" w:hAnsi="Arial"/>
                <w:sz w:val="18"/>
                <w:szCs w:val="18"/>
                <w:color w:val="auto"/>
              </w:rPr>
              <w:t>January 2017</w:t>
            </w:r>
          </w:p>
        </w:tc>
        <w:tc>
          <w:tcPr>
            <w:tcW w:w="0" w:type="dxa"/>
            <w:vAlign w:val="bottom"/>
          </w:tcPr>
          <w:p>
            <w:pPr>
              <w:spacing w:after="0"/>
              <w:rPr>
                <w:sz w:val="1"/>
                <w:szCs w:val="1"/>
                <w:color w:val="auto"/>
              </w:rPr>
            </w:pPr>
          </w:p>
        </w:tc>
      </w:tr>
      <w:tr>
        <w:trPr>
          <w:trHeight w:val="216"/>
        </w:trPr>
        <w:tc>
          <w:tcPr>
            <w:tcW w:w="2260" w:type="dxa"/>
            <w:vAlign w:val="bottom"/>
            <w:gridSpan w:val="3"/>
            <w:shd w:val="clear" w:color="auto" w:fill="CCCCCC"/>
          </w:tcPr>
          <w:p>
            <w:pPr>
              <w:spacing w:after="0"/>
              <w:rPr>
                <w:sz w:val="20"/>
                <w:szCs w:val="20"/>
                <w:color w:val="auto"/>
              </w:rPr>
            </w:pPr>
            <w:r>
              <w:rPr>
                <w:rFonts w:ascii="Arial" w:cs="Arial" w:eastAsia="Arial" w:hAnsi="Arial"/>
                <w:sz w:val="18"/>
                <w:szCs w:val="18"/>
                <w:b w:val="1"/>
                <w:bCs w:val="1"/>
                <w:color w:val="auto"/>
              </w:rPr>
              <w:t>Maintenance Instructors</w:t>
            </w:r>
          </w:p>
        </w:tc>
        <w:tc>
          <w:tcPr>
            <w:tcW w:w="10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42</w:t>
            </w:r>
          </w:p>
        </w:tc>
        <w:tc>
          <w:tcPr>
            <w:tcW w:w="5460" w:type="dxa"/>
            <w:vAlign w:val="bottom"/>
            <w:gridSpan w:val="3"/>
            <w:shd w:val="clear" w:color="auto" w:fill="CCCCCC"/>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shd w:val="clear" w:color="auto" w:fill="CCCCCC"/>
          </w:tcPr>
          <w:p>
            <w:pPr>
              <w:ind w:left="800"/>
              <w:spacing w:after="0"/>
              <w:rPr>
                <w:sz w:val="20"/>
                <w:szCs w:val="20"/>
                <w:color w:val="auto"/>
              </w:rPr>
            </w:pPr>
            <w:r>
              <w:rPr>
                <w:rFonts w:ascii="Arial" w:cs="Arial" w:eastAsia="Arial" w:hAnsi="Arial"/>
                <w:sz w:val="18"/>
                <w:szCs w:val="18"/>
                <w:color w:val="auto"/>
              </w:rPr>
              <w:t>January 2019</w:t>
            </w:r>
          </w:p>
        </w:tc>
        <w:tc>
          <w:tcPr>
            <w:tcW w:w="0" w:type="dxa"/>
            <w:vAlign w:val="bottom"/>
          </w:tcPr>
          <w:p>
            <w:pPr>
              <w:spacing w:after="0"/>
              <w:rPr>
                <w:sz w:val="1"/>
                <w:szCs w:val="1"/>
                <w:color w:val="auto"/>
              </w:rPr>
            </w:pPr>
          </w:p>
        </w:tc>
      </w:tr>
      <w:tr>
        <w:trPr>
          <w:trHeight w:val="228"/>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Food Service Employees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IAM</w:t>
            </w:r>
          </w:p>
        </w:tc>
        <w:tc>
          <w:tcPr>
            <w:tcW w:w="2620" w:type="dxa"/>
            <w:vAlign w:val="bottom"/>
            <w:gridSpan w:val="3"/>
          </w:tcPr>
          <w:p>
            <w:pPr>
              <w:ind w:left="800"/>
              <w:spacing w:after="0"/>
              <w:rPr>
                <w:sz w:val="20"/>
                <w:szCs w:val="20"/>
                <w:color w:val="auto"/>
              </w:rPr>
            </w:pPr>
            <w:r>
              <w:rPr>
                <w:rFonts w:ascii="Arial" w:cs="Arial" w:eastAsia="Arial" w:hAnsi="Arial"/>
                <w:sz w:val="18"/>
                <w:szCs w:val="18"/>
                <w:color w:val="auto"/>
              </w:rPr>
              <w:t>January 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table includes the Company’s U.S. (and Guam) union represented employees only.</w:t>
      </w:r>
    </w:p>
    <w:p>
      <w:pPr>
        <w:ind w:left="200" w:hanging="192"/>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respective amendable dates for those joint negotiations in progress reflect the remaining United, Continental Airlines, Inc. (“Continental”) and/or Continental Micronesia, Inc. stand-alone agreements.</w:t>
      </w:r>
    </w:p>
    <w:p>
      <w:pPr>
        <w:spacing w:after="0" w:line="1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cannot predict the outcome of negotiations with its unionized employee groups, although significant increases in the pay and benefits resulting from new collective bargaining agreements would have an adverse financial impact on the Company. See Notes 15 and 16 to the financial statements included in Part II, Item 8 of this report for additional information on labor negotiations and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RISK FACTORS.</w:t>
      </w:r>
    </w:p>
    <w:p>
      <w:pPr>
        <w:spacing w:after="0" w:line="12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i w:val="1"/>
          <w:iCs w:val="1"/>
          <w:color w:val="auto"/>
        </w:rPr>
        <w:t>The following risk factors should be read carefully when evaluating the Company’s business and the forward-looking statements contained in this report and other statements the Company or its representatives make from time to time. Any of the following risks could materially and adversely affect the Company’s business, operating results, financial condition and the actual outcome of matters as to which forward-looking statements are made in this report.</w:t>
      </w:r>
    </w:p>
    <w:p>
      <w:pPr>
        <w:spacing w:after="0" w:line="13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Global economic, political and industry conditions constantly change and unfavorable conditions may have a material adverse effect on the Company’s business and results of operations.</w:t>
      </w:r>
    </w:p>
    <w:p>
      <w:pPr>
        <w:spacing w:after="0" w:line="78"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The Company’s business and results of operations are significantly impacted by general economic and industry conditions. The airline industry is highly cyclical, and the level of demand for air travel is correlated to the strength of the U.S. and global economies. The Company is a global business with operations outside of the United States from which it derives significant operating revenues. The Company’s international operations are a vital part of its worldwide airline network.</w:t>
      </w:r>
    </w:p>
    <w:p>
      <w:pPr>
        <w:spacing w:after="0" w:line="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Volatile economic, political and market conditions in these international regions may have a negative impact on the Company’s operating results and its ability to achieve its business objectives.</w:t>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Robust demand for the Company’s air transportation services depends largely on favorable economic conditions, including the strength of the domestic and foreign economies, low unemployment levels, strong consumer confidence levels and the availability of consumer and business credit. Air transportation is often a discretionary purchase that leisure travelers may limit or eliminate during difficult economic times. In addition, during periods of unfavorable economic conditions, business travelers usually reduce the volume of their travel, either due to cost-saving initiatives or as a result of decreased business activity requiring travel. During such periods, the Company’s business and results of operations may be adversely affected due to significant declines in industry passenger demand, particularly with respect to the Company’s business and premium cabin travelers, and a reduction in fare levels.</w:t>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Stagnant or weakening global economic conditions either in the United States or in other geographic regions, and any future volatility in U.S. and global financial and credit markets may have a material adverse effect on the Company’s revenues, results of operations and liquidity. If such economic conditions were to disrupt capital markets in the future, the Company may be unable to obtain financing on acceptable terms (or at all) to refinance certain maturing debt and to satisfy future capital commitments.</w:t>
      </w:r>
    </w:p>
    <w:p>
      <w:pPr>
        <w:spacing w:after="0" w:line="8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addition, significant or volatile changes in exchange rates between the U.S. dollar and other currencies may have a material adverse impact upon the Company’s liquidity, revenues, costs and operating results.</w:t>
      </w:r>
    </w:p>
    <w:p>
      <w:pPr>
        <w:spacing w:after="0" w:line="1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airline industry is highly competitive and susceptible to price discounting and changes in capacity, which could have a material adverse effect on the Company.</w:t>
      </w:r>
    </w:p>
    <w:p>
      <w:pPr>
        <w:spacing w:after="0" w:line="7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U.S. airline industry is characterized by substantial price competition including from low-cost carriers. The significant market presence of low-cost carriers, which engage in substantial price discounting, may diminish our ability to achieve sustained profitability on domestic and international routes.</w:t>
      </w:r>
    </w:p>
    <w:p>
      <w:pPr>
        <w:spacing w:after="0" w:line="31"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Airlines also compete for market share by increasing or decreasing their capacity, including route systems and the number of markets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In addition, the Company has implemented significant capacity reductions in recent years in response to high and volatile fuel prices and stagnant global economic growth. This increased competition in both domestic and international markets may have a material adverse effect on the Company’s results of operations, financial condition or liquidity.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34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Terrorist attacks or international hostilities, or the fear of terrorist attacks or hostilities, even if not made directly on the airline industry, could negatively affect the Company and the airline industry.</w:t>
      </w:r>
    </w:p>
    <w:p>
      <w:pPr>
        <w:spacing w:after="0" w:line="78"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The terrorist attacks on September 11, 2001 involving commercial aircraft severely and adversely impacted the Company’s financial condition and results of operations, as well as the prospects for the airline industry. Among the effects experienced from the September 11, 2001 terrorist attacks were substantial flight disruption costs caused by the FAA-imposed temporary grounding of the U.S. airline industry’s fleet, significantly increased security costs and associated passenger inconvenience, increased insurance costs, substantially higher ticket refunds and significantly decreased traffic and passenger revenue.</w:t>
      </w:r>
    </w:p>
    <w:p>
      <w:pPr>
        <w:spacing w:after="0" w:line="4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Additional terrorist attacks, even if not made directly on the airline industry, or the fear of or the precautions taken in anticipation of such attacks (including elevated national threat warnings or selective cancellation or redirection of flights) could materially and adversely affect the Company and the airline industry. Wars and other international hostilities could also have a material adverse impact on the Company’s financial condition, liquidity and results of operations. The Company’s financial resources may not be sufficient to absorb the adverse effects of any future terrorist attacks or other international hostilities.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data breach or the Company’s inability to comply with legislative or regulatory standards may adversely affect the Company’s business.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subject to increasing legislative, regulatory and customer focus on privacy issues and data security. A number of the Company’s commercial partners, including credit card companies, have imposed data security standards that the Company must meet and these standards continue to evolve. The Company will continue its efforts to meet new and increasing privacy and security standards; however, it is possible that certain new standards may be difficult to meet and could increase the Company’s costs. Additionally, any compromise of the Company’s technology systems could result in the loss, disclosure, misappropriation of or access to customers’, employees’ or business partners’ information. Any such loss, disclosure, misappropriation or access could result in legal claims or proceedings, liability or regulatory penalties under laws protecting the privacy of personal information. Any significant data breach or the Company’s failure to comply with applicable U.S. and foreign privacy or data security regulations or security standards imposed by the Company’s commercial partners may adversely affect the Company’s reputation, business, results of operations and financial condition.</w:t>
      </w:r>
    </w:p>
    <w:p>
      <w:pPr>
        <w:spacing w:after="0" w:line="1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Company relies heavily on technology and automated systems to operate its business and any significant failure or disruption of the technology or these systems could materially harm its business.</w:t>
      </w:r>
    </w:p>
    <w:p>
      <w:pPr>
        <w:spacing w:after="0" w:line="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depends on automated systems and technology to operate its business, including computerized airline reservation systems, flight operations systems, revenue management systems, accounting systems, telecommunication systems and commercial websites, including www.united.com. United’s website and other automated systems must be able to accommodate a high volume of traffic, maintain secure information and deliver important flight and schedule information, as well as process critical financial transactions. These systems could suffer substantial or repeated disruptions due to various events, some of which are beyond the Company’s control, including natural disasters, power failures, terrorist attacks, equipment or software failures, computer viruses or cyber security attacks. Substantial or repeated systems failures or disruptions, including failures or disruptions related to the Company’s complex integration of systems, could reduce the attractiveness of the Company’s services versus those of its competitors, materially impair its ability to market its services and operate its flights, result in the unauthorized release of confidential or otherwise protected information, result in increased costs, lost revenue and the loss or compromise of important data, and may adversely affect the Company’s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or future litigation and regulatory actions could have a material adverse impact on the Company.</w:t>
      </w:r>
    </w:p>
    <w:p>
      <w:pPr>
        <w:spacing w:after="0" w:line="11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From time to time, we are subject to litigation and other legal and regulatory proceedings relating to our business or investigations or other actions by governmental agencies, including as described in Part I, Item 3 “Legal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of this annual report. No assurances can be given that the results of these or new matters will be favorable to us. An adverse resolution of lawsuits, arbitrations, investigations or other proceedings or actions could have a material adverse effect on our financial condition and results of operations, including as a result of non-monetary remedies. Defending ourselves in these matters may be time-consuming, expensive and disruptive to normal business operations and may 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Under our charter and certain indemnification agreements that we have entered into (and may in the future enter into) with our officers, directors and certain third parties, we could be required to indemnify and advance expenses to them in connection with their involvement in certain actions, suits, investigations and other proceedings. There can be no assurance that any of these payments will not be material.</w:t>
      </w:r>
    </w:p>
    <w:p>
      <w:pPr>
        <w:spacing w:after="0" w:line="1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Disruptions to the Company’s regional network and United Express flights provided by third-party regional carriers could adversely affect the Company’s operations and financial condition.</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has contractual relationships with various regional carriers to provide regional jet and turboprop service branded as United Express. These regional operations are an extension of the Company’s mainline network and complement the Company’s operations by carrying traffic that connects to mainline service and allows flights to smaller cities that cannot be provided economically with mainline aircraft. The Company’s business and operations are dependent on its regional flight network, with regional capacity accounting for approximately 12% of the Company’s total as of December 31, 2015.</w:t>
      </w:r>
    </w:p>
    <w:p>
      <w:pPr>
        <w:spacing w:after="0" w:line="5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Although the Company has agreements with its regional carriers that include contractually agreed performance metrics, the Company does not control the operations of these carriers. A number of factors may impact the Company’s regional network, including weather-related effects and seasonality. In addition, the decrease in qualified pilots driven by federal regulations has adversely impacted and could continue to affect the Company’s regional flying. For example, the FAA’s expansion of minimum pilot qualification standards, including a requirement that a pilot have at least 1,500 total flight hours, as well as the FAA’s revised pilot flight and duty time rules, effective January 2014, have contributed to an increasing need for pilots for regional carriers. The decrease in qualified pilots resulting from the regulations as well as factors including a decreased student pilot population and a shrinking U.S. military from which to hire qualified pilots, could adversely impact the Company’s operations and financial condition, and also require the Company to reduce regional carrier flying.</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significant disruption occurs to the Company’s regional network or flights or if one or more of the regional carriers with which the Company has relationships is unable to perform their obligations over an extended period of time, there could be a material adverse effect on the Company’s business, financial condition and operations.</w:t>
      </w:r>
    </w:p>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The Company’s business relies extensively on third-party service providers. Failure of these parties to perform as expected, or interruptions in the Company’s relationships with these providers or their provision of services to the Company, could have an adverse effect on the Company’s financial position and results of operations.</w:t>
      </w:r>
    </w:p>
    <w:p>
      <w:pPr>
        <w:spacing w:after="0" w:line="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engaged an increasing number of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and performance of aircraft fueling operations, among other vital functions and services. The Company does not directly control these third-party service providers, although it does enter into agreements with many of them that define expected service performance. Any of these third-party service providers, however, may materially fail to meet their service performance commitments to the Company, may suffer disruptions to their systems that could impact their services, or the agreements with such providers may be terminated. For example, flight reservations booked by customers and travel agencies via third-party GDSs may be adversely affected by disruptions in the business relationships between the Company and GDS operators. Such disruptions, including a failure to agree upon acceptable contract terms when contracts expire or otherwise become subject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2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renegotiation, may cause the Company’s flight information to be limited or unavailable for display, significantly increase fees for both the Company and GDS users, and impair the Company’s relationships with its customers and travel agencies. The failure of any of the Company’s third-party service providers to perform their service obligations adequately, or other interruptions of services, may reduce the Company’s revenues and increase its expenses, prevent the Company from operating its flights and providing other services to its customers or result in adverse publicity or harm to its brand. In addition, the Company’s business and financial performance could be materially harmed if its customers believe that its services are unreliable or unsatisfactory.</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The Company could experience adverse publicity, harm to its brand, reduced travel demand and potential tort liability as a result of an accident, catastrophe, or incident involving its aircraft, the aircraft of its regional carriers or the aircraft of its codeshare partners, which may result in a material adverse effect on the Company’s results of operations or financial position.</w:t>
      </w:r>
    </w:p>
    <w:p>
      <w:pPr>
        <w:spacing w:after="0" w:line="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 accident, catastrophe, or incident involving an aircraft that the Company operates, or an aircraft that is operated by a codeshare partner or one of the Company’s regional carriers, could have a material adverse effect on the Company if such accident, catastrophe, or incident created a public perception that the Company’s operations, or the operations of its codeshare partners or regional carriers, are not safe or reliable, or are less safe or reliable than other airlines. Such public perception could in turn result in adverse publicity for the Company, cause harm to the Company’s brand and reduce travel demand on the Company’s flights, or the flights of its codeshare partners or regional carriers.</w:t>
      </w:r>
    </w:p>
    <w:p>
      <w:pPr>
        <w:spacing w:after="0" w:line="8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any such accident, catastrophe, or incident could expose the Company to significant tort liability. Although the Company currently maintains liability insurance in amounts and of the type the Company believes to be consistent with industry practice to cover damages arising from any such accident or catastrophe, and the Company’s codeshare partners and regional carriers carry similar insurance and generally indemnify the Company for their operations, if the Company’s liability exceeds the applicable policy limits or the ability of another carrier to indemnify it, the Company could incur substantial losses from an accident, catastrophe or incident which may result in a material adverse effect on the Company’s results of operations or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changes in, or are unable to retain, our senior management team or other key employees, our operating results could be adversely affected.</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Much of our future success depends on the continued availability of skilled personnel with industry experience and knowledge, including our senior management team and other key employees. If we are unable to attract and retain talented, highly qualified senior management and other key employees, or if we are unable to effectively provide for the succession of senior management, including our Chief Executive Officer and Chief Financial Officer, our business may be adversely affected.</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High and/or volatile fuel prices or significant disruptions in the supply of aircraft fuel could have a material adverse impact on the Company’s strategic plans, operating results, financial position and liquidity.</w:t>
      </w:r>
    </w:p>
    <w:p>
      <w:pPr>
        <w:spacing w:after="0" w:line="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Aircraft fuel is critical to the Company’s operations and is one of its largest operating expenses. Aircraft fuel has also been the Company’s most volatile operating expense for the past several years. The Company generally sources adequate supplies of fuel at prevailing market prices and has some ability to store fuel close to major hub locations to ensure supply continuity in the short term. Timely and adequate supply of aircraft fuel depends on the continued availability of reliable fuel supply sources and delivery infrastructure. Although the Company has some ability to cover short-term supply and infrastructure disruptions at its major demand locations, it can neither predict nor guarantee the continued timely availability of aircraft fuel throughout the Company’s system.</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Market prices for aircraft fuel depend on a multitude of unpredictable factors beyond the Company’s control. These factors include changes in global crude oil prices, aircraft fuel supply-demand balance, inventory levels and fuel production and transportation capacity, as well as indirect factors, such as geopolitical events, economic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growth indicators, fiscal/monetary policies, fuel tax policies and financial investments. Both actual changes as well as changes in market expectations of these factors can potentially drive rapid changes in fuel price levels and price volatility.</w:t>
      </w:r>
    </w:p>
    <w:p>
      <w:pPr>
        <w:spacing w:after="0" w:line="78"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Given the highly competitive nature of the airline industry, the Company may not be able to increase its fares and fees sufficiently to offset the full impact of increases in fuel prices, especially if these increases are significant, rapid and sustained. Further, such fare and fee increases may not be sustainable, may reduce the general demand for air travel and may also eventually impact the Company’s strategic growth and investment plans for the future. In addition, decreases in fuel prices for an extended period may result in increased industry capacity, increased competitive actions for market share and lower fares or surcharges in general. If fuel prices were subsequently to rise quickly, there may be a lag between improvement of revenue and the adverse impact of higher fuel prices.</w:t>
      </w:r>
    </w:p>
    <w:p>
      <w:pPr>
        <w:spacing w:after="0" w:line="4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protect against increases in the market prices of fuel, the Company may hedge a portion of its future fuel requirements. However, the Company’s hedging program may not be successful in mitigating higher fuel costs, and any price protection provided may be limited due to choice of hedging instruments and market conditions, including breakdown of correlation between hedging instrument and market price of aircraft fuel and failure of hedge counterparties. To the extent that the Company decides to hedge a portion of its future fuel requirements and uses hedge contracts that have the potential to create an obligation to pay upon settlement if fuel prices decline significantly, such hedge contracts may limit the Company’s ability to benefit fully from lower fuel costs in the future. If fuel prices decline significantly from the levels existing at the time the Company enters into a hedge contract, the Company may be required to post collateral (margin) beyond certain thresholds. There can be no assurance that the Company’s hedging arrangements will provide any particular level of protection against rises in fuel prices or that its counterparties will be able to perform under the Company’s hedging arrangements. Additionally, deterioration in the Company’s financial condition could negatively affect its ability to enter into new hedge contracts in the future and may potentially require the Company to post increased amounts of collateral under its fuel hedging agreements.</w:t>
      </w:r>
    </w:p>
    <w:p>
      <w:pPr>
        <w:spacing w:after="0" w:line="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Dodd-Frank Wall Street Reform and Consumer Protection Act of 2010 and regulations promulgated by the Commodity Futures Trading Commission (the “CFTC”) require centralized clearing for over-the-counter derivatives and record-keeping and reporting requirements that are applicable to the Company’s fuel hedge contracts. The UAL Board of Directors (“Board of Directors”) has approved the Company’s election of the CFTC’s end-user exception, which permits the Company as a non-financial end user of derivatives to hedge commercial risk and be exempt from the CFTC mandatory clearing requirements. However, several of the Company’s hedge counterparties are also subject to these requirements, which may raise the counterparties’ costs. Those increased costs may in turn be passed on to the Company, resulting in increased transaction costs to execute hedge contracts and lower credit thresholds to post collateral (margin).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the financial statements included in Part II, Item 8 of this report for additional information on the Company’s hedging programs.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Union disputes, employee strikes or slowdowns, and other labor-related disruptions, as well as the integration of United’s workforces in connection with the Company’s merger transaction in 2010, could adversely affect the Company’s operations and could result in increased costs that impair its financial performance.</w:t>
      </w:r>
    </w:p>
    <w:p>
      <w:pPr>
        <w:spacing w:after="0" w:line="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United is a highly unionized company. As of December 31, 2015, the Company and its subsidiaries had approximately 84,000 active employees, of whom approximately 80% were represented by various U.S. labor organizations.</w:t>
      </w:r>
    </w:p>
    <w:p>
      <w:pPr>
        <w:spacing w:after="0" w:line="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successful integration of United’s workforces in connection with the Company’s merger transaction in 2010 and achievement of the anticipated benefits of the combined company depend in part on integrating employee groups and maintaining productive employee relations. In order to fully integrate the Company’s pre-merger represented employee groups, the Company must negotiate a joint collective bargaining agreement covering each combined group. The process for integrating the labor groups is governed by a combination of the RLA, the McCaskill-Bond Amendment, and where applicable, the existing provisions of collective bargaining agreements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5" w:name="page16"/>
    <w:bookmarkEnd w:id="1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union policies. A delay in or failure to integrate employee groups presents the potential for increased operating costs and labor disputes that could adversely affect the Company’s operations.</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has reached joint collective bargaining agreements with the majority of its employee groups since the merger transaction in 2010 with only two groups remaining without combined collective bargaining agreements. We continue to negotiate for a joint flight attendant collective bargaining agreement and its technician and related employees are in the process of submitting a recent Company proposal for ratification by its membership. The Company can provide no assurance that a successful or timely resolution of these labor negotiations will be achieved.</w:t>
      </w:r>
    </w:p>
    <w:p>
      <w:pPr>
        <w:spacing w:after="0" w:line="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There is a risk that unions or individual employees might pursue judicial or arbitral claims arising out of changes implemented as a result of the Company’s merger transaction in 2010. There is also a possibility that employees or unions could engage in job actions such as slowdowns, work-to-rule campaigns, sick-outs or other actions designed to disrupt the Company’s normal operations, in an attempt to pressure the Company in collective bargaining negotiations. Although the RLA makes such actions unlawful until the parties have been lawfully released to self-help, and the Company can seek injunctive relief against premature self-help, such actions can cause significant harm even if ultimately enjoined. In addition, joint collective bargaining agreements with the Company’s represented employee groups increase the Company’s labor costs, which increase could be material for any applicable reporting period.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See Notes 15 and 16 to the financial statements included in Part II, Item 8 of this report for additional information on labor negotiations and costs.</w:t>
      </w:r>
    </w:p>
    <w:p>
      <w:pPr>
        <w:spacing w:after="0" w:line="22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An outbreak of a disease or similar public health threat could have a material adverse impact on the Company’s business, financial position and results of operations.</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outbreak of a disease or similar public health threat that affects travel demand or travel behavior, or travel restrictions or reduction in the demand for air travel caused by an outbreak of a disease or similar public health threat in the future, could have a material adverse impact on the Company’s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Extensive government regulation could increase the Company’s operating costs and restrict its ability to conduct its business.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Airlines are subject to extensive regulatory and legal oversight. Compliance with U.S. and international regulations imposes significant costs and may have adverse effects on the Company. Laws, regulations, taxes and airport rates and charges, both domestically and internationally, have been proposed from time to time that could significantly increase the cost of airline operations or reduce airline revenue.</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United provides air transportation under certificates of public convenience and necessity issued by the DOT. If the DOT altered, amended, modified, suspended or revoked these certificates, it could have a material adverse effect on the Company’s business. The FAA regulates the safety of United’s operations. United operates pursuant to an air carrier operating certificate issued by the FAA. In January 2014, the FAA’s more stringent pilot flight and duty time requirements under Part 117 of the Federal Aviation Regulations took effect, which has increased costs for all carriers. In July 2014, minimum qualifications took effect for air carrier first officers. These regulations impact the Company and its regional partner flying, as they have caused mainline airlines to hire regional pilots, while simultaneously significantly reducing the pool of new pilots from which regional carriers themselves can hire. Although this is an industry issue, it directly affects the Company and requires it to reduce regional partner flying, as several regional partners have experienced difficulty flying their schedules due to reduced pilot availability. From time to time, the FAA also issues orders, airworthiness directives and other regulations relating to the maintenance and operation of aircraft that require material expenditures or operational restrictions by the Company. These FAA orders and directives could include the temporary grounding of an entire aircraft type if the FAA identifies design, manufacturing, maintenance or other issues requiring immediate corrective action. FAA requirements cover, among other things, retirement of older aircraft, collision avoidance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systems, airborne windshear avoidance systems, noise abatement and other environmental concerns, aircraft operation and safety and increased inspections and maintenance procedures to be conducted on older aircraft. These FAA directives or requirements could have a material adverse effect on the Company.</w:t>
      </w:r>
    </w:p>
    <w:p>
      <w:pPr>
        <w:spacing w:after="0" w:line="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the Company’s operations may be adversely impacted due to the existing antiquated air traffic control (“ATC”) system utilized by the U.S. government. During peak travel periods in certain markets, the current ATC system’s inability to handle ATC demand has led to short-term capacity constraints imposed by government agencies and resulted in delays and disruptions of air traffic. In addition, the current system will not be able to effectively handle projected future air traffic growth. Imposition of these ATC constraints on a long-term basis may have a material adverse effect on the Company’s results of operations. Failure to update the ATC system in a timely manner, and the substantial funding requirements of a modernized ATC system that may be imposed on air carriers may have an adverse impact on the Company’s financial condition or results of operations.</w:t>
      </w:r>
    </w:p>
    <w:p>
      <w:pPr>
        <w:spacing w:after="0" w:line="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Access to landing and take-off rights, or “slots,” at several major U.S. airports and many foreign airports served by the Company are, or recently have been, subject to government regulation. Certain of the Company’s major hubs are among the most congested airports in the United States and have been or could be the subject of regulatory action that might limit the number of flights and/or increase costs of operations at certain times or throughout the day. The FAA may limit the Company’s airport access by limiting the number of departure and arrival slots at high density traffic airports, which could affect the Company’s ownership and transfer rights, and local airport authorities may have the ability to control access to certain facilities or the cost of access to their facilities, which could have an adverse effect on the Company’s business. The FAA historically has taken actions with respect to airlines’ slot holdings that airlines have challenged; if the FAA were to take actions that adversely affect the Company’s slot holdings, the Company could incur substantial costs to preserve its slots or may lose slots. Further, the Company’s operating costs at airports, including the Company’s major hubs, may increase significantly because of capital improvements at such airports that the Company may be required to fund, directly or indirectly. Such costs could be imposed by the relevant airport authority without the Company’s approval and may have a material adverse effect on the Company’s financial condition.</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ability of carriers to operate flights on international routes between the United States and other countries may be subject to change. Applicable arrangements between the United States and foreign governments may be amended from time to time, government policies with respect to airport operations may be revised, and the availability of appropriate slots or facilities may change. 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Any further limitations, additions or modifications to such arrangements, regulations or policies could have a material adverse effect on the Company’s financial position and results of operations. Additionally, a change in law, regulation or policy for any of the Company’s international routes, such as open skies, could have a material adverse impact on the Company’s financial position and results of operations and could result in the impairment of material amounts of related tangible and intangible assets. In addition, competition from revenue-sharing joint ventures and other alliance arrangements by and among other airlines could impair the value of the Company’s business and assets on the open skies routes. The Company’s plans to enter into or expand U.S. antitrust immunized alliances and joint ventures on various international routes are subject to receipt of approvals from applicable U.S. federal authorities and obtaining other applicable foreign government clearances or satisfying the necessary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Many aspects of the Company’s operations are also subject to increasingly stringent federal, state, local and international laws protecting the environment. Future environmental regulatory developments, such as climate change regulations in the United States and abroad could adversely affect operations and increase operating costs in the airline industry. There are certain climate change laws and regulations that have already gone into effect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that apply to the Company, including the European Union’s Emissions Trading Scheme, the State of California’s GHG cap and trade regulations, environmental taxes for certain international flights, limited GHG reporting requirements and land-use planning laws which could apply to airports and could affect airlines in certain circumstances. In addition, there is the potential for additional regulatory actions in regard to the emission of GHGs by the aviation industry. The precise nature of future requirements and their applicability to the Company are difficult to predict, but the financial impact to the Company and the aviation industry would likely be adverse and could be significant.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 2016, the U.S. Congress will continue to consider legislation to reauthorize the FAA, which encompasses all significant aviation tax and policy related issues.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with previous reauthorization legislation, the U.S. Congress may consider a range of policy changes that could impact the Company’s operations and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Business—Industry Regulation, of this report for additional information on government regulation impacting the Company.</w:t>
      </w:r>
    </w:p>
    <w:p>
      <w:pPr>
        <w:spacing w:after="0" w:line="19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airline industry may undergo further change with respect to alliances and joint ventures, either of which could have a material adverse effect on the Company.</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faces and may continue to face strong competition from other carriers due to the modification of alliances and formation of new joint ventures. Carriers may improve their competitive positions through airline alliances, slot swaps and/or joint ventures. Certain types of airline joint ventures further competition by allowing multiple airlines to coordinate routes, pool revenues and costs, and enjoy other mutual benefits, achieving many of the benefits of consolidation. “Open Skies” agreements, including the agreements between the United States and the European Union and between the United States and Japan, may also give rise to better integration opportunities among international carriers. Movement of airlines between current global airline alliances could reduce joint network coverage for members of such alliances while also creating opportunities for joint ventures and bilateral alliances that did not exist before such realignment. There is ongoing speculation that further airline and airline alliance consolidations or reorganizations could occur in the future, especially if new “Open Skies” agreements between Brazil and the United States and Mexico and the United States are fully implemented. The Company routinely engages in analysis and discussions regarding its own strategic position, including current and potential alliances, asset acquisitions and divestitures and may have future discussions with other airlines regarding strategic activities. If other airlines participate in such activities, those airlines may significantly improve their cost structures or revenue generation capabilities, thereby potentially making them stronger competitors of the Company and potentially impairing the Company’s ability to realize expected benefits from its own strategic relationships.</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Inadequate liquidity or a negative impact on the Company’s liquidity from factors beyond the Company’s control may have a material adverse effect on the Company’s financial position and business.</w:t>
      </w:r>
    </w:p>
    <w:p>
      <w:pPr>
        <w:spacing w:after="0" w:line="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a significant amount of financial leverage from fixed obligations, including aircraft lease and debt financings, leases of airport property and other facilities, and other material cash obligations. In addition, the Company has substantial noncancelable commitments for capital expenditures, including for the acquisition of new aircraft and related spare engines.</w:t>
      </w:r>
    </w:p>
    <w:p>
      <w:pPr>
        <w:spacing w:after="0" w:line="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Although the Company’s cash flows from operations and its available capital, including the proceeds from financing transactions, have been sufficient to meet these obligations and commitments to date, the Company’s future liquidity could be negatively affected by the risk factors discussed in this Item 1A., including, but not limited to, substantial volatility in the price of fuel, adverse economic conditions, disruptions in the global capital markets and catastrophic external events.</w:t>
      </w:r>
    </w:p>
    <w:p>
      <w:pPr>
        <w:spacing w:after="0" w:line="8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the Company’s liquidity is constrained due to the various risk factors noted in this Item 1A. or otherwise, the Company might not be able to timely pay its debts or comply with certain operating and financial covenants under its financing and credit card processing agreements or with other material provisions of its contractual obligations. These covenants require the Company or United, as applicable, to maintain minimum liquidity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minimum collateral coverage ratios, depending on the particular agreement. The Company’s ability to comply with these covenants may be affected by events beyond its control, including the overall industry revenue environment, the level of fuel costs and the appraised value of certain collateral.</w:t>
      </w:r>
    </w:p>
    <w:p>
      <w:pPr>
        <w:spacing w:after="0" w:line="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the Company does not timely pay its debts or comply with such covenants, a variety of adverse consequences could result. These potential adverse consequences include an increase of required reserves under credit card processing agreements, withholding of credit card sale proceeds by its credit card service providers, loss of undrawn lines of credit, the occurrence of one or more events of default under the relevant agreements, the acceleration of the maturity of debt and/or the exercise of other remedies by its creditors and equipment lessors that could result in a material adverse effect on the Company’s financial position and results of operations. The Company cannot provide assurance that it would have sufficient liquidity to repay or refinance such debt if it were accelerated. In addition, an event of default or acceleration of debt under certain of its financing agreements could result in one or more events of default under certain of the Company’s other financing agreements due to cross default and cross acceleration provisions.</w:t>
      </w:r>
    </w:p>
    <w:p>
      <w:pPr>
        <w:spacing w:after="0" w:line="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Furthermore, constrained liquidity may limit the Company’s ability to withstand competitive pressures and downturns in the travel business and the economy in general.</w:t>
      </w:r>
    </w:p>
    <w:p>
      <w:pPr>
        <w:spacing w:after="0" w:line="7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substantial level of indebtedness and non-investment grade credit rating, as well as market conditions and the availability of assets as collateral for loans or other indebtedness, may make it difficult for the Company to raise additional capital if needed to meet its liquidity needs on acceptable terms, or at all.</w:t>
      </w:r>
    </w:p>
    <w:p>
      <w:pPr>
        <w:spacing w:after="0" w:line="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of this report for additional information regarding the Company’s liquidity.</w:t>
      </w:r>
    </w:p>
    <w:p>
      <w:pPr>
        <w:spacing w:after="0" w:line="15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materially and adversely impact the Company’s results of operations and financial condition.</w:t>
      </w:r>
    </w:p>
    <w:p>
      <w:pPr>
        <w:spacing w:after="0" w:line="7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could be exposed to significant liability or loss if its property or operations were to be affected by a natural catastrophe or other event, including aircraft accidents. If the Company is unable to obtain sufficient insurance (including but not limited to aviation hull and liability insurance, workers’ compensation, and property and business interruption coverage) to cover such liabilities or losses, whether due to insurance market conditions or otherwise, its results of operations and financial condition could be materially and adversely affected.</w:t>
      </w:r>
    </w:p>
    <w:p>
      <w:pPr>
        <w:spacing w:after="0" w:line="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Following the terrorist attacks on September 11, 2001, the Company’s insurance costs increased significantly and the availability of third-party war risk (terrorism) insurance decreased significantly. From September 2001 through May 2014, the Company obtained third-party war risk (terrorism) insurance through a FAA-administered program. In anticipation of the government discontinuing this program, effective May 2014, the Company terminated its FAA-administered insurance and returned to the commercial insurance markets to obtain third-party war risk (terrorism) insurance. The government subsequently discontinued the FAA-administered program in December 2014. If the Company is unable in the future to obtain third-party war risk (terrorism) insurance with acceptable terms, or if the coverage obtained is insufficient relative to actual liability or losses that the Company experiences, its results of operations and financial condition could be materially and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results of operations fluctuate due to seasonality and other factors associated with the airline industry.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results of operations generally reflect this seasonality, but have also been impacted by numerous other factors that are not necessarily seasonal including, among others, the imposition of excise and similar taxes, extreme or severe weather, ATC control congestion, geological events, natural disasters, changes in the competitive environment due to industry consolidation,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9" w:name="page20"/>
    <w:bookmarkEnd w:id="19"/>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economic conditions and other factors.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11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Company may never realize the full value of its intangible assets or its long-lived assets causing it to record impairments that may negatively affect its financial position and results of operations.</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applicable accounting standards, the Company is required to test its indefinite-lived intangible assets for impairment on an annual basis on October 1 of each year, or more frequently if conditions indicate that an impairment may have occurred. In addition, the Company is required to test certain of its other assets for impairment if conditions indicate that an impairment may have occurred.</w:t>
      </w:r>
    </w:p>
    <w:p>
      <w:pPr>
        <w:spacing w:after="0" w:line="8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may be required to recognize impairments in the future due to, among other factors, extreme fuel price volatility, tight credit markets, a decline in the fair value of certain tangible or intangible assets, unfavorable trends in historical or forecasted results of operations and cash flows and an uncertain economic environment, as well as other uncertainties. The Company can provide no assurance that a material impairment charge of tangible or intangible assets will not occur in a future period. The value of the Company’s aircraft could be impacted in future periods by changes in supply and demand for these aircraft. Such changes in supply and demand for certain aircraft types could result from grounding of aircraft by the Company or other carriers. An impairment charge could have a material adverse effect on the Company’s financial position and results of operations.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Company’s ability to use its net operating loss carryforwards to offset future taxable income for U.S. federal income tax purposes may be significantly limited due to various circumstances, including certain possible future transactions involving the sale or issuance of UAL common stock, or if taxable income does not reach sufficient levels.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UAL reported consolidated federal net operating loss (“NOL”) carryforwards of approximately $8.0 billion.</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ability to use its NOL carryforwards may be limited if it experiences an “ownership change” as defined in Section 382 (“Section 382”) of the Internal Revenue Code of 1986, as amended. An ownership change generally occurs if certain stockholders increase their aggregate percentage ownership of a corporation’s stock by more than 50 percentage points over their lowest percentage ownership at any time during the testing period, which is generally the three-year period preceding any potential ownership change.</w:t>
      </w:r>
    </w:p>
    <w:p>
      <w:pPr>
        <w:spacing w:after="0" w:line="89" w:lineRule="exact"/>
        <w:rPr>
          <w:sz w:val="20"/>
          <w:szCs w:val="20"/>
          <w:color w:val="auto"/>
        </w:rPr>
      </w:pPr>
    </w:p>
    <w:p>
      <w:pPr>
        <w:jc w:val="both"/>
        <w:ind w:right="280"/>
        <w:spacing w:after="0" w:line="294" w:lineRule="auto"/>
        <w:rPr>
          <w:sz w:val="20"/>
          <w:szCs w:val="20"/>
          <w:color w:val="auto"/>
        </w:rPr>
      </w:pPr>
      <w:r>
        <w:rPr>
          <w:rFonts w:ascii="Arial" w:cs="Arial" w:eastAsia="Arial" w:hAnsi="Arial"/>
          <w:sz w:val="16"/>
          <w:szCs w:val="16"/>
          <w:color w:val="auto"/>
        </w:rPr>
        <w:t>There is no assurance that the Company will not experience a future ownership change under Section 382 that may significantly limit or possibly eliminate its ability to use its NOL carryforwards. Potential future transactions involving the sale or issuance of UAL common stock, including the exercise of conversion options under the terms of any convertible debt that UAL may issue in the future, the repurchase of such debt with UAL common stock, any issuance of UAL common stock for cash and the acquisition or disposition of such stock by a stockholder owning 5% or more of UAL common stock, or a combination of such transactions, may increase the possibility that the Company will experience a future ownership change under Section 382.</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Section 382, a future ownership change would subject the Company to additional annual limitations that apply to the amount of pre-ownership change NOLs that may be used to offset post-ownership change taxable income. This limitation is generally determined by multiplying the value of a corporation’s stock immediately before the ownership change by the applicable long-term tax-exempt rate. Any unused annual limitation may, subject to certain limits, be carried over to later years, and the limitation may under certain circumstances be increased by built-in gains in the assets held by such corporation at the time of the ownership change. This limitation could cause the Company’s U.S. federal income taxes to be greater, or to be paid earlier, than they otherwise would be, and could cause all or a portion of the Company’s NOL carryforwards to expire unused. Similar rules and limitations may apply for state income tax purposes. The Company’s ability to use its NOL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carryforwards will also depend on the amount of taxable income it generates in future periods. Its NOL carryforwards may expire before the Company can generate sufficient taxable income to use them in full.</w:t>
      </w:r>
    </w:p>
    <w:p>
      <w:pPr>
        <w:spacing w:after="0" w:line="1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UAL’s amended and restated certificate of incorporation limits certain transfers of its stock, which limits are intended to preserve our ability to use our NOL carryforwards, and these limits could have an effect on the market price of UAL common stock.</w:t>
      </w:r>
    </w:p>
    <w:p>
      <w:pPr>
        <w:spacing w:after="0" w:line="7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reduce the risk of a potential adverse effect on the Company’s ability to use its NOL carryforwards for federal income tax purposes, UAL’s amended and restated certificate of incorporation contains a 5% ownership limitation. This limitation generally remains effective until February 1, 2017, or until such later date as may be approved by the Board of Directors in its sole discretion. The limitation prohibits (i) an acquisition by a single stockholder of shares that results in that stockholder owning 5% or more of UAL common stock and (ii) any acquisition or disposition of common stock by a stockholder that already owns 5% or more of UAL common stock, unless prior written approval is granted by the Board of Directors.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transfer of common stock in violation of these restrictions will be void and will be treated as if such transfer never occurred. This provision of UAL’s amended and restated certificate of incorporation may impair or prevent a sale of common stock by a stockholder and adversely affect the price at which a stockholder can sell UAL common stock. In addition, this limitation may have the effect of delaying or preventing a change in control of the Company, creating a perception that a change in control cannot occur or otherwise discouraging takeover attempts that some stockholders may consider beneficial, which could also adversely affect the market price of the UAL common stock. The Company cannot predict the effect that this provision in UAL’s amended and restated certificate of incorporation may have on the market price of the UAL common stock. For additional information regarding the 5% ownership limitation, please refer to UAL’s amended and restated certificate of incorporation available on the Investor Relations section of the Company’s website at http://ir.united.com.</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1" w:name="page22"/>
    <w:bookmarkEnd w:id="21"/>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Including aircraft operating by United’s regional carriers, United operated 1,236 aircraft as of December 31, 2015, the details of which are presented in the tables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gridSpan w:val="2"/>
            <w:vMerge w:val="restart"/>
          </w:tcPr>
          <w:p>
            <w:pPr>
              <w:ind w:left="1600"/>
              <w:spacing w:after="0"/>
              <w:rPr>
                <w:sz w:val="20"/>
                <w:szCs w:val="20"/>
                <w:color w:val="auto"/>
              </w:rPr>
            </w:pPr>
            <w:r>
              <w:rPr>
                <w:rFonts w:ascii="Arial" w:cs="Arial" w:eastAsia="Arial" w:hAnsi="Arial"/>
                <w:sz w:val="18"/>
                <w:szCs w:val="18"/>
                <w:b w:val="1"/>
                <w:bCs w:val="1"/>
                <w:color w:val="auto"/>
              </w:rPr>
              <w:t>Aircraft Type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Seats in Standard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 Age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vMerge w:val="continue"/>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Owned</w:t>
            </w:r>
          </w:p>
        </w:tc>
        <w:tc>
          <w:tcPr>
            <w:tcW w:w="2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Leased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Configuration</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Mainline:</w:t>
            </w: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20"/>
                <w:szCs w:val="20"/>
                <w:color w:val="auto"/>
              </w:rPr>
            </w:pPr>
            <w:r>
              <w:rPr>
                <w:rFonts w:ascii="Arial" w:cs="Arial" w:eastAsia="Arial" w:hAnsi="Arial"/>
                <w:sz w:val="18"/>
                <w:szCs w:val="18"/>
                <w:color w:val="auto"/>
              </w:rPr>
              <w:t>747-400</w:t>
            </w: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15</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777-200ER</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267-269</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20"/>
                <w:szCs w:val="20"/>
                <w:color w:val="auto"/>
              </w:rPr>
            </w:pPr>
            <w:r>
              <w:rPr>
                <w:rFonts w:ascii="Arial" w:cs="Arial" w:eastAsia="Arial" w:hAnsi="Arial"/>
                <w:sz w:val="18"/>
                <w:szCs w:val="18"/>
                <w:color w:val="auto"/>
              </w:rPr>
              <w:t>777-200</w:t>
            </w: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CCCC"/>
          </w:tcPr>
          <w:p>
            <w:pPr>
              <w:spacing w:after="0"/>
              <w:rPr>
                <w:sz w:val="18"/>
                <w:szCs w:val="18"/>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266-348</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787-9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20"/>
                <w:szCs w:val="20"/>
                <w:color w:val="auto"/>
              </w:rPr>
            </w:pPr>
            <w:r>
              <w:rPr>
                <w:rFonts w:ascii="Arial" w:cs="Arial" w:eastAsia="Arial" w:hAnsi="Arial"/>
                <w:sz w:val="18"/>
                <w:szCs w:val="18"/>
                <w:color w:val="auto"/>
              </w:rPr>
              <w:t>787-8</w:t>
            </w: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CCCC"/>
          </w:tcPr>
          <w:p>
            <w:pPr>
              <w:spacing w:after="0"/>
              <w:rPr>
                <w:sz w:val="18"/>
                <w:szCs w:val="18"/>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767-400ER</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767-300ER</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183-214</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757-300</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20"/>
                <w:szCs w:val="20"/>
                <w:color w:val="auto"/>
              </w:rPr>
            </w:pPr>
            <w:r>
              <w:rPr>
                <w:rFonts w:ascii="Arial" w:cs="Arial" w:eastAsia="Arial" w:hAnsi="Arial"/>
                <w:sz w:val="18"/>
                <w:szCs w:val="18"/>
                <w:color w:val="auto"/>
              </w:rPr>
              <w:t>757-200</w:t>
            </w: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60</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142-182</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737-900ER</w:t>
            </w: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167-179</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20"/>
                <w:szCs w:val="20"/>
                <w:color w:val="auto"/>
              </w:rPr>
            </w:pPr>
            <w:r>
              <w:rPr>
                <w:rFonts w:ascii="Arial" w:cs="Arial" w:eastAsia="Arial" w:hAnsi="Arial"/>
                <w:sz w:val="18"/>
                <w:szCs w:val="18"/>
                <w:color w:val="auto"/>
              </w:rPr>
              <w:t>737-900</w:t>
            </w: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737-800</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154-166</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20"/>
                <w:szCs w:val="20"/>
                <w:color w:val="auto"/>
              </w:rPr>
            </w:pPr>
            <w:r>
              <w:rPr>
                <w:rFonts w:ascii="Arial" w:cs="Arial" w:eastAsia="Arial" w:hAnsi="Arial"/>
                <w:sz w:val="18"/>
                <w:szCs w:val="18"/>
                <w:color w:val="auto"/>
              </w:rPr>
              <w:t>737-700</w:t>
            </w: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40</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118-124</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A320-200</w:t>
            </w: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A319-100</w:t>
            </w:r>
          </w:p>
        </w:tc>
        <w:tc>
          <w:tcPr>
            <w:tcW w:w="9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CCCC"/>
          </w:tcPr>
          <w:p>
            <w:pPr>
              <w:spacing w:after="0"/>
              <w:rPr>
                <w:sz w:val="18"/>
                <w:szCs w:val="18"/>
                <w:color w:val="auto"/>
              </w:rPr>
            </w:pP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CCCC"/>
          </w:tcPr>
          <w:p>
            <w:pPr>
              <w:spacing w:after="0"/>
              <w:rPr>
                <w:sz w:val="18"/>
                <w:szCs w:val="18"/>
                <w:color w:val="auto"/>
              </w:rPr>
            </w:pPr>
          </w:p>
        </w:tc>
        <w:tc>
          <w:tcPr>
            <w:tcW w:w="8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CCCC"/>
          </w:tcPr>
          <w:p>
            <w:pPr>
              <w:spacing w:after="0"/>
              <w:rPr>
                <w:sz w:val="18"/>
                <w:szCs w:val="18"/>
                <w:color w:val="auto"/>
              </w:rPr>
            </w:pPr>
          </w:p>
        </w:tc>
        <w:tc>
          <w:tcPr>
            <w:tcW w:w="13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Total mainline</w:t>
            </w:r>
          </w:p>
        </w:tc>
        <w:tc>
          <w:tcPr>
            <w:tcW w:w="940" w:type="dxa"/>
            <w:vAlign w:val="bottom"/>
          </w:tcPr>
          <w:p>
            <w:pPr>
              <w:jc w:val="right"/>
              <w:spacing w:after="0"/>
              <w:rPr>
                <w:sz w:val="20"/>
                <w:szCs w:val="20"/>
                <w:color w:val="auto"/>
              </w:rPr>
            </w:pPr>
            <w:r>
              <w:rPr>
                <w:rFonts w:ascii="Arial" w:cs="Arial" w:eastAsia="Arial" w:hAnsi="Arial"/>
                <w:sz w:val="18"/>
                <w:szCs w:val="18"/>
                <w:color w:val="auto"/>
              </w:rPr>
              <w:t>715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Capacity</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3"/>
              </w:rPr>
              <w:t>Leased</w:t>
            </w:r>
          </w:p>
        </w:tc>
        <w:tc>
          <w:tcPr>
            <w:tcW w:w="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Regional Carrier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3"/>
              </w:rPr>
              <w:t>Purchase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5"/>
              </w:rPr>
              <w:t>by</w:t>
            </w:r>
          </w:p>
        </w:tc>
        <w:tc>
          <w:tcPr>
            <w:tcW w:w="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Operator and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vMerge w:val="restart"/>
          </w:tcPr>
          <w:p>
            <w:pPr>
              <w:ind w:left="1600"/>
              <w:spacing w:after="0"/>
              <w:rPr>
                <w:sz w:val="20"/>
                <w:szCs w:val="20"/>
                <w:color w:val="auto"/>
              </w:rPr>
            </w:pPr>
            <w:r>
              <w:rPr>
                <w:rFonts w:ascii="Arial" w:cs="Arial" w:eastAsia="Arial" w:hAnsi="Arial"/>
                <w:sz w:val="18"/>
                <w:szCs w:val="18"/>
                <w:b w:val="1"/>
                <w:bCs w:val="1"/>
                <w:color w:val="auto"/>
              </w:rPr>
              <w:t>Aircraft Type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Agreement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6"/>
              </w:rPr>
              <w:t>Regional</w:t>
            </w:r>
          </w:p>
        </w:tc>
        <w:tc>
          <w:tcPr>
            <w:tcW w:w="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Seats in Standard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vMerge w:val="continue"/>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Owned</w:t>
            </w:r>
          </w:p>
        </w:tc>
        <w:tc>
          <w:tcPr>
            <w:tcW w:w="200" w:type="dxa"/>
            <w:vAlign w:val="bottom"/>
          </w:tcPr>
          <w:p>
            <w:pPr>
              <w:spacing w:after="0"/>
              <w:rPr>
                <w:sz w:val="19"/>
                <w:szCs w:val="19"/>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Leased</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8"/>
              </w:rPr>
              <w:t>Carrier</w:t>
            </w:r>
          </w:p>
        </w:tc>
        <w:tc>
          <w:tcPr>
            <w:tcW w:w="18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Aircraft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Configuration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Regional:</w:t>
            </w: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SkyWest: 40</w:t>
            </w:r>
          </w:p>
        </w:tc>
        <w:tc>
          <w:tcPr>
            <w:tcW w:w="13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Mesa: 30</w:t>
            </w:r>
          </w:p>
        </w:tc>
        <w:tc>
          <w:tcPr>
            <w:tcW w:w="13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Embraer E175</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80</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CCCC"/>
          </w:tcPr>
          <w:p>
            <w:pPr>
              <w:spacing w:after="0"/>
              <w:rPr>
                <w:sz w:val="20"/>
                <w:szCs w:val="20"/>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CCCC"/>
          </w:tcPr>
          <w:p>
            <w:pPr>
              <w:spacing w:after="0"/>
              <w:rPr>
                <w:sz w:val="20"/>
                <w:szCs w:val="20"/>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Republic:10</w:t>
            </w: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Bombardier Q400</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Republic: 13</w:t>
            </w: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94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Shuttle: 28</w:t>
            </w:r>
          </w:p>
        </w:tc>
        <w:tc>
          <w:tcPr>
            <w:tcW w:w="13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Embraer 170</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CCCC"/>
          </w:tcPr>
          <w:p>
            <w:pPr>
              <w:spacing w:after="0"/>
              <w:rPr>
                <w:sz w:val="19"/>
                <w:szCs w:val="19"/>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9"/>
                <w:szCs w:val="19"/>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CCCC"/>
          </w:tcPr>
          <w:p>
            <w:pPr>
              <w:spacing w:after="0"/>
              <w:rPr>
                <w:sz w:val="19"/>
                <w:szCs w:val="19"/>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Republic: 10</w:t>
            </w: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SkyWest: 70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GoJet: 25</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CRJ700</w:t>
            </w: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Mesa: 20</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CRJ200</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SkyWest: 50</w:t>
            </w: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ExpressJet:166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Embraer ERJ 145 (XR/LR/ER)</w:t>
            </w: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Trans States: 33</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Q300</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CommutAir: 5</w:t>
            </w: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Embraer ERJ 135</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ExpressJet: 5</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Q200</w:t>
            </w:r>
          </w:p>
        </w:tc>
        <w:tc>
          <w:tcPr>
            <w:tcW w:w="9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CCCC"/>
          </w:tcPr>
          <w:p>
            <w:pPr>
              <w:spacing w:after="0"/>
              <w:rPr>
                <w:sz w:val="18"/>
                <w:szCs w:val="18"/>
                <w:color w:val="auto"/>
              </w:rPr>
            </w:pP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8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680" w:type="dxa"/>
            <w:vAlign w:val="bottom"/>
            <w:tcBorders>
              <w:bottom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CCCC"/>
          </w:tcPr>
          <w:p>
            <w:pPr>
              <w:spacing w:after="0"/>
              <w:rPr>
                <w:sz w:val="18"/>
                <w:szCs w:val="18"/>
                <w:color w:val="auto"/>
              </w:rPr>
            </w:pPr>
          </w:p>
        </w:tc>
        <w:tc>
          <w:tcPr>
            <w:tcW w:w="1520" w:type="dxa"/>
            <w:vAlign w:val="bottom"/>
            <w:gridSpan w:val="2"/>
            <w:shd w:val="clear" w:color="auto" w:fill="CCCCCC"/>
          </w:tcPr>
          <w:p>
            <w:pPr>
              <w:ind w:left="60"/>
              <w:spacing w:after="0"/>
              <w:rPr>
                <w:sz w:val="20"/>
                <w:szCs w:val="20"/>
                <w:color w:val="auto"/>
              </w:rPr>
            </w:pPr>
            <w:r>
              <w:rPr>
                <w:rFonts w:ascii="Arial" w:cs="Arial" w:eastAsia="Arial" w:hAnsi="Arial"/>
                <w:sz w:val="18"/>
                <w:szCs w:val="18"/>
                <w:color w:val="auto"/>
              </w:rPr>
              <w:t>CommutAir: 16</w:t>
            </w:r>
          </w:p>
        </w:tc>
        <w:tc>
          <w:tcPr>
            <w:tcW w:w="1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Total regional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1,236</w:t>
            </w:r>
          </w:p>
        </w:tc>
        <w:tc>
          <w:tcPr>
            <w:tcW w:w="200" w:type="dxa"/>
            <w:vAlign w:val="bottom"/>
            <w:shd w:val="clear" w:color="auto" w:fill="CCCCCC"/>
          </w:tcPr>
          <w:p>
            <w:pPr>
              <w:spacing w:after="0"/>
              <w:rPr>
                <w:sz w:val="18"/>
                <w:szCs w:val="18"/>
                <w:color w:val="auto"/>
              </w:rPr>
            </w:pP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CCCC"/>
          </w:tcPr>
          <w:p>
            <w:pPr>
              <w:spacing w:after="0"/>
              <w:rPr>
                <w:sz w:val="18"/>
                <w:szCs w:val="18"/>
                <w:color w:val="auto"/>
              </w:rPr>
            </w:pPr>
          </w:p>
        </w:tc>
        <w:tc>
          <w:tcPr>
            <w:tcW w:w="8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CCCC"/>
          </w:tcPr>
          <w:p>
            <w:pPr>
              <w:spacing w:after="0"/>
              <w:rPr>
                <w:sz w:val="18"/>
                <w:szCs w:val="18"/>
                <w:color w:val="auto"/>
              </w:rPr>
            </w:pPr>
          </w:p>
        </w:tc>
        <w:tc>
          <w:tcPr>
            <w:tcW w:w="680" w:type="dxa"/>
            <w:vAlign w:val="bottom"/>
            <w:tcBorders>
              <w:bottom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3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the aircraft operating in scheduled service presented in the tables above, United owns or leases the following aircraft listed below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70"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owned Boeing 767-200 which is being subleased to another airline;</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Eight Boeing 757-200s, seven of which are in the process of being returned to the lessor and one of which is owned and being held for disposition;</w:t>
      </w:r>
    </w:p>
    <w:p>
      <w:pPr>
        <w:spacing w:after="0" w:line="32"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owned Airbus A330, which is subleased to another airline;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 leased Embraer ERJ 135s that are permanently grounded.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Firm Order and Option Aircraft</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January 2016, UAL entered into a purchase agreement amendment with The Boeing Company (“Boeing”) for a firm narrowbody aircraft order of 40 Boeing 737 Next Generation (“737NG”) aircraft. As of December 31, 2015 (as adjusted to include the order discussed above), United had firm commitments and options to purchase aircraft from Boeing, Embraer S.A. (“Embraer”) and Airbus S.A.S. (“Airbus”) presented in the table below:</w:t>
      </w:r>
    </w:p>
    <w:p>
      <w:pPr>
        <w:spacing w:after="0" w:line="6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jc w:val="right"/>
              <w:ind w:right="1012"/>
              <w:spacing w:after="0"/>
              <w:rPr>
                <w:sz w:val="20"/>
                <w:szCs w:val="20"/>
                <w:color w:val="auto"/>
              </w:rPr>
            </w:pPr>
            <w:r>
              <w:rPr>
                <w:rFonts w:ascii="Arial" w:cs="Arial" w:eastAsia="Arial" w:hAnsi="Arial"/>
                <w:sz w:val="18"/>
                <w:szCs w:val="18"/>
                <w:b w:val="1"/>
                <w:bCs w:val="1"/>
                <w:color w:val="auto"/>
              </w:rPr>
              <w:t>Number of Firm</w:t>
            </w:r>
          </w:p>
        </w:tc>
      </w:tr>
      <w:tr>
        <w:trPr>
          <w:trHeight w:val="237"/>
        </w:trPr>
        <w:tc>
          <w:tcPr>
            <w:tcW w:w="38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Aircraft Type</w:t>
            </w:r>
          </w:p>
        </w:tc>
        <w:tc>
          <w:tcPr>
            <w:tcW w:w="540" w:type="dxa"/>
            <w:vAlign w:val="bottom"/>
            <w:tcBorders>
              <w:bottom w:val="single" w:sz="8" w:color="CCCCCC"/>
            </w:tcBorders>
          </w:tcPr>
          <w:p>
            <w:pPr>
              <w:spacing w:after="0"/>
              <w:rPr>
                <w:sz w:val="20"/>
                <w:szCs w:val="20"/>
                <w:color w:val="auto"/>
              </w:rPr>
            </w:pPr>
          </w:p>
        </w:tc>
        <w:tc>
          <w:tcPr>
            <w:tcW w:w="340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b w:val="1"/>
                <w:bCs w:val="1"/>
                <w:color w:val="auto"/>
              </w:rPr>
              <w:t>Commitments (a)</w:t>
            </w:r>
          </w:p>
        </w:tc>
      </w:tr>
      <w:tr>
        <w:trPr>
          <w:trHeight w:val="216"/>
        </w:trPr>
        <w:tc>
          <w:tcPr>
            <w:tcW w:w="3820" w:type="dxa"/>
            <w:vAlign w:val="bottom"/>
            <w:shd w:val="clear" w:color="auto" w:fill="CCCCCC"/>
          </w:tcPr>
          <w:p>
            <w:pPr>
              <w:ind w:left="40"/>
              <w:spacing w:after="0"/>
              <w:rPr>
                <w:sz w:val="20"/>
                <w:szCs w:val="20"/>
                <w:color w:val="auto"/>
              </w:rPr>
            </w:pPr>
            <w:r>
              <w:rPr>
                <w:rFonts w:ascii="Arial" w:cs="Arial" w:eastAsia="Arial" w:hAnsi="Arial"/>
                <w:sz w:val="18"/>
                <w:szCs w:val="18"/>
                <w:color w:val="auto"/>
              </w:rPr>
              <w:t>Airbus A350-1000</w:t>
            </w:r>
          </w:p>
        </w:tc>
        <w:tc>
          <w:tcPr>
            <w:tcW w:w="540" w:type="dxa"/>
            <w:vAlign w:val="bottom"/>
            <w:shd w:val="clear" w:color="auto" w:fill="CCCCCC"/>
          </w:tcPr>
          <w:p>
            <w:pPr>
              <w:spacing w:after="0"/>
              <w:rPr>
                <w:sz w:val="18"/>
                <w:szCs w:val="18"/>
                <w:color w:val="auto"/>
              </w:rPr>
            </w:pPr>
          </w:p>
        </w:tc>
        <w:tc>
          <w:tcPr>
            <w:tcW w:w="34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Boeing 737NG/737 MAX 9</w:t>
            </w:r>
          </w:p>
        </w:tc>
        <w:tc>
          <w:tcPr>
            <w:tcW w:w="3940" w:type="dxa"/>
            <w:vAlign w:val="bottom"/>
            <w:gridSpan w:val="2"/>
          </w:tcPr>
          <w:p>
            <w:pPr>
              <w:jc w:val="right"/>
              <w:ind w:right="12"/>
              <w:spacing w:after="0"/>
              <w:rPr>
                <w:sz w:val="20"/>
                <w:szCs w:val="20"/>
                <w:color w:val="auto"/>
              </w:rPr>
            </w:pPr>
            <w:r>
              <w:rPr>
                <w:rFonts w:ascii="Arial" w:cs="Arial" w:eastAsia="Arial" w:hAnsi="Arial"/>
                <w:sz w:val="18"/>
                <w:szCs w:val="18"/>
                <w:color w:val="auto"/>
              </w:rPr>
              <w:t>155</w:t>
            </w:r>
          </w:p>
        </w:tc>
      </w:tr>
      <w:tr>
        <w:trPr>
          <w:trHeight w:val="216"/>
        </w:trPr>
        <w:tc>
          <w:tcPr>
            <w:tcW w:w="3820" w:type="dxa"/>
            <w:vAlign w:val="bottom"/>
            <w:shd w:val="clear" w:color="auto" w:fill="CCCCCC"/>
          </w:tcPr>
          <w:p>
            <w:pPr>
              <w:ind w:left="40"/>
              <w:spacing w:after="0"/>
              <w:rPr>
                <w:sz w:val="20"/>
                <w:szCs w:val="20"/>
                <w:color w:val="auto"/>
              </w:rPr>
            </w:pPr>
            <w:r>
              <w:rPr>
                <w:rFonts w:ascii="Arial" w:cs="Arial" w:eastAsia="Arial" w:hAnsi="Arial"/>
                <w:sz w:val="18"/>
                <w:szCs w:val="18"/>
                <w:color w:val="auto"/>
              </w:rPr>
              <w:t>Boeing 777-300ER</w:t>
            </w:r>
          </w:p>
        </w:tc>
        <w:tc>
          <w:tcPr>
            <w:tcW w:w="39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10</w:t>
            </w: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color w:val="auto"/>
              </w:rPr>
              <w:t>Boeing 787-8/-9/-10</w:t>
            </w:r>
          </w:p>
        </w:tc>
        <w:tc>
          <w:tcPr>
            <w:tcW w:w="3940" w:type="dxa"/>
            <w:vAlign w:val="bottom"/>
            <w:gridSpan w:val="2"/>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38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Embraer E175</w:t>
            </w:r>
          </w:p>
        </w:tc>
        <w:tc>
          <w:tcPr>
            <w:tcW w:w="39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10</w:t>
            </w:r>
          </w:p>
        </w:tc>
      </w:tr>
    </w:tbl>
    <w:p>
      <w:pPr>
        <w:spacing w:after="0" w:line="3"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aircraft listed in the table above are scheduled for delivery from 2016 through 2024. In 2016, United expects to take delivery of 15 Boeing 737NG aircraft, five Boeing 787-9 aircraft, one Boeing 777-300ER aircraft and 10 Embraer E175 aircraft. See Notes 11 and 15 to the financial statements included in Part II, Item 8 of this report for additional information.</w:t>
      </w:r>
    </w:p>
    <w:p>
      <w:pPr>
        <w:spacing w:after="0" w:line="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United expects to take delivery of nine and five used Airbus A319s in 2016 and 2017, respectively. In addition, up to 14 additional used Airbus A319s may be delivered between 2018 and 2021, subject to certain conditions.</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2015, the Company continued its multi-year initiative to reduce its reliance on 50-seat regional aircraft operated by regional carriers doing business as United Express. The Company expects to reduce its remaining 50-seat regional fleet by approximately half by the end of 2019. Republic is scheduled to complete removal of the Bombardier Q400 aircraft from United Express service by the second quarter of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United’s principal facilities relate to leases of airport facilities, gates, hangar sites, terminal buildings and other facilities in most of the municipalities it serves with its most significant leases at airport hub locations. United has major terminal facility leases at SFO, Washington Dulles, Chicago O’Hare, LAX, Denver, Newark Liberty, Houston Bush, Hopkins International Airport and Guam with expiration dates ranging from 2016 to 2041. Substantially all of these facilities are leased on a net-rental basis, resulting in the Company’s responsibility for maintenance, insurance and other facility-related expenses and services.</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United also maintains administrative offices, terminal, catering, cargo and other airport facilities, training facilities, maintenance facilities and other facilities to support operations in the cities served. United also has multiple leases, which expire from 2022 through 2028 and include approximately 1,100,000 square feet of office space for its corporate headquarters and operations center in downtown Chicago, and certain administrative offices in downtown Houston.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3" w:name="page24"/>
    <w:bookmarkEnd w:id="23"/>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LEGAL PROCEEDINGS.</w:t>
      </w:r>
    </w:p>
    <w:p>
      <w:pPr>
        <w:spacing w:after="0" w:line="12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2001, the California Regional Water Quality Control Board (“CRWQCB”) mandated a field study of the area surrounding Continental’s aircraft maintenance hangar in Los Angeles. The study was completed in September 2001 and identified aircraft fuel and solvent contamination on and adjacent to this site. In April 2005, Continental began environmental remediation of aircraft fuel contamination surrounding its aircraft maintenance hangar pursuant to a workplan submitted to and approved by the CRWQCB and its landlord, the Los Angeles World Airports. The Company accrued a reserve in an amount expected by the Company to cover environmental remediation costs for this site.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13, 2015, United received a Civil Investigative Demand (“CID”) from the Civil Division of the United States Department of Justice (“DOJ”). The CID requested documents and oral testimony from United in connection with a DOJ investigation related to delivery scan and other data purportedly required for payment for the carriage of mail under United’s International Commercial Air Contracts with the United States Postal Service. The Company is responding to the DOJ’s request. The Company cannot predict what action, if any, might be taken in the future by the DOJ or other governmental authorities as a result of the investigation.</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30, 2015, UAL received a CID from the Antitrust Division of the DOJ seeking documents and information from the Company in connection with a DOJ investigation related to statements and decisions about airline capacity. The Company is working with the DOJ and has completed its response to the CID. The Company is not able to predict what action, if any, might be taken in the future by the DOJ or other governmental authorities as a result of the investigation.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intends to vigorously defend against the class action lawsuits.</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disclosed in the Company’s annual report on Form 10-K for the year ended December 31, 2014, the Company and certain of its current and former executive officers and employees have received federal grand jury subpoenas requesting records and testimony related to certain individuals formerly associated with the Port Authority of New York and New Jersey and related operations of the Company and the Company continues to conduct an internal investigation in response. As announced in September 2015, certain of the Company’s executives stepped down in connection with this internal investigation. The Company is cooperating with the ongoing investigation by the U.S. Attorney’s Office for the District of New Jersey and a related investigation by the SEC, and has participated in discussions with representatives of governmental authorities. The Company cannot predict what action, if any, might be taken in the future by government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is involved in various other claims and legal actions involving passengers, customers, suppliers, employees and government agencies arising in the ordinary course of business.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 After considering a number of factors, including (but not limited to) the views of legal counsel, the nature of contingencies to which the Company is subject and prior experience, management believes that the ultimate disposition of these other claims and legal actions will not materially affect its consolidated financial position or results of operations. However, the ultimate resolutions of these matters are inherently unpredictable. As such, the Company’s financial condition and results of operations could be adversely affected in any particular period by the unfavorable resolution of one or more of these matters.</w:t>
      </w:r>
    </w:p>
    <w:p>
      <w:pPr>
        <w:spacing w:after="0" w:line="23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93" w:lineRule="exact"/>
        <w:rPr>
          <w:sz w:val="20"/>
          <w:szCs w:val="20"/>
          <w:color w:val="auto"/>
        </w:rPr>
      </w:pPr>
    </w:p>
    <w:p>
      <w:pPr>
        <w:ind w:left="1700" w:right="80" w:hanging="1701"/>
        <w:spacing w:after="0" w:line="275" w:lineRule="auto"/>
        <w:tabs>
          <w:tab w:leader="none" w:pos="1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UAL’s common stock is listed on the New York Stock Exchange (“NYSE”) under the symbol “UAL.” The following table sets forth the ranges of high and low sales prices per share of UAL common stock during the last two fiscal years, as reported by the NYSE: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b w:val="1"/>
                <w:bCs w:val="1"/>
                <w:color w:val="auto"/>
              </w:rPr>
              <w:t>UAL</w:t>
            </w: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3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200" w:type="dxa"/>
            <w:vAlign w:val="bottom"/>
            <w:tcBorders>
              <w:bottom w:val="single" w:sz="8" w:color="CCCC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High</w:t>
            </w:r>
          </w:p>
        </w:tc>
        <w:tc>
          <w:tcPr>
            <w:tcW w:w="1020" w:type="dxa"/>
            <w:vAlign w:val="bottom"/>
            <w:tcBorders>
              <w:bottom w:val="single" w:sz="8" w:color="CCCC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Low</w:t>
            </w:r>
          </w:p>
        </w:tc>
        <w:tc>
          <w:tcPr>
            <w:tcW w:w="1040" w:type="dxa"/>
            <w:vAlign w:val="bottom"/>
            <w:tcBorders>
              <w:bottom w:val="single" w:sz="8" w:color="CCCC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High</w:t>
            </w:r>
          </w:p>
        </w:tc>
        <w:tc>
          <w:tcPr>
            <w:tcW w:w="1040" w:type="dxa"/>
            <w:vAlign w:val="bottom"/>
            <w:tcBorders>
              <w:bottom w:val="single" w:sz="8" w:color="CCCC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Low</w:t>
            </w:r>
          </w:p>
        </w:tc>
        <w:tc>
          <w:tcPr>
            <w:tcW w:w="140" w:type="dxa"/>
            <w:vAlign w:val="bottom"/>
            <w:tcBorders>
              <w:bottom w:val="single" w:sz="8" w:color="CCCCCC"/>
            </w:tcBorders>
          </w:tcPr>
          <w:p>
            <w:pPr>
              <w:spacing w:after="0"/>
              <w:rPr>
                <w:sz w:val="18"/>
                <w:szCs w:val="18"/>
                <w:color w:val="auto"/>
              </w:rPr>
            </w:pPr>
          </w:p>
        </w:tc>
      </w:tr>
      <w:tr>
        <w:trPr>
          <w:trHeight w:val="210"/>
        </w:trPr>
        <w:tc>
          <w:tcPr>
            <w:tcW w:w="320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rPr>
              <w:t>1st quarter</w:t>
            </w:r>
          </w:p>
        </w:tc>
        <w:tc>
          <w:tcPr>
            <w:tcW w:w="30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ind w:right="92"/>
              <w:spacing w:after="0"/>
              <w:rPr>
                <w:sz w:val="20"/>
                <w:szCs w:val="20"/>
                <w:color w:val="auto"/>
              </w:rPr>
            </w:pPr>
            <w:r>
              <w:rPr>
                <w:rFonts w:ascii="Arial" w:cs="Arial" w:eastAsia="Arial" w:hAnsi="Arial"/>
                <w:sz w:val="18"/>
                <w:szCs w:val="18"/>
                <w:color w:val="auto"/>
              </w:rPr>
              <w:t>74.52</w:t>
            </w:r>
          </w:p>
        </w:tc>
        <w:tc>
          <w:tcPr>
            <w:tcW w:w="1020" w:type="dxa"/>
            <w:vAlign w:val="bottom"/>
            <w:shd w:val="clear" w:color="auto" w:fill="CCCCCC"/>
          </w:tcPr>
          <w:p>
            <w:pPr>
              <w:spacing w:after="0"/>
              <w:rPr>
                <w:sz w:val="18"/>
                <w:szCs w:val="18"/>
                <w:color w:val="auto"/>
              </w:rPr>
            </w:pPr>
          </w:p>
        </w:tc>
        <w:tc>
          <w:tcPr>
            <w:tcW w:w="32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CCCC"/>
          </w:tcPr>
          <w:p>
            <w:pPr>
              <w:jc w:val="right"/>
              <w:ind w:right="72"/>
              <w:spacing w:after="0"/>
              <w:rPr>
                <w:sz w:val="20"/>
                <w:szCs w:val="20"/>
                <w:color w:val="auto"/>
              </w:rPr>
            </w:pPr>
            <w:r>
              <w:rPr>
                <w:rFonts w:ascii="Arial" w:cs="Arial" w:eastAsia="Arial" w:hAnsi="Arial"/>
                <w:sz w:val="18"/>
                <w:szCs w:val="18"/>
                <w:color w:val="auto"/>
              </w:rPr>
              <w:t>62.37</w:t>
            </w:r>
          </w:p>
        </w:tc>
        <w:tc>
          <w:tcPr>
            <w:tcW w:w="1040" w:type="dxa"/>
            <w:vAlign w:val="bottom"/>
            <w:shd w:val="clear" w:color="auto" w:fill="CCCCCC"/>
          </w:tcPr>
          <w:p>
            <w:pPr>
              <w:spacing w:after="0"/>
              <w:rPr>
                <w:sz w:val="18"/>
                <w:szCs w:val="18"/>
                <w:color w:val="auto"/>
              </w:rPr>
            </w:pPr>
          </w:p>
        </w:tc>
        <w:tc>
          <w:tcPr>
            <w:tcW w:w="30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ind w:right="72"/>
              <w:spacing w:after="0"/>
              <w:rPr>
                <w:sz w:val="20"/>
                <w:szCs w:val="20"/>
                <w:color w:val="auto"/>
              </w:rPr>
            </w:pPr>
            <w:r>
              <w:rPr>
                <w:rFonts w:ascii="Arial" w:cs="Arial" w:eastAsia="Arial" w:hAnsi="Arial"/>
                <w:sz w:val="18"/>
                <w:szCs w:val="18"/>
                <w:color w:val="auto"/>
              </w:rPr>
              <w:t>49.20</w:t>
            </w:r>
          </w:p>
        </w:tc>
        <w:tc>
          <w:tcPr>
            <w:tcW w:w="1040" w:type="dxa"/>
            <w:vAlign w:val="bottom"/>
            <w:shd w:val="clear" w:color="auto" w:fill="CCCCCC"/>
          </w:tcPr>
          <w:p>
            <w:pPr>
              <w:spacing w:after="0"/>
              <w:rPr>
                <w:sz w:val="18"/>
                <w:szCs w:val="18"/>
                <w:color w:val="auto"/>
              </w:rPr>
            </w:pPr>
          </w:p>
        </w:tc>
        <w:tc>
          <w:tcPr>
            <w:tcW w:w="32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ind w:right="92"/>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CC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2nd quarter</w:t>
            </w:r>
          </w:p>
        </w:tc>
        <w:tc>
          <w:tcPr>
            <w:tcW w:w="30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65.85</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49.85</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48.20</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38.06</w:t>
            </w:r>
          </w:p>
        </w:tc>
        <w:tc>
          <w:tcPr>
            <w:tcW w:w="140" w:type="dxa"/>
            <w:vAlign w:val="bottom"/>
          </w:tcPr>
          <w:p>
            <w:pPr>
              <w:spacing w:after="0"/>
              <w:rPr>
                <w:sz w:val="18"/>
                <w:szCs w:val="18"/>
                <w:color w:val="auto"/>
              </w:rPr>
            </w:pPr>
          </w:p>
        </w:tc>
      </w:tr>
      <w:tr>
        <w:trPr>
          <w:trHeight w:val="216"/>
        </w:trPr>
        <w:tc>
          <w:tcPr>
            <w:tcW w:w="3200" w:type="dxa"/>
            <w:vAlign w:val="bottom"/>
            <w:shd w:val="clear" w:color="auto" w:fill="CCCCCC"/>
          </w:tcPr>
          <w:p>
            <w:pPr>
              <w:spacing w:after="0"/>
              <w:rPr>
                <w:sz w:val="20"/>
                <w:szCs w:val="20"/>
                <w:color w:val="auto"/>
              </w:rPr>
            </w:pPr>
            <w:r>
              <w:rPr>
                <w:rFonts w:ascii="Arial" w:cs="Arial" w:eastAsia="Arial" w:hAnsi="Arial"/>
                <w:sz w:val="18"/>
                <w:szCs w:val="18"/>
                <w:color w:val="auto"/>
              </w:rPr>
              <w:t>3rd quarter</w:t>
            </w:r>
          </w:p>
        </w:tc>
        <w:tc>
          <w:tcPr>
            <w:tcW w:w="300" w:type="dxa"/>
            <w:vAlign w:val="bottom"/>
            <w:shd w:val="clear" w:color="auto" w:fill="CCCCCC"/>
          </w:tcPr>
          <w:p>
            <w:pPr>
              <w:spacing w:after="0"/>
              <w:rPr>
                <w:sz w:val="18"/>
                <w:szCs w:val="18"/>
                <w:color w:val="auto"/>
              </w:rPr>
            </w:pPr>
          </w:p>
        </w:tc>
        <w:tc>
          <w:tcPr>
            <w:tcW w:w="940" w:type="dxa"/>
            <w:vAlign w:val="bottom"/>
            <w:shd w:val="clear" w:color="auto" w:fill="CCCCCC"/>
          </w:tcPr>
          <w:p>
            <w:pPr>
              <w:jc w:val="right"/>
              <w:ind w:right="92"/>
              <w:spacing w:after="0"/>
              <w:rPr>
                <w:sz w:val="20"/>
                <w:szCs w:val="20"/>
                <w:color w:val="auto"/>
              </w:rPr>
            </w:pPr>
            <w:r>
              <w:rPr>
                <w:rFonts w:ascii="Arial" w:cs="Arial" w:eastAsia="Arial" w:hAnsi="Arial"/>
                <w:sz w:val="18"/>
                <w:szCs w:val="18"/>
                <w:color w:val="auto"/>
              </w:rPr>
              <w:t>62.21</w:t>
            </w:r>
          </w:p>
        </w:tc>
        <w:tc>
          <w:tcPr>
            <w:tcW w:w="102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920" w:type="dxa"/>
            <w:vAlign w:val="bottom"/>
            <w:shd w:val="clear" w:color="auto" w:fill="CCCCCC"/>
          </w:tcPr>
          <w:p>
            <w:pPr>
              <w:jc w:val="right"/>
              <w:ind w:right="72"/>
              <w:spacing w:after="0"/>
              <w:rPr>
                <w:sz w:val="20"/>
                <w:szCs w:val="20"/>
                <w:color w:val="auto"/>
              </w:rPr>
            </w:pPr>
            <w:r>
              <w:rPr>
                <w:rFonts w:ascii="Arial" w:cs="Arial" w:eastAsia="Arial" w:hAnsi="Arial"/>
                <w:sz w:val="18"/>
                <w:szCs w:val="18"/>
                <w:color w:val="auto"/>
              </w:rPr>
              <w:t>49.20</w:t>
            </w:r>
          </w:p>
        </w:tc>
        <w:tc>
          <w:tcPr>
            <w:tcW w:w="104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940" w:type="dxa"/>
            <w:vAlign w:val="bottom"/>
            <w:shd w:val="clear" w:color="auto" w:fill="CCCCCC"/>
          </w:tcPr>
          <w:p>
            <w:pPr>
              <w:jc w:val="right"/>
              <w:ind w:right="72"/>
              <w:spacing w:after="0"/>
              <w:rPr>
                <w:sz w:val="20"/>
                <w:szCs w:val="20"/>
                <w:color w:val="auto"/>
              </w:rPr>
            </w:pPr>
            <w:r>
              <w:rPr>
                <w:rFonts w:ascii="Arial" w:cs="Arial" w:eastAsia="Arial" w:hAnsi="Arial"/>
                <w:sz w:val="18"/>
                <w:szCs w:val="18"/>
                <w:color w:val="auto"/>
              </w:rPr>
              <w:t>52.45</w:t>
            </w:r>
          </w:p>
        </w:tc>
        <w:tc>
          <w:tcPr>
            <w:tcW w:w="104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940" w:type="dxa"/>
            <w:vAlign w:val="bottom"/>
            <w:shd w:val="clear" w:color="auto" w:fill="CCCCCC"/>
          </w:tcPr>
          <w:p>
            <w:pPr>
              <w:jc w:val="right"/>
              <w:ind w:right="92"/>
              <w:spacing w:after="0"/>
              <w:rPr>
                <w:sz w:val="20"/>
                <w:szCs w:val="20"/>
                <w:color w:val="auto"/>
              </w:rPr>
            </w:pPr>
            <w:r>
              <w:rPr>
                <w:rFonts w:ascii="Arial" w:cs="Arial" w:eastAsia="Arial" w:hAnsi="Arial"/>
                <w:sz w:val="18"/>
                <w:szCs w:val="18"/>
                <w:color w:val="auto"/>
              </w:rPr>
              <w:t>36.65</w:t>
            </w:r>
          </w:p>
        </w:tc>
        <w:tc>
          <w:tcPr>
            <w:tcW w:w="140" w:type="dxa"/>
            <w:vAlign w:val="bottom"/>
            <w:shd w:val="clear" w:color="auto" w:fill="CCCCCC"/>
          </w:tcPr>
          <w:p>
            <w:pPr>
              <w:spacing w:after="0"/>
              <w:rPr>
                <w:sz w:val="18"/>
                <w:szCs w:val="18"/>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4th quarter</w:t>
            </w:r>
          </w:p>
        </w:tc>
        <w:tc>
          <w:tcPr>
            <w:tcW w:w="3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61.87</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49.76</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67.77</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39.46</w:t>
            </w:r>
          </w:p>
        </w:tc>
        <w:tc>
          <w:tcPr>
            <w:tcW w:w="140" w:type="dxa"/>
            <w:vAlign w:val="bottom"/>
          </w:tcPr>
          <w:p>
            <w:pPr>
              <w:spacing w:after="0"/>
              <w:rPr>
                <w:sz w:val="19"/>
                <w:szCs w:val="19"/>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Based on reports by the Company’s transfer agent for UAL common stock, as of February 9, 2016, there were 8,994 holders of record of UAL common stock.</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UAL did not pay any dividends in 2015 or 2014. Under the restricted payment provisions of the Company’s Credit and Guaranty Agreement, dated as of March 27, 2013 (the “Credit Agreement”), and certain indentures, UAL’s ability to pay dividends on or repurchase UAL’s common stock is subject to limits on the amount of such payments and to certain conditions, including that no default or event of default exists under those instruments and that after giving effect to the making of any such payments, UAL would be in compliance with a minimum fixed charge coverage ratio. Any future determination regarding dividend or distribution payments will be at the discretion of the UAL Board of Directors, subject to the foregoing limits and applicable limitations under Delaware law.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United paid dividends of $1.2 billion and $212 million to UAL in 2015 and 2014, respectively.</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graph shows the cumulative total stockholder return for UAL’s common stock during the period from December 31, 2010 to December 31, 2015. The graph also shows the cumulative returns of the Standard and Poor’s (“S&amp;P”) 500 Index and the NYSE Arca Airline Index (“AAI”) of 18 investor-owned airlines. The comparison assumes $100 was invested on December 31, 2010 in UAL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77470</wp:posOffset>
            </wp:positionV>
            <wp:extent cx="5196840" cy="2392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9684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 </w:t>
      </w:r>
      <w:r>
        <w:rPr>
          <w:rFonts w:ascii="Arial" w:cs="Arial" w:eastAsia="Arial" w:hAnsi="Arial"/>
          <w:sz w:val="18"/>
          <w:szCs w:val="18"/>
          <w:color w:val="auto"/>
        </w:rPr>
        <w:t>The stock price performance shown in the graph above should not be considered indicative of potential future stock price performance.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UAL common stock made in the fourth quarter of 2015: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 of</w:t>
            </w:r>
          </w:p>
        </w:tc>
        <w:tc>
          <w:tcPr>
            <w:tcW w:w="2180" w:type="dxa"/>
            <w:vAlign w:val="bottom"/>
            <w:gridSpan w:val="2"/>
          </w:tcPr>
          <w:p>
            <w:pPr>
              <w:jc w:val="center"/>
              <w:ind w:left="426"/>
              <w:spacing w:after="0"/>
              <w:rPr>
                <w:sz w:val="20"/>
                <w:szCs w:val="20"/>
                <w:color w:val="auto"/>
              </w:rPr>
            </w:pPr>
            <w:r>
              <w:rPr>
                <w:rFonts w:ascii="Arial" w:cs="Arial" w:eastAsia="Arial" w:hAnsi="Arial"/>
                <w:sz w:val="14"/>
                <w:szCs w:val="14"/>
                <w:b w:val="1"/>
                <w:bCs w:val="1"/>
                <w:color w:val="auto"/>
                <w:w w:val="88"/>
              </w:rPr>
              <w:t>Approximate dollar value</w:t>
            </w:r>
          </w:p>
        </w:tc>
      </w:tr>
      <w:tr>
        <w:trPr>
          <w:trHeight w:val="149"/>
        </w:trPr>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Total number of</w:t>
            </w:r>
          </w:p>
        </w:tc>
        <w:tc>
          <w:tcPr>
            <w:tcW w:w="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2180" w:type="dxa"/>
            <w:vAlign w:val="bottom"/>
            <w:gridSpan w:val="2"/>
          </w:tcPr>
          <w:p>
            <w:pPr>
              <w:jc w:val="center"/>
              <w:ind w:left="426"/>
              <w:spacing w:after="0" w:line="149" w:lineRule="exact"/>
              <w:rPr>
                <w:sz w:val="20"/>
                <w:szCs w:val="20"/>
                <w:color w:val="auto"/>
              </w:rPr>
            </w:pPr>
            <w:r>
              <w:rPr>
                <w:rFonts w:ascii="Arial" w:cs="Arial" w:eastAsia="Arial" w:hAnsi="Arial"/>
                <w:sz w:val="14"/>
                <w:szCs w:val="14"/>
                <w:b w:val="1"/>
                <w:bCs w:val="1"/>
                <w:color w:val="auto"/>
                <w:w w:val="85"/>
              </w:rPr>
              <w:t>of shares that may yet be</w:t>
            </w:r>
          </w:p>
        </w:tc>
      </w:tr>
      <w:tr>
        <w:trPr>
          <w:trHeight w:val="149"/>
        </w:trPr>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720" w:type="dxa"/>
            <w:vAlign w:val="bottom"/>
          </w:tcPr>
          <w:p>
            <w:pPr>
              <w:spacing w:after="0"/>
              <w:rPr>
                <w:sz w:val="12"/>
                <w:szCs w:val="12"/>
                <w:color w:val="auto"/>
              </w:rPr>
            </w:pPr>
          </w:p>
        </w:tc>
        <w:tc>
          <w:tcPr>
            <w:tcW w:w="14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purchased under the</w:t>
            </w:r>
          </w:p>
        </w:tc>
      </w:tr>
      <w:tr>
        <w:trPr>
          <w:trHeight w:val="149"/>
        </w:trPr>
        <w:tc>
          <w:tcPr>
            <w:tcW w:w="3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w:t>
            </w:r>
          </w:p>
        </w:tc>
        <w:tc>
          <w:tcPr>
            <w:tcW w:w="700" w:type="dxa"/>
            <w:vAlign w:val="bottom"/>
          </w:tcPr>
          <w:p>
            <w:pPr>
              <w:spacing w:after="0"/>
              <w:rPr>
                <w:sz w:val="12"/>
                <w:szCs w:val="12"/>
                <w:color w:val="auto"/>
              </w:rPr>
            </w:pPr>
          </w:p>
        </w:tc>
        <w:tc>
          <w:tcPr>
            <w:tcW w:w="1520" w:type="dxa"/>
            <w:vAlign w:val="bottom"/>
          </w:tcPr>
          <w:p>
            <w:pPr>
              <w:jc w:val="right"/>
              <w:ind w:right="637"/>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720" w:type="dxa"/>
            <w:vAlign w:val="bottom"/>
          </w:tcPr>
          <w:p>
            <w:pPr>
              <w:spacing w:after="0"/>
              <w:rPr>
                <w:sz w:val="12"/>
                <w:szCs w:val="12"/>
                <w:color w:val="auto"/>
              </w:rPr>
            </w:pPr>
          </w:p>
        </w:tc>
        <w:tc>
          <w:tcPr>
            <w:tcW w:w="14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6"/>
              </w:rPr>
              <w:t>plans or programs</w:t>
            </w:r>
          </w:p>
        </w:tc>
      </w:tr>
      <w:tr>
        <w:trPr>
          <w:trHeight w:val="175"/>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220" w:type="dxa"/>
            <w:vAlign w:val="bottom"/>
            <w:gridSpan w:val="2"/>
          </w:tcPr>
          <w:p>
            <w:pPr>
              <w:ind w:left="600"/>
              <w:spacing w:after="0"/>
              <w:rPr>
                <w:sz w:val="20"/>
                <w:szCs w:val="20"/>
                <w:color w:val="auto"/>
              </w:rPr>
            </w:pPr>
            <w:r>
              <w:rPr>
                <w:rFonts w:ascii="Arial" w:cs="Arial" w:eastAsia="Arial" w:hAnsi="Arial"/>
                <w:sz w:val="14"/>
                <w:szCs w:val="14"/>
                <w:b w:val="1"/>
                <w:bCs w:val="1"/>
                <w:color w:val="auto"/>
              </w:rPr>
              <w:t>paid per share (c)</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 (a)(b)</w:t>
            </w:r>
          </w:p>
        </w:tc>
        <w:tc>
          <w:tcPr>
            <w:tcW w:w="720" w:type="dxa"/>
            <w:vAlign w:val="bottom"/>
          </w:tcPr>
          <w:p>
            <w:pPr>
              <w:spacing w:after="0"/>
              <w:rPr>
                <w:sz w:val="15"/>
                <w:szCs w:val="15"/>
                <w:color w:val="auto"/>
              </w:rPr>
            </w:pPr>
          </w:p>
        </w:tc>
        <w:tc>
          <w:tcPr>
            <w:tcW w:w="1460" w:type="dxa"/>
            <w:vAlign w:val="bottom"/>
          </w:tcPr>
          <w:p>
            <w:pPr>
              <w:jc w:val="center"/>
              <w:ind w:right="142"/>
              <w:spacing w:after="0"/>
              <w:rPr>
                <w:sz w:val="20"/>
                <w:szCs w:val="20"/>
                <w:color w:val="auto"/>
              </w:rPr>
            </w:pPr>
            <w:r>
              <w:rPr>
                <w:rFonts w:ascii="Arial" w:cs="Arial" w:eastAsia="Arial" w:hAnsi="Arial"/>
                <w:sz w:val="14"/>
                <w:szCs w:val="14"/>
                <w:b w:val="1"/>
                <w:bCs w:val="1"/>
                <w:color w:val="auto"/>
                <w:w w:val="88"/>
              </w:rPr>
              <w:t>(in millions) (a)(b)</w:t>
            </w:r>
          </w:p>
        </w:tc>
      </w:tr>
      <w:tr>
        <w:trPr>
          <w:trHeight w:val="216"/>
        </w:trPr>
        <w:tc>
          <w:tcPr>
            <w:tcW w:w="496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October 1, 2015 through October 31, 2015</w:t>
            </w:r>
          </w:p>
        </w:tc>
        <w:tc>
          <w:tcPr>
            <w:tcW w:w="920" w:type="dxa"/>
            <w:vAlign w:val="bottom"/>
            <w:shd w:val="clear" w:color="auto" w:fill="CCCCCC"/>
          </w:tcPr>
          <w:p>
            <w:pPr>
              <w:jc w:val="right"/>
              <w:ind w:right="2"/>
              <w:spacing w:after="0"/>
              <w:rPr>
                <w:sz w:val="20"/>
                <w:szCs w:val="20"/>
                <w:color w:val="auto"/>
              </w:rPr>
            </w:pPr>
            <w:r>
              <w:rPr>
                <w:rFonts w:ascii="Arial" w:cs="Arial" w:eastAsia="Arial" w:hAnsi="Arial"/>
                <w:sz w:val="18"/>
                <w:szCs w:val="18"/>
                <w:color w:val="auto"/>
              </w:rPr>
              <w:t>6,212,103</w:t>
            </w:r>
          </w:p>
        </w:tc>
        <w:tc>
          <w:tcPr>
            <w:tcW w:w="700" w:type="dxa"/>
            <w:vAlign w:val="bottom"/>
            <w:shd w:val="clear" w:color="auto" w:fill="CCCCCC"/>
          </w:tcPr>
          <w:p>
            <w:pPr>
              <w:ind w:left="60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CCCC"/>
          </w:tcPr>
          <w:p>
            <w:pPr>
              <w:jc w:val="right"/>
              <w:ind w:right="617"/>
              <w:spacing w:after="0"/>
              <w:rPr>
                <w:sz w:val="20"/>
                <w:szCs w:val="20"/>
                <w:color w:val="auto"/>
              </w:rPr>
            </w:pPr>
            <w:r>
              <w:rPr>
                <w:rFonts w:ascii="Arial" w:cs="Arial" w:eastAsia="Arial" w:hAnsi="Arial"/>
                <w:sz w:val="18"/>
                <w:szCs w:val="18"/>
                <w:color w:val="auto"/>
              </w:rPr>
              <w:t>57.09</w:t>
            </w:r>
          </w:p>
        </w:tc>
        <w:tc>
          <w:tcPr>
            <w:tcW w:w="1140" w:type="dxa"/>
            <w:vAlign w:val="bottom"/>
            <w:shd w:val="clear" w:color="auto" w:fill="CCCCCC"/>
          </w:tcPr>
          <w:p>
            <w:pPr>
              <w:jc w:val="right"/>
              <w:ind w:right="23"/>
              <w:spacing w:after="0"/>
              <w:rPr>
                <w:sz w:val="20"/>
                <w:szCs w:val="20"/>
                <w:color w:val="auto"/>
              </w:rPr>
            </w:pPr>
            <w:r>
              <w:rPr>
                <w:rFonts w:ascii="Arial" w:cs="Arial" w:eastAsia="Arial" w:hAnsi="Arial"/>
                <w:sz w:val="18"/>
                <w:szCs w:val="18"/>
                <w:color w:val="auto"/>
              </w:rPr>
              <w:t>6,212,103</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CCCC"/>
          </w:tcPr>
          <w:p>
            <w:pPr>
              <w:jc w:val="right"/>
              <w:ind w:right="102"/>
              <w:spacing w:after="0"/>
              <w:rPr>
                <w:sz w:val="20"/>
                <w:szCs w:val="20"/>
                <w:color w:val="auto"/>
              </w:rPr>
            </w:pPr>
            <w:r>
              <w:rPr>
                <w:rFonts w:ascii="Arial" w:cs="Arial" w:eastAsia="Arial" w:hAnsi="Arial"/>
                <w:sz w:val="18"/>
                <w:szCs w:val="18"/>
                <w:color w:val="auto"/>
              </w:rPr>
              <w:t>2,552</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November 1, 2015 through November 30, 2015</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1,905,963</w:t>
            </w:r>
          </w:p>
        </w:tc>
        <w:tc>
          <w:tcPr>
            <w:tcW w:w="700" w:type="dxa"/>
            <w:vAlign w:val="bottom"/>
          </w:tcPr>
          <w:p>
            <w:pPr>
              <w:spacing w:after="0"/>
              <w:rPr>
                <w:sz w:val="18"/>
                <w:szCs w:val="18"/>
                <w:color w:val="auto"/>
              </w:rPr>
            </w:pPr>
          </w:p>
        </w:tc>
        <w:tc>
          <w:tcPr>
            <w:tcW w:w="1520" w:type="dxa"/>
            <w:vAlign w:val="bottom"/>
          </w:tcPr>
          <w:p>
            <w:pPr>
              <w:jc w:val="right"/>
              <w:ind w:right="617"/>
              <w:spacing w:after="0"/>
              <w:rPr>
                <w:sz w:val="20"/>
                <w:szCs w:val="20"/>
                <w:color w:val="auto"/>
              </w:rPr>
            </w:pPr>
            <w:r>
              <w:rPr>
                <w:rFonts w:ascii="Arial" w:cs="Arial" w:eastAsia="Arial" w:hAnsi="Arial"/>
                <w:sz w:val="18"/>
                <w:szCs w:val="18"/>
                <w:color w:val="auto"/>
              </w:rPr>
              <w:t>58.49</w:t>
            </w:r>
          </w:p>
        </w:tc>
        <w:tc>
          <w:tcPr>
            <w:tcW w:w="1140" w:type="dxa"/>
            <w:vAlign w:val="bottom"/>
          </w:tcPr>
          <w:p>
            <w:pPr>
              <w:jc w:val="right"/>
              <w:ind w:right="23"/>
              <w:spacing w:after="0"/>
              <w:rPr>
                <w:sz w:val="20"/>
                <w:szCs w:val="20"/>
                <w:color w:val="auto"/>
              </w:rPr>
            </w:pPr>
            <w:r>
              <w:rPr>
                <w:rFonts w:ascii="Arial" w:cs="Arial" w:eastAsia="Arial" w:hAnsi="Arial"/>
                <w:sz w:val="18"/>
                <w:szCs w:val="18"/>
                <w:color w:val="auto"/>
              </w:rPr>
              <w:t>1,905,963</w:t>
            </w:r>
          </w:p>
        </w:tc>
        <w:tc>
          <w:tcPr>
            <w:tcW w:w="720" w:type="dxa"/>
            <w:vAlign w:val="bottom"/>
          </w:tcPr>
          <w:p>
            <w:pPr>
              <w:spacing w:after="0"/>
              <w:rPr>
                <w:sz w:val="18"/>
                <w:szCs w:val="18"/>
                <w:color w:val="auto"/>
              </w:rPr>
            </w:pPr>
          </w:p>
        </w:tc>
        <w:tc>
          <w:tcPr>
            <w:tcW w:w="1460" w:type="dxa"/>
            <w:vAlign w:val="bottom"/>
          </w:tcPr>
          <w:p>
            <w:pPr>
              <w:jc w:val="right"/>
              <w:ind w:right="102"/>
              <w:spacing w:after="0"/>
              <w:rPr>
                <w:sz w:val="20"/>
                <w:szCs w:val="20"/>
                <w:color w:val="auto"/>
              </w:rPr>
            </w:pPr>
            <w:r>
              <w:rPr>
                <w:rFonts w:ascii="Arial" w:cs="Arial" w:eastAsia="Arial" w:hAnsi="Arial"/>
                <w:sz w:val="18"/>
                <w:szCs w:val="18"/>
                <w:color w:val="auto"/>
              </w:rPr>
              <w:t>2,502</w:t>
            </w:r>
          </w:p>
        </w:tc>
      </w:tr>
      <w:tr>
        <w:trPr>
          <w:trHeight w:val="216"/>
        </w:trPr>
        <w:tc>
          <w:tcPr>
            <w:tcW w:w="496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December 1, 2015 through December 31, 2015</w:t>
            </w:r>
          </w:p>
        </w:tc>
        <w:tc>
          <w:tcPr>
            <w:tcW w:w="920" w:type="dxa"/>
            <w:vAlign w:val="bottom"/>
            <w:tcBorders>
              <w:bottom w:val="single" w:sz="8" w:color="auto"/>
            </w:tcBorders>
            <w:shd w:val="clear" w:color="auto" w:fill="CCCCCC"/>
          </w:tcPr>
          <w:p>
            <w:pPr>
              <w:jc w:val="right"/>
              <w:ind w:right="2"/>
              <w:spacing w:after="0"/>
              <w:rPr>
                <w:sz w:val="20"/>
                <w:szCs w:val="20"/>
                <w:color w:val="auto"/>
              </w:rPr>
            </w:pPr>
            <w:r>
              <w:rPr>
                <w:rFonts w:ascii="Arial" w:cs="Arial" w:eastAsia="Arial" w:hAnsi="Arial"/>
                <w:sz w:val="18"/>
                <w:szCs w:val="18"/>
                <w:color w:val="auto"/>
              </w:rPr>
              <w:t>925,099</w:t>
            </w:r>
          </w:p>
        </w:tc>
        <w:tc>
          <w:tcPr>
            <w:tcW w:w="700" w:type="dxa"/>
            <w:vAlign w:val="bottom"/>
            <w:shd w:val="clear" w:color="auto" w:fill="CCCCCC"/>
          </w:tcPr>
          <w:p>
            <w:pPr>
              <w:spacing w:after="0"/>
              <w:rPr>
                <w:sz w:val="18"/>
                <w:szCs w:val="18"/>
                <w:color w:val="auto"/>
              </w:rPr>
            </w:pPr>
          </w:p>
        </w:tc>
        <w:tc>
          <w:tcPr>
            <w:tcW w:w="1520" w:type="dxa"/>
            <w:vAlign w:val="bottom"/>
            <w:shd w:val="clear" w:color="auto" w:fill="CCCCCC"/>
          </w:tcPr>
          <w:p>
            <w:pPr>
              <w:jc w:val="right"/>
              <w:ind w:right="617"/>
              <w:spacing w:after="0"/>
              <w:rPr>
                <w:sz w:val="20"/>
                <w:szCs w:val="20"/>
                <w:color w:val="auto"/>
              </w:rPr>
            </w:pPr>
            <w:r>
              <w:rPr>
                <w:rFonts w:ascii="Arial" w:cs="Arial" w:eastAsia="Arial" w:hAnsi="Arial"/>
                <w:sz w:val="18"/>
                <w:szCs w:val="18"/>
                <w:color w:val="auto"/>
              </w:rPr>
              <w:t>58.18</w:t>
            </w:r>
          </w:p>
        </w:tc>
        <w:tc>
          <w:tcPr>
            <w:tcW w:w="1140" w:type="dxa"/>
            <w:vAlign w:val="bottom"/>
            <w:tcBorders>
              <w:bottom w:val="single" w:sz="8" w:color="auto"/>
            </w:tcBorders>
            <w:shd w:val="clear" w:color="auto" w:fill="CCCCCC"/>
          </w:tcPr>
          <w:p>
            <w:pPr>
              <w:jc w:val="right"/>
              <w:ind w:right="23"/>
              <w:spacing w:after="0"/>
              <w:rPr>
                <w:sz w:val="20"/>
                <w:szCs w:val="20"/>
                <w:color w:val="auto"/>
              </w:rPr>
            </w:pPr>
            <w:r>
              <w:rPr>
                <w:rFonts w:ascii="Arial" w:cs="Arial" w:eastAsia="Arial" w:hAnsi="Arial"/>
                <w:sz w:val="18"/>
                <w:szCs w:val="18"/>
                <w:color w:val="auto"/>
              </w:rPr>
              <w:t>925,099</w:t>
            </w:r>
          </w:p>
        </w:tc>
        <w:tc>
          <w:tcPr>
            <w:tcW w:w="720" w:type="dxa"/>
            <w:vAlign w:val="bottom"/>
            <w:shd w:val="clear" w:color="auto" w:fill="CCCCCC"/>
          </w:tcPr>
          <w:p>
            <w:pPr>
              <w:spacing w:after="0"/>
              <w:rPr>
                <w:sz w:val="18"/>
                <w:szCs w:val="18"/>
                <w:color w:val="auto"/>
              </w:rPr>
            </w:pPr>
          </w:p>
        </w:tc>
        <w:tc>
          <w:tcPr>
            <w:tcW w:w="1460" w:type="dxa"/>
            <w:vAlign w:val="bottom"/>
            <w:shd w:val="clear" w:color="auto" w:fill="CCCCCC"/>
          </w:tcPr>
          <w:p>
            <w:pPr>
              <w:jc w:val="right"/>
              <w:ind w:right="102"/>
              <w:spacing w:after="0"/>
              <w:rPr>
                <w:sz w:val="20"/>
                <w:szCs w:val="20"/>
                <w:color w:val="auto"/>
              </w:rPr>
            </w:pPr>
            <w:r>
              <w:rPr>
                <w:rFonts w:ascii="Arial" w:cs="Arial" w:eastAsia="Arial" w:hAnsi="Arial"/>
                <w:sz w:val="18"/>
                <w:szCs w:val="18"/>
                <w:color w:val="auto"/>
              </w:rPr>
              <w:t>2,448</w:t>
            </w: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9,043,165</w:t>
            </w: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9,043,165</w:t>
            </w:r>
          </w:p>
        </w:tc>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 w:lineRule="exact"/>
        <w:rPr>
          <w:sz w:val="20"/>
          <w:szCs w:val="20"/>
          <w:color w:val="auto"/>
        </w:rPr>
      </w:pPr>
    </w:p>
    <w:p>
      <w:pPr>
        <w:ind w:right="40" w:firstLine="8"/>
        <w:spacing w:after="0" w:line="260" w:lineRule="auto"/>
        <w:tabs>
          <w:tab w:leader="none" w:pos="184"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2014, UAL’s Board of Directors authorized a share repurchase program to acquire up to $1 billion of UAL’s common stock (the “2014 Program”). On July 21, 2015, UAL’s Board of Directors authorized a $3 billion share repurchase program, which the Company expects to complete substantially earlier than its original expected completion date of December 31, 2017 (the “2015 Program”). Under the programs, UAL may repurchase shares through the open market, privately negotiated transactions, block trades, or accelerated share repurchase transactions from time to time in accordance with applicable securities laws. UAL will repurchase shares of common stock subject to prevailing market conditions, and may discontinue such repurchases at any time. In October, 2015, pursuant to the 2015 Program, the Company entered into agreements to repurchase approximately $300 million of shares of UAL common stock through an accelerated share repurchase program (the “ASR Program”). The ASR Program was completed in November 2015 and in total, United purchased approximately 5 million shares at an average price of $58.14 under the program. The aggregate number of shares repurchased by UAL under the ASR Program was based on the volume-weighted average price per share of UAL’s common stock during the calculation period, less a discount. In addition to the ASR Program, UAL spent $932 million to repurchase approximately 16 million shares of UAL common stock in open market transactions in the year ended December 31, 2015. As of December 31, 2015, the Company had completed purchases under the 2014 Program and had $2.4 billion remaining to spend under the 2015 Program.</w:t>
      </w:r>
    </w:p>
    <w:p>
      <w:pPr>
        <w:spacing w:after="0" w:line="3" w:lineRule="exact"/>
        <w:rPr>
          <w:rFonts w:ascii="Arial" w:cs="Arial" w:eastAsia="Arial" w:hAnsi="Arial"/>
          <w:sz w:val="12"/>
          <w:szCs w:val="12"/>
          <w:color w:val="auto"/>
        </w:rPr>
      </w:pPr>
    </w:p>
    <w:p>
      <w:pPr>
        <w:ind w:left="200" w:hanging="192"/>
        <w:spacing w:after="0" w:line="221"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UAL made open market purchases of approximately 4 million shares of UAL common stock at an average price of $56.65 per share in the fourth quarter of 2015.</w:t>
      </w:r>
    </w:p>
    <w:p>
      <w:pPr>
        <w:ind w:left="200" w:hanging="192"/>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price paid per share is calculated on a settlement basis and excludes commission.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FINANCIAL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statistical data are provided in the tables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20"/>
                <w:szCs w:val="20"/>
                <w:color w:val="auto"/>
              </w:rPr>
            </w:pPr>
            <w:r>
              <w:rPr>
                <w:rFonts w:ascii="Arial" w:cs="Arial" w:eastAsia="Arial" w:hAnsi="Arial"/>
                <w:sz w:val="18"/>
                <w:szCs w:val="18"/>
                <w:b w:val="1"/>
                <w:bCs w:val="1"/>
                <w:color w:val="auto"/>
              </w:rPr>
              <w:t>UAL Statement of Consolidated Operations Data</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12"/>
        </w:trPr>
        <w:tc>
          <w:tcPr>
            <w:tcW w:w="4200" w:type="dxa"/>
            <w:vAlign w:val="bottom"/>
          </w:tcPr>
          <w:p>
            <w:pPr>
              <w:spacing w:after="0"/>
              <w:rPr>
                <w:sz w:val="20"/>
                <w:szCs w:val="20"/>
                <w:color w:val="auto"/>
              </w:rPr>
            </w:pPr>
            <w:r>
              <w:rPr>
                <w:rFonts w:ascii="Arial" w:cs="Arial" w:eastAsia="Arial" w:hAnsi="Arial"/>
                <w:sz w:val="18"/>
                <w:szCs w:val="18"/>
                <w:b w:val="1"/>
                <w:bCs w:val="1"/>
                <w:color w:val="auto"/>
              </w:rPr>
              <w:t>(In millions, except per</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b w:val="1"/>
                <w:bCs w:val="1"/>
                <w:color w:val="auto"/>
              </w:rPr>
              <w:t>share amounts)</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78"/>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42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1"/>
                <w:szCs w:val="21"/>
                <w:color w:val="auto"/>
              </w:rPr>
            </w:pPr>
          </w:p>
        </w:tc>
      </w:tr>
      <w:tr>
        <w:trPr>
          <w:trHeight w:val="190"/>
        </w:trPr>
        <w:tc>
          <w:tcPr>
            <w:tcW w:w="4200" w:type="dxa"/>
            <w:vAlign w:val="bottom"/>
          </w:tcPr>
          <w:p>
            <w:pPr>
              <w:spacing w:after="0" w:line="189" w:lineRule="exact"/>
              <w:rPr>
                <w:sz w:val="20"/>
                <w:szCs w:val="20"/>
                <w:color w:val="auto"/>
              </w:rPr>
            </w:pPr>
            <w:r>
              <w:rPr>
                <w:rFonts w:ascii="Arial" w:cs="Arial" w:eastAsia="Arial" w:hAnsi="Arial"/>
                <w:sz w:val="18"/>
                <w:szCs w:val="18"/>
                <w:b w:val="1"/>
                <w:bCs w:val="1"/>
                <w:color w:val="auto"/>
              </w:rPr>
              <w:t>Income Statement Data:</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200" w:type="dxa"/>
            <w:vAlign w:val="bottom"/>
            <w:shd w:val="clear" w:color="auto" w:fill="CCCCCC"/>
          </w:tcPr>
          <w:p>
            <w:pPr>
              <w:spacing w:after="0"/>
              <w:rPr>
                <w:sz w:val="20"/>
                <w:szCs w:val="20"/>
                <w:color w:val="auto"/>
              </w:rPr>
            </w:pPr>
            <w:r>
              <w:rPr>
                <w:rFonts w:ascii="Arial" w:cs="Arial" w:eastAsia="Arial" w:hAnsi="Arial"/>
                <w:sz w:val="18"/>
                <w:szCs w:val="18"/>
                <w:color w:val="auto"/>
              </w:rPr>
              <w:t>Operating revenue</w:t>
            </w:r>
          </w:p>
        </w:tc>
        <w:tc>
          <w:tcPr>
            <w:tcW w:w="56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37,864</w:t>
            </w:r>
          </w:p>
        </w:tc>
        <w:tc>
          <w:tcPr>
            <w:tcW w:w="62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38,901</w:t>
            </w:r>
          </w:p>
        </w:tc>
        <w:tc>
          <w:tcPr>
            <w:tcW w:w="64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38,279</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jc w:val="right"/>
              <w:ind w:right="18"/>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37,152</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jc w:val="right"/>
              <w:ind w:right="18"/>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37,110</w:t>
            </w:r>
          </w:p>
        </w:tc>
        <w:tc>
          <w:tcPr>
            <w:tcW w:w="220" w:type="dxa"/>
            <w:vAlign w:val="bottom"/>
            <w:shd w:val="clear" w:color="auto" w:fill="CCCCC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expense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32,698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36,528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35,288</w:t>
            </w:r>
          </w:p>
        </w:tc>
        <w:tc>
          <w:tcPr>
            <w:tcW w:w="220" w:type="dxa"/>
            <w:vAlign w:val="bottom"/>
          </w:tcPr>
          <w:p>
            <w:pPr>
              <w:spacing w:after="0"/>
              <w:rPr>
                <w:sz w:val="18"/>
                <w:szCs w:val="18"/>
                <w:color w:val="auto"/>
              </w:rPr>
            </w:pPr>
          </w:p>
        </w:tc>
      </w:tr>
      <w:tr>
        <w:trPr>
          <w:trHeight w:val="216"/>
        </w:trPr>
        <w:tc>
          <w:tcPr>
            <w:tcW w:w="4200" w:type="dxa"/>
            <w:vAlign w:val="bottom"/>
            <w:shd w:val="clear" w:color="auto" w:fill="CCCCCC"/>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5,166</w:t>
            </w:r>
          </w:p>
        </w:tc>
        <w:tc>
          <w:tcPr>
            <w:tcW w:w="40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2,373</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1,249</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1,822</w:t>
            </w:r>
          </w:p>
        </w:tc>
        <w:tc>
          <w:tcPr>
            <w:tcW w:w="220" w:type="dxa"/>
            <w:vAlign w:val="bottom"/>
            <w:shd w:val="clear" w:color="auto" w:fill="CCCCC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8"/>
                <w:szCs w:val="18"/>
                <w:color w:val="auto"/>
              </w:rPr>
            </w:pPr>
          </w:p>
        </w:tc>
      </w:tr>
      <w:tr>
        <w:trPr>
          <w:trHeight w:val="216"/>
        </w:trPr>
        <w:tc>
          <w:tcPr>
            <w:tcW w:w="4200" w:type="dxa"/>
            <w:vAlign w:val="bottom"/>
            <w:shd w:val="clear" w:color="auto" w:fill="CCCCCC"/>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19.52</w:t>
            </w:r>
          </w:p>
        </w:tc>
        <w:tc>
          <w:tcPr>
            <w:tcW w:w="40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(2.18)</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CCC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r>
      <w:tr>
        <w:trPr>
          <w:trHeight w:val="202"/>
        </w:trPr>
        <w:tc>
          <w:tcPr>
            <w:tcW w:w="4200" w:type="dxa"/>
            <w:vAlign w:val="bottom"/>
            <w:shd w:val="clear" w:color="auto" w:fill="CCCCCC"/>
          </w:tcPr>
          <w:p>
            <w:pPr>
              <w:spacing w:after="0" w:line="201" w:lineRule="exact"/>
              <w:rPr>
                <w:sz w:val="20"/>
                <w:szCs w:val="20"/>
                <w:color w:val="auto"/>
              </w:rPr>
            </w:pPr>
            <w:r>
              <w:rPr>
                <w:rFonts w:ascii="Arial" w:cs="Arial" w:eastAsia="Arial" w:hAnsi="Arial"/>
                <w:sz w:val="18"/>
                <w:szCs w:val="18"/>
                <w:b w:val="1"/>
                <w:bCs w:val="1"/>
                <w:color w:val="auto"/>
              </w:rPr>
              <w:t>Balance Sheet Data at</w:t>
            </w:r>
          </w:p>
        </w:tc>
        <w:tc>
          <w:tcPr>
            <w:tcW w:w="320" w:type="dxa"/>
            <w:vAlign w:val="bottom"/>
            <w:shd w:val="clear" w:color="auto" w:fill="CCCCCC"/>
          </w:tcPr>
          <w:p>
            <w:pPr>
              <w:spacing w:after="0"/>
              <w:rPr>
                <w:sz w:val="17"/>
                <w:szCs w:val="17"/>
                <w:color w:val="auto"/>
              </w:rPr>
            </w:pPr>
          </w:p>
        </w:tc>
        <w:tc>
          <w:tcPr>
            <w:tcW w:w="240" w:type="dxa"/>
            <w:vAlign w:val="bottom"/>
            <w:shd w:val="clear" w:color="auto" w:fill="CCCCCC"/>
          </w:tcPr>
          <w:p>
            <w:pPr>
              <w:spacing w:after="0"/>
              <w:rPr>
                <w:sz w:val="17"/>
                <w:szCs w:val="17"/>
                <w:color w:val="auto"/>
              </w:rPr>
            </w:pPr>
          </w:p>
        </w:tc>
        <w:tc>
          <w:tcPr>
            <w:tcW w:w="780" w:type="dxa"/>
            <w:vAlign w:val="bottom"/>
            <w:shd w:val="clear" w:color="auto" w:fill="CCCCCC"/>
          </w:tcPr>
          <w:p>
            <w:pPr>
              <w:spacing w:after="0"/>
              <w:rPr>
                <w:sz w:val="17"/>
                <w:szCs w:val="17"/>
                <w:color w:val="auto"/>
              </w:rPr>
            </w:pPr>
          </w:p>
        </w:tc>
        <w:tc>
          <w:tcPr>
            <w:tcW w:w="40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780" w:type="dxa"/>
            <w:vAlign w:val="bottom"/>
            <w:shd w:val="clear" w:color="auto" w:fill="CCCCCC"/>
          </w:tcPr>
          <w:p>
            <w:pPr>
              <w:spacing w:after="0"/>
              <w:rPr>
                <w:sz w:val="17"/>
                <w:szCs w:val="17"/>
                <w:color w:val="auto"/>
              </w:rPr>
            </w:pPr>
          </w:p>
        </w:tc>
        <w:tc>
          <w:tcPr>
            <w:tcW w:w="42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780" w:type="dxa"/>
            <w:vAlign w:val="bottom"/>
            <w:shd w:val="clear" w:color="auto" w:fill="CCCCCC"/>
          </w:tcPr>
          <w:p>
            <w:pPr>
              <w:spacing w:after="0"/>
              <w:rPr>
                <w:sz w:val="17"/>
                <w:szCs w:val="17"/>
                <w:color w:val="auto"/>
              </w:rPr>
            </w:pPr>
          </w:p>
        </w:tc>
        <w:tc>
          <w:tcPr>
            <w:tcW w:w="42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780" w:type="dxa"/>
            <w:vAlign w:val="bottom"/>
            <w:shd w:val="clear" w:color="auto" w:fill="CCCCCC"/>
          </w:tcPr>
          <w:p>
            <w:pPr>
              <w:spacing w:after="0"/>
              <w:rPr>
                <w:sz w:val="17"/>
                <w:szCs w:val="17"/>
                <w:color w:val="auto"/>
              </w:rPr>
            </w:pPr>
          </w:p>
        </w:tc>
        <w:tc>
          <w:tcPr>
            <w:tcW w:w="42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c>
          <w:tcPr>
            <w:tcW w:w="780" w:type="dxa"/>
            <w:vAlign w:val="bottom"/>
            <w:shd w:val="clear" w:color="auto" w:fill="CCCCCC"/>
          </w:tcPr>
          <w:p>
            <w:pPr>
              <w:spacing w:after="0"/>
              <w:rPr>
                <w:sz w:val="17"/>
                <w:szCs w:val="17"/>
                <w:color w:val="auto"/>
              </w:rPr>
            </w:pPr>
          </w:p>
        </w:tc>
        <w:tc>
          <w:tcPr>
            <w:tcW w:w="220" w:type="dxa"/>
            <w:vAlign w:val="bottom"/>
            <w:shd w:val="clear" w:color="auto" w:fill="CCCCCC"/>
          </w:tcPr>
          <w:p>
            <w:pPr>
              <w:spacing w:after="0"/>
              <w:rPr>
                <w:sz w:val="17"/>
                <w:szCs w:val="17"/>
                <w:color w:val="auto"/>
              </w:rPr>
            </w:pPr>
          </w:p>
        </w:tc>
      </w:tr>
      <w:tr>
        <w:trPr>
          <w:trHeight w:val="244"/>
        </w:trPr>
        <w:tc>
          <w:tcPr>
            <w:tcW w:w="4200" w:type="dxa"/>
            <w:vAlign w:val="bottom"/>
            <w:shd w:val="clear" w:color="auto" w:fill="CCCCCC"/>
          </w:tcPr>
          <w:p>
            <w:pPr>
              <w:ind w:left="220"/>
              <w:spacing w:after="0"/>
              <w:rPr>
                <w:sz w:val="20"/>
                <w:szCs w:val="20"/>
                <w:color w:val="auto"/>
              </w:rPr>
            </w:pPr>
            <w:r>
              <w:rPr>
                <w:rFonts w:ascii="Arial" w:cs="Arial" w:eastAsia="Arial" w:hAnsi="Arial"/>
                <w:sz w:val="18"/>
                <w:szCs w:val="18"/>
                <w:b w:val="1"/>
                <w:bCs w:val="1"/>
                <w:color w:val="auto"/>
              </w:rPr>
              <w:t>December 31:</w:t>
            </w:r>
          </w:p>
        </w:tc>
        <w:tc>
          <w:tcPr>
            <w:tcW w:w="32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780" w:type="dxa"/>
            <w:vAlign w:val="bottom"/>
            <w:shd w:val="clear" w:color="auto" w:fill="CCCCCC"/>
          </w:tcPr>
          <w:p>
            <w:pPr>
              <w:spacing w:after="0"/>
              <w:rPr>
                <w:sz w:val="21"/>
                <w:szCs w:val="21"/>
                <w:color w:val="auto"/>
              </w:rPr>
            </w:pPr>
          </w:p>
        </w:tc>
        <w:tc>
          <w:tcPr>
            <w:tcW w:w="40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80" w:type="dxa"/>
            <w:vAlign w:val="bottom"/>
            <w:shd w:val="clear" w:color="auto" w:fill="CCCCCC"/>
          </w:tcPr>
          <w:p>
            <w:pPr>
              <w:spacing w:after="0"/>
              <w:rPr>
                <w:sz w:val="21"/>
                <w:szCs w:val="21"/>
                <w:color w:val="auto"/>
              </w:rPr>
            </w:pPr>
          </w:p>
        </w:tc>
        <w:tc>
          <w:tcPr>
            <w:tcW w:w="4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80" w:type="dxa"/>
            <w:vAlign w:val="bottom"/>
            <w:shd w:val="clear" w:color="auto" w:fill="CCCCCC"/>
          </w:tcPr>
          <w:p>
            <w:pPr>
              <w:spacing w:after="0"/>
              <w:rPr>
                <w:sz w:val="21"/>
                <w:szCs w:val="21"/>
                <w:color w:val="auto"/>
              </w:rPr>
            </w:pPr>
          </w:p>
        </w:tc>
        <w:tc>
          <w:tcPr>
            <w:tcW w:w="4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80" w:type="dxa"/>
            <w:vAlign w:val="bottom"/>
            <w:shd w:val="clear" w:color="auto" w:fill="CCCCCC"/>
          </w:tcPr>
          <w:p>
            <w:pPr>
              <w:spacing w:after="0"/>
              <w:rPr>
                <w:sz w:val="21"/>
                <w:szCs w:val="21"/>
                <w:color w:val="auto"/>
              </w:rPr>
            </w:pPr>
          </w:p>
        </w:tc>
        <w:tc>
          <w:tcPr>
            <w:tcW w:w="4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8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rPr>
              <w:t>Unrestricted cash, cash equivalents and short-term</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5,196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5,121</w:t>
            </w:r>
          </w:p>
        </w:tc>
        <w:tc>
          <w:tcPr>
            <w:tcW w:w="420" w:type="dxa"/>
            <w:vAlign w:val="bottom"/>
          </w:tcPr>
          <w:p>
            <w:pPr>
              <w:spacing w:after="0"/>
              <w:rPr>
                <w:sz w:val="19"/>
                <w:szCs w:val="19"/>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6,543</w:t>
            </w:r>
          </w:p>
        </w:tc>
        <w:tc>
          <w:tcPr>
            <w:tcW w:w="420" w:type="dxa"/>
            <w:vAlign w:val="bottom"/>
          </w:tcPr>
          <w:p>
            <w:pPr>
              <w:spacing w:after="0"/>
              <w:rPr>
                <w:sz w:val="19"/>
                <w:szCs w:val="19"/>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7,762</w:t>
            </w:r>
          </w:p>
        </w:tc>
        <w:tc>
          <w:tcPr>
            <w:tcW w:w="220" w:type="dxa"/>
            <w:vAlign w:val="bottom"/>
          </w:tcPr>
          <w:p>
            <w:pPr>
              <w:spacing w:after="0"/>
              <w:rPr>
                <w:sz w:val="19"/>
                <w:szCs w:val="19"/>
                <w:color w:val="auto"/>
              </w:rPr>
            </w:pPr>
          </w:p>
        </w:tc>
      </w:tr>
      <w:tr>
        <w:trPr>
          <w:trHeight w:val="218"/>
        </w:trPr>
        <w:tc>
          <w:tcPr>
            <w:tcW w:w="4200" w:type="dxa"/>
            <w:vAlign w:val="bottom"/>
            <w:shd w:val="clear" w:color="auto" w:fill="CCCCCC"/>
          </w:tcPr>
          <w:p>
            <w:pPr>
              <w:spacing w:after="0"/>
              <w:rPr>
                <w:sz w:val="20"/>
                <w:szCs w:val="20"/>
                <w:color w:val="auto"/>
              </w:rPr>
            </w:pPr>
            <w:r>
              <w:rPr>
                <w:rFonts w:ascii="Arial" w:cs="Arial" w:eastAsia="Arial" w:hAnsi="Arial"/>
                <w:sz w:val="18"/>
                <w:szCs w:val="18"/>
                <w:color w:val="auto"/>
              </w:rPr>
              <w:t>Total assets (a)</w:t>
            </w:r>
          </w:p>
        </w:tc>
        <w:tc>
          <w:tcPr>
            <w:tcW w:w="32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40,861</w:t>
            </w:r>
          </w:p>
        </w:tc>
        <w:tc>
          <w:tcPr>
            <w:tcW w:w="40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36,595</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36,021</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36,963</w:t>
            </w:r>
          </w:p>
        </w:tc>
        <w:tc>
          <w:tcPr>
            <w:tcW w:w="4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37,266</w:t>
            </w:r>
          </w:p>
        </w:tc>
        <w:tc>
          <w:tcPr>
            <w:tcW w:w="220" w:type="dxa"/>
            <w:vAlign w:val="bottom"/>
            <w:shd w:val="clear" w:color="auto" w:fill="CCCCCC"/>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Debt and capital lease obligations (a)</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11,759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12,293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13,043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12,629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 Amounts for years 2014, 2013, 2012 and 2011 differ from prior Form 10-K reports due to the adoption of an accounting standard update in 2015.</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Note 1(t) Recently Issued Accounting Standards to the financial statements included in Part II, Item 8 of this report for additional information.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UAL Selected Operating Data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w w:val="87"/>
              </w:rPr>
              <w:t>Presented below is the Company’s operating data for the years ended December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ind w:left="4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Mainline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2015</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2014</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2013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940" w:type="dxa"/>
            <w:vAlign w:val="bottom"/>
            <w:tcBorders>
              <w:top w:val="single" w:sz="8" w:color="CCCCCC"/>
            </w:tcBorders>
            <w:shd w:val="clear" w:color="auto" w:fill="CCCCCC"/>
          </w:tcPr>
          <w:p>
            <w:pPr>
              <w:spacing w:after="0" w:line="143" w:lineRule="exact"/>
              <w:rPr>
                <w:sz w:val="20"/>
                <w:szCs w:val="20"/>
                <w:color w:val="auto"/>
              </w:rPr>
            </w:pPr>
            <w:r>
              <w:rPr>
                <w:rFonts w:ascii="Arial" w:cs="Arial" w:eastAsia="Arial" w:hAnsi="Arial"/>
                <w:sz w:val="14"/>
                <w:szCs w:val="14"/>
                <w:color w:val="auto"/>
              </w:rPr>
              <w:t>Passengers (thousands) (a)</w:t>
            </w:r>
          </w:p>
        </w:tc>
        <w:tc>
          <w:tcPr>
            <w:tcW w:w="80" w:type="dxa"/>
            <w:vAlign w:val="bottom"/>
            <w:tcBorders>
              <w:top w:val="single" w:sz="8" w:color="CCCCCC"/>
            </w:tcBorders>
            <w:shd w:val="clear" w:color="auto" w:fill="CCCCCC"/>
          </w:tcPr>
          <w:p>
            <w:pPr>
              <w:spacing w:after="0"/>
              <w:rPr>
                <w:sz w:val="12"/>
                <w:szCs w:val="12"/>
                <w:color w:val="auto"/>
              </w:rPr>
            </w:pPr>
          </w:p>
        </w:tc>
        <w:tc>
          <w:tcPr>
            <w:tcW w:w="80" w:type="dxa"/>
            <w:vAlign w:val="bottom"/>
            <w:tcBorders>
              <w:top w:val="single" w:sz="8" w:color="auto"/>
            </w:tcBorders>
            <w:shd w:val="clear" w:color="auto" w:fill="CCCCCC"/>
          </w:tcPr>
          <w:p>
            <w:pPr>
              <w:spacing w:after="0"/>
              <w:rPr>
                <w:sz w:val="12"/>
                <w:szCs w:val="12"/>
                <w:color w:val="auto"/>
              </w:rPr>
            </w:pPr>
          </w:p>
        </w:tc>
        <w:tc>
          <w:tcPr>
            <w:tcW w:w="540" w:type="dxa"/>
            <w:vAlign w:val="bottom"/>
            <w:tcBorders>
              <w:top w:val="single" w:sz="8" w:color="auto"/>
            </w:tcBorders>
            <w:shd w:val="clear" w:color="auto" w:fill="CCCCCC"/>
          </w:tcPr>
          <w:p>
            <w:pPr>
              <w:jc w:val="right"/>
              <w:ind w:right="32"/>
              <w:spacing w:after="0" w:line="143" w:lineRule="exact"/>
              <w:rPr>
                <w:sz w:val="20"/>
                <w:szCs w:val="20"/>
                <w:color w:val="auto"/>
              </w:rPr>
            </w:pPr>
            <w:r>
              <w:rPr>
                <w:rFonts w:ascii="Arial" w:cs="Arial" w:eastAsia="Arial" w:hAnsi="Arial"/>
                <w:sz w:val="14"/>
                <w:szCs w:val="14"/>
                <w:color w:val="auto"/>
                <w:w w:val="97"/>
              </w:rPr>
              <w:t>96,327</w:t>
            </w:r>
          </w:p>
        </w:tc>
        <w:tc>
          <w:tcPr>
            <w:tcW w:w="560" w:type="dxa"/>
            <w:vAlign w:val="bottom"/>
            <w:tcBorders>
              <w:top w:val="single" w:sz="8" w:color="CCCCCC"/>
            </w:tcBorders>
            <w:shd w:val="clear" w:color="auto" w:fill="CCCCCC"/>
          </w:tcPr>
          <w:p>
            <w:pPr>
              <w:spacing w:after="0"/>
              <w:rPr>
                <w:sz w:val="12"/>
                <w:szCs w:val="12"/>
                <w:color w:val="auto"/>
              </w:rPr>
            </w:pPr>
          </w:p>
        </w:tc>
        <w:tc>
          <w:tcPr>
            <w:tcW w:w="60" w:type="dxa"/>
            <w:vAlign w:val="bottom"/>
            <w:tcBorders>
              <w:top w:val="single" w:sz="8" w:color="auto"/>
            </w:tcBorders>
            <w:shd w:val="clear" w:color="auto" w:fill="CCCCCC"/>
          </w:tcPr>
          <w:p>
            <w:pPr>
              <w:spacing w:after="0"/>
              <w:rPr>
                <w:sz w:val="12"/>
                <w:szCs w:val="12"/>
                <w:color w:val="auto"/>
              </w:rPr>
            </w:pPr>
          </w:p>
        </w:tc>
        <w:tc>
          <w:tcPr>
            <w:tcW w:w="540" w:type="dxa"/>
            <w:vAlign w:val="bottom"/>
            <w:tcBorders>
              <w:top w:val="single" w:sz="8" w:color="auto"/>
            </w:tcBorders>
            <w:shd w:val="clear" w:color="auto" w:fill="CCCCCC"/>
          </w:tcPr>
          <w:p>
            <w:pPr>
              <w:jc w:val="right"/>
              <w:ind w:right="31"/>
              <w:spacing w:after="0" w:line="143" w:lineRule="exact"/>
              <w:rPr>
                <w:sz w:val="20"/>
                <w:szCs w:val="20"/>
                <w:color w:val="auto"/>
              </w:rPr>
            </w:pPr>
            <w:r>
              <w:rPr>
                <w:rFonts w:ascii="Arial" w:cs="Arial" w:eastAsia="Arial" w:hAnsi="Arial"/>
                <w:sz w:val="14"/>
                <w:szCs w:val="14"/>
                <w:color w:val="auto"/>
                <w:w w:val="97"/>
              </w:rPr>
              <w:t>91,475</w:t>
            </w:r>
          </w:p>
        </w:tc>
        <w:tc>
          <w:tcPr>
            <w:tcW w:w="580" w:type="dxa"/>
            <w:vAlign w:val="bottom"/>
            <w:tcBorders>
              <w:top w:val="single" w:sz="8" w:color="CCCCCC"/>
            </w:tcBorders>
            <w:shd w:val="clear" w:color="auto" w:fill="CCCCCC"/>
          </w:tcPr>
          <w:p>
            <w:pPr>
              <w:spacing w:after="0"/>
              <w:rPr>
                <w:sz w:val="12"/>
                <w:szCs w:val="12"/>
                <w:color w:val="auto"/>
              </w:rPr>
            </w:pPr>
          </w:p>
        </w:tc>
        <w:tc>
          <w:tcPr>
            <w:tcW w:w="60" w:type="dxa"/>
            <w:vAlign w:val="bottom"/>
            <w:tcBorders>
              <w:top w:val="single" w:sz="8" w:color="auto"/>
            </w:tcBorders>
            <w:shd w:val="clear" w:color="auto" w:fill="CCCCCC"/>
          </w:tcPr>
          <w:p>
            <w:pPr>
              <w:spacing w:after="0"/>
              <w:rPr>
                <w:sz w:val="12"/>
                <w:szCs w:val="12"/>
                <w:color w:val="auto"/>
              </w:rPr>
            </w:pPr>
          </w:p>
        </w:tc>
        <w:tc>
          <w:tcPr>
            <w:tcW w:w="540" w:type="dxa"/>
            <w:vAlign w:val="bottom"/>
            <w:tcBorders>
              <w:top w:val="single" w:sz="8" w:color="auto"/>
            </w:tcBorders>
            <w:shd w:val="clear" w:color="auto" w:fill="CCCCCC"/>
          </w:tcPr>
          <w:p>
            <w:pPr>
              <w:jc w:val="right"/>
              <w:ind w:right="32"/>
              <w:spacing w:after="0" w:line="143" w:lineRule="exact"/>
              <w:rPr>
                <w:sz w:val="20"/>
                <w:szCs w:val="20"/>
                <w:color w:val="auto"/>
              </w:rPr>
            </w:pPr>
            <w:r>
              <w:rPr>
                <w:rFonts w:ascii="Arial" w:cs="Arial" w:eastAsia="Arial" w:hAnsi="Arial"/>
                <w:sz w:val="14"/>
                <w:szCs w:val="14"/>
                <w:color w:val="auto"/>
                <w:w w:val="97"/>
              </w:rPr>
              <w:t>91,329</w:t>
            </w:r>
          </w:p>
        </w:tc>
        <w:tc>
          <w:tcPr>
            <w:tcW w:w="560" w:type="dxa"/>
            <w:vAlign w:val="bottom"/>
            <w:tcBorders>
              <w:top w:val="single" w:sz="8" w:color="CCCCCC"/>
            </w:tcBorders>
            <w:shd w:val="clear" w:color="auto" w:fill="CCCCCC"/>
          </w:tcPr>
          <w:p>
            <w:pPr>
              <w:spacing w:after="0"/>
              <w:rPr>
                <w:sz w:val="12"/>
                <w:szCs w:val="12"/>
                <w:color w:val="auto"/>
              </w:rPr>
            </w:pPr>
          </w:p>
        </w:tc>
        <w:tc>
          <w:tcPr>
            <w:tcW w:w="80" w:type="dxa"/>
            <w:vAlign w:val="bottom"/>
            <w:tcBorders>
              <w:top w:val="single" w:sz="8" w:color="auto"/>
            </w:tcBorders>
            <w:shd w:val="clear" w:color="auto" w:fill="CCCCCC"/>
          </w:tcPr>
          <w:p>
            <w:pPr>
              <w:spacing w:after="0"/>
              <w:rPr>
                <w:sz w:val="12"/>
                <w:szCs w:val="12"/>
                <w:color w:val="auto"/>
              </w:rPr>
            </w:pPr>
          </w:p>
        </w:tc>
        <w:tc>
          <w:tcPr>
            <w:tcW w:w="540" w:type="dxa"/>
            <w:vAlign w:val="bottom"/>
            <w:tcBorders>
              <w:top w:val="single" w:sz="8" w:color="auto"/>
            </w:tcBorders>
            <w:shd w:val="clear" w:color="auto" w:fill="CCCCCC"/>
          </w:tcPr>
          <w:p>
            <w:pPr>
              <w:jc w:val="right"/>
              <w:ind w:right="32"/>
              <w:spacing w:after="0" w:line="143" w:lineRule="exact"/>
              <w:rPr>
                <w:sz w:val="20"/>
                <w:szCs w:val="20"/>
                <w:color w:val="auto"/>
              </w:rPr>
            </w:pPr>
            <w:r>
              <w:rPr>
                <w:rFonts w:ascii="Arial" w:cs="Arial" w:eastAsia="Arial" w:hAnsi="Arial"/>
                <w:sz w:val="14"/>
                <w:szCs w:val="14"/>
                <w:color w:val="auto"/>
                <w:w w:val="97"/>
              </w:rPr>
              <w:t>93,595</w:t>
            </w:r>
          </w:p>
        </w:tc>
        <w:tc>
          <w:tcPr>
            <w:tcW w:w="280" w:type="dxa"/>
            <w:vAlign w:val="bottom"/>
            <w:tcBorders>
              <w:top w:val="single" w:sz="8" w:color="CCCCCC"/>
            </w:tcBorders>
            <w:shd w:val="clear" w:color="auto" w:fill="CCCCCC"/>
          </w:tcPr>
          <w:p>
            <w:pPr>
              <w:spacing w:after="0"/>
              <w:rPr>
                <w:sz w:val="12"/>
                <w:szCs w:val="12"/>
                <w:color w:val="auto"/>
              </w:rPr>
            </w:pPr>
          </w:p>
        </w:tc>
        <w:tc>
          <w:tcPr>
            <w:tcW w:w="280" w:type="dxa"/>
            <w:vAlign w:val="bottom"/>
            <w:tcBorders>
              <w:top w:val="single" w:sz="8" w:color="CCCCCC"/>
            </w:tcBorders>
            <w:shd w:val="clear" w:color="auto" w:fill="CCCCCC"/>
          </w:tcPr>
          <w:p>
            <w:pPr>
              <w:spacing w:after="0"/>
              <w:rPr>
                <w:sz w:val="12"/>
                <w:szCs w:val="12"/>
                <w:color w:val="auto"/>
              </w:rPr>
            </w:pPr>
          </w:p>
        </w:tc>
        <w:tc>
          <w:tcPr>
            <w:tcW w:w="80" w:type="dxa"/>
            <w:vAlign w:val="bottom"/>
            <w:tcBorders>
              <w:top w:val="single" w:sz="8" w:color="auto"/>
            </w:tcBorders>
            <w:shd w:val="clear" w:color="auto" w:fill="CCCCCC"/>
          </w:tcPr>
          <w:p>
            <w:pPr>
              <w:spacing w:after="0"/>
              <w:rPr>
                <w:sz w:val="12"/>
                <w:szCs w:val="12"/>
                <w:color w:val="auto"/>
              </w:rPr>
            </w:pPr>
          </w:p>
        </w:tc>
        <w:tc>
          <w:tcPr>
            <w:tcW w:w="540" w:type="dxa"/>
            <w:vAlign w:val="bottom"/>
            <w:tcBorders>
              <w:top w:val="single" w:sz="8" w:color="auto"/>
            </w:tcBorders>
            <w:shd w:val="clear" w:color="auto" w:fill="CCCCCC"/>
          </w:tcPr>
          <w:p>
            <w:pPr>
              <w:jc w:val="right"/>
              <w:ind w:right="32"/>
              <w:spacing w:after="0" w:line="143" w:lineRule="exact"/>
              <w:rPr>
                <w:sz w:val="20"/>
                <w:szCs w:val="20"/>
                <w:color w:val="auto"/>
              </w:rPr>
            </w:pPr>
            <w:r>
              <w:rPr>
                <w:rFonts w:ascii="Arial" w:cs="Arial" w:eastAsia="Arial" w:hAnsi="Arial"/>
                <w:sz w:val="14"/>
                <w:szCs w:val="14"/>
                <w:color w:val="auto"/>
                <w:w w:val="97"/>
              </w:rPr>
              <w:t>96,360</w:t>
            </w:r>
          </w:p>
        </w:tc>
        <w:tc>
          <w:tcPr>
            <w:tcW w:w="6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Revenue passenger miles (“RPMs”) (millions)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183,642</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w w:val="82"/>
              </w:rPr>
              <w:t>179,015</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178,578</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179,416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181,763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Available seat miles (“ASMs”) (millions) (c)</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219,989</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w w:val="82"/>
              </w:rPr>
              <w:t>214,105</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213,007</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216,330</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219,437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Cargo ton miles (millions)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2,614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2,487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2,213</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2,460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Passenger load factor (d)</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83.5%</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ind w:right="580"/>
              <w:spacing w:after="0" w:line="149" w:lineRule="exact"/>
              <w:rPr>
                <w:sz w:val="20"/>
                <w:szCs w:val="20"/>
                <w:color w:val="auto"/>
              </w:rPr>
            </w:pPr>
            <w:r>
              <w:rPr>
                <w:rFonts w:ascii="Arial" w:cs="Arial" w:eastAsia="Arial" w:hAnsi="Arial"/>
                <w:sz w:val="14"/>
                <w:szCs w:val="14"/>
                <w:color w:val="auto"/>
              </w:rPr>
              <w:t>83.6%</w:t>
            </w:r>
          </w:p>
        </w:tc>
        <w:tc>
          <w:tcPr>
            <w:tcW w:w="60" w:type="dxa"/>
            <w:vAlign w:val="bottom"/>
            <w:shd w:val="clear" w:color="auto" w:fill="CCCCCC"/>
          </w:tcPr>
          <w:p>
            <w:pPr>
              <w:spacing w:after="0"/>
              <w:rPr>
                <w:sz w:val="12"/>
                <w:szCs w:val="12"/>
                <w:color w:val="auto"/>
              </w:rPr>
            </w:pPr>
          </w:p>
        </w:tc>
        <w:tc>
          <w:tcPr>
            <w:tcW w:w="1100" w:type="dxa"/>
            <w:vAlign w:val="bottom"/>
            <w:gridSpan w:val="2"/>
            <w:shd w:val="clear" w:color="auto" w:fill="CCCCCC"/>
          </w:tcPr>
          <w:p>
            <w:pPr>
              <w:jc w:val="right"/>
              <w:ind w:right="560"/>
              <w:spacing w:after="0" w:line="149" w:lineRule="exact"/>
              <w:rPr>
                <w:sz w:val="20"/>
                <w:szCs w:val="20"/>
                <w:color w:val="auto"/>
              </w:rPr>
            </w:pPr>
            <w:r>
              <w:rPr>
                <w:rFonts w:ascii="Arial" w:cs="Arial" w:eastAsia="Arial" w:hAnsi="Arial"/>
                <w:sz w:val="14"/>
                <w:szCs w:val="14"/>
                <w:color w:val="auto"/>
              </w:rPr>
              <w:t>83.8%</w:t>
            </w:r>
          </w:p>
        </w:tc>
        <w:tc>
          <w:tcPr>
            <w:tcW w:w="80" w:type="dxa"/>
            <w:vAlign w:val="bottom"/>
            <w:shd w:val="clear" w:color="auto" w:fill="CCCCCC"/>
          </w:tcPr>
          <w:p>
            <w:pPr>
              <w:spacing w:after="0"/>
              <w:rPr>
                <w:sz w:val="12"/>
                <w:szCs w:val="12"/>
                <w:color w:val="auto"/>
              </w:rPr>
            </w:pPr>
          </w:p>
        </w:tc>
        <w:tc>
          <w:tcPr>
            <w:tcW w:w="820" w:type="dxa"/>
            <w:vAlign w:val="bottom"/>
            <w:gridSpan w:val="2"/>
            <w:shd w:val="clear" w:color="auto" w:fill="CCCCCC"/>
          </w:tcPr>
          <w:p>
            <w:pPr>
              <w:jc w:val="right"/>
              <w:ind w:right="280"/>
              <w:spacing w:after="0" w:line="149" w:lineRule="exact"/>
              <w:rPr>
                <w:sz w:val="20"/>
                <w:szCs w:val="20"/>
                <w:color w:val="auto"/>
              </w:rPr>
            </w:pPr>
            <w:r>
              <w:rPr>
                <w:rFonts w:ascii="Arial" w:cs="Arial" w:eastAsia="Arial" w:hAnsi="Arial"/>
                <w:sz w:val="14"/>
                <w:szCs w:val="14"/>
                <w:color w:val="auto"/>
              </w:rPr>
              <w:t>82.9%</w:t>
            </w: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82.8%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Passenger revenue per available seat mile (“PRASM”) (cents)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11.97</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12.51</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12.20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11.93</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Total revenue per available seat mile (cents)</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14.19</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rPr>
              <w:t>14.81</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14.51</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13.92</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13.77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Average yield per revenue passenger mile (“Yield”) (cents)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14.34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14.96</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14.56</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14.38</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Cost per available seat mile (“CASM”) (cents)</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12.42</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rPr>
              <w:t>14.03</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14.31</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14.12</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13.15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Average price per gallon of fuel, including fuel taxes</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2.98</w:t>
            </w:r>
          </w:p>
        </w:tc>
        <w:tc>
          <w:tcPr>
            <w:tcW w:w="5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3.12</w:t>
            </w:r>
          </w:p>
        </w:tc>
        <w:tc>
          <w:tcPr>
            <w:tcW w:w="5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3.27</w:t>
            </w:r>
          </w:p>
        </w:tc>
        <w:tc>
          <w:tcPr>
            <w:tcW w:w="2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Fuel gallons consumed (millions)</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3,216</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rPr>
              <w:t>3,183</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3,204</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3,275</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3,303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Average stage length (miles) (f)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1,922</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1,958</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1,934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1,895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Average daily utilization of each aircraft (hours) (g)</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10:24</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rPr>
              <w:t>10:26</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10:28</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10:38</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10:42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b w:val="1"/>
                <w:bCs w:val="1"/>
                <w:color w:val="auto"/>
              </w:rPr>
              <w:t>Consolidated</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Passengers (thousands)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140,369</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w w:val="82"/>
              </w:rPr>
              <w:t>138,029</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139,209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140,441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141,799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RPMs (millions) (b)</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208,611</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w w:val="82"/>
              </w:rPr>
              <w:t>205,559</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205,167</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205,485</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w w:val="82"/>
              </w:rPr>
              <w:t>207,531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ASMs (millions)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250,003</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w w:val="82"/>
              </w:rPr>
              <w:t>246,021</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245,354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248,860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2"/>
              </w:rPr>
              <w:t>252,528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Passenger load factor (d)</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83.4%</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ind w:right="580"/>
              <w:spacing w:after="0" w:line="149" w:lineRule="exact"/>
              <w:rPr>
                <w:sz w:val="20"/>
                <w:szCs w:val="20"/>
                <w:color w:val="auto"/>
              </w:rPr>
            </w:pPr>
            <w:r>
              <w:rPr>
                <w:rFonts w:ascii="Arial" w:cs="Arial" w:eastAsia="Arial" w:hAnsi="Arial"/>
                <w:sz w:val="14"/>
                <w:szCs w:val="14"/>
                <w:color w:val="auto"/>
              </w:rPr>
              <w:t>83.6%</w:t>
            </w:r>
          </w:p>
        </w:tc>
        <w:tc>
          <w:tcPr>
            <w:tcW w:w="60" w:type="dxa"/>
            <w:vAlign w:val="bottom"/>
            <w:shd w:val="clear" w:color="auto" w:fill="CCCCCC"/>
          </w:tcPr>
          <w:p>
            <w:pPr>
              <w:spacing w:after="0"/>
              <w:rPr>
                <w:sz w:val="12"/>
                <w:szCs w:val="12"/>
                <w:color w:val="auto"/>
              </w:rPr>
            </w:pPr>
          </w:p>
        </w:tc>
        <w:tc>
          <w:tcPr>
            <w:tcW w:w="1100" w:type="dxa"/>
            <w:vAlign w:val="bottom"/>
            <w:gridSpan w:val="2"/>
            <w:shd w:val="clear" w:color="auto" w:fill="CCCCCC"/>
          </w:tcPr>
          <w:p>
            <w:pPr>
              <w:jc w:val="right"/>
              <w:ind w:right="560"/>
              <w:spacing w:after="0" w:line="149" w:lineRule="exact"/>
              <w:rPr>
                <w:sz w:val="20"/>
                <w:szCs w:val="20"/>
                <w:color w:val="auto"/>
              </w:rPr>
            </w:pPr>
            <w:r>
              <w:rPr>
                <w:rFonts w:ascii="Arial" w:cs="Arial" w:eastAsia="Arial" w:hAnsi="Arial"/>
                <w:sz w:val="14"/>
                <w:szCs w:val="14"/>
                <w:color w:val="auto"/>
              </w:rPr>
              <w:t>83.6%</w:t>
            </w:r>
          </w:p>
        </w:tc>
        <w:tc>
          <w:tcPr>
            <w:tcW w:w="80" w:type="dxa"/>
            <w:vAlign w:val="bottom"/>
            <w:shd w:val="clear" w:color="auto" w:fill="CCCCCC"/>
          </w:tcPr>
          <w:p>
            <w:pPr>
              <w:spacing w:after="0"/>
              <w:rPr>
                <w:sz w:val="12"/>
                <w:szCs w:val="12"/>
                <w:color w:val="auto"/>
              </w:rPr>
            </w:pPr>
          </w:p>
        </w:tc>
        <w:tc>
          <w:tcPr>
            <w:tcW w:w="820" w:type="dxa"/>
            <w:vAlign w:val="bottom"/>
            <w:gridSpan w:val="2"/>
            <w:shd w:val="clear" w:color="auto" w:fill="CCCCCC"/>
          </w:tcPr>
          <w:p>
            <w:pPr>
              <w:jc w:val="right"/>
              <w:ind w:right="280"/>
              <w:spacing w:after="0" w:line="149" w:lineRule="exact"/>
              <w:rPr>
                <w:sz w:val="20"/>
                <w:szCs w:val="20"/>
                <w:color w:val="auto"/>
              </w:rPr>
            </w:pPr>
            <w:r>
              <w:rPr>
                <w:rFonts w:ascii="Arial" w:cs="Arial" w:eastAsia="Arial" w:hAnsi="Arial"/>
                <w:sz w:val="14"/>
                <w:szCs w:val="14"/>
                <w:color w:val="auto"/>
              </w:rPr>
              <w:t>82.6%</w:t>
            </w: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82.2%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PRASM (cents)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13.11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13.72</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13.50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13.09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Yield (cents) (e)</w:t>
            </w:r>
          </w:p>
        </w:tc>
        <w:tc>
          <w:tcPr>
            <w:tcW w:w="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15.72</w:t>
            </w:r>
          </w:p>
        </w:tc>
        <w:tc>
          <w:tcPr>
            <w:tcW w:w="56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rPr>
              <w:t>16.42</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16.14</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15.86</w:t>
            </w:r>
          </w:p>
        </w:tc>
        <w:tc>
          <w:tcPr>
            <w:tcW w:w="28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15.67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CASM (cents)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13.08</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1"/>
              <w:spacing w:after="0" w:line="149" w:lineRule="exact"/>
              <w:rPr>
                <w:sz w:val="20"/>
                <w:szCs w:val="20"/>
                <w:color w:val="auto"/>
              </w:rPr>
            </w:pPr>
            <w:r>
              <w:rPr>
                <w:rFonts w:ascii="Arial" w:cs="Arial" w:eastAsia="Arial" w:hAnsi="Arial"/>
                <w:sz w:val="14"/>
                <w:szCs w:val="14"/>
                <w:color w:val="auto"/>
              </w:rPr>
              <w:t>14.85</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15.09</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14.91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Average price per gallon of fuel, including fuel taxes</w:t>
            </w:r>
          </w:p>
        </w:tc>
        <w:tc>
          <w:tcPr>
            <w:tcW w:w="16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1.94</w:t>
            </w:r>
          </w:p>
        </w:tc>
        <w:tc>
          <w:tcPr>
            <w:tcW w:w="62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CCCC"/>
          </w:tcPr>
          <w:p>
            <w:pPr>
              <w:jc w:val="right"/>
              <w:ind w:right="31"/>
              <w:spacing w:after="0" w:line="149" w:lineRule="exact"/>
              <w:rPr>
                <w:sz w:val="20"/>
                <w:szCs w:val="20"/>
                <w:color w:val="auto"/>
              </w:rPr>
            </w:pPr>
            <w:r>
              <w:rPr>
                <w:rFonts w:ascii="Arial" w:cs="Arial" w:eastAsia="Arial" w:hAnsi="Arial"/>
                <w:sz w:val="14"/>
                <w:szCs w:val="14"/>
                <w:color w:val="auto"/>
              </w:rPr>
              <w:t>2.99</w:t>
            </w:r>
          </w:p>
        </w:tc>
        <w:tc>
          <w:tcPr>
            <w:tcW w:w="580" w:type="dxa"/>
            <w:vAlign w:val="bottom"/>
            <w:shd w:val="clear" w:color="auto" w:fill="CCCCCC"/>
          </w:tcPr>
          <w:p>
            <w:pPr>
              <w:spacing w:after="0"/>
              <w:rPr>
                <w:sz w:val="12"/>
                <w:szCs w:val="12"/>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3.13</w:t>
            </w:r>
          </w:p>
        </w:tc>
        <w:tc>
          <w:tcPr>
            <w:tcW w:w="560" w:type="dxa"/>
            <w:vAlign w:val="bottom"/>
            <w:shd w:val="clear" w:color="auto" w:fill="CCCCCC"/>
          </w:tcPr>
          <w:p>
            <w:pPr>
              <w:spacing w:after="0"/>
              <w:rPr>
                <w:sz w:val="12"/>
                <w:szCs w:val="12"/>
                <w:color w:val="auto"/>
              </w:rPr>
            </w:pPr>
          </w:p>
        </w:tc>
        <w:tc>
          <w:tcPr>
            <w:tcW w:w="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3.27</w:t>
            </w:r>
          </w:p>
        </w:tc>
        <w:tc>
          <w:tcPr>
            <w:tcW w:w="280" w:type="dxa"/>
            <w:vAlign w:val="bottom"/>
            <w:shd w:val="clear" w:color="auto" w:fill="CCCCCC"/>
          </w:tcPr>
          <w:p>
            <w:pPr>
              <w:spacing w:after="0"/>
              <w:rPr>
                <w:sz w:val="12"/>
                <w:szCs w:val="12"/>
                <w:color w:val="auto"/>
              </w:rPr>
            </w:pPr>
          </w:p>
        </w:tc>
        <w:tc>
          <w:tcPr>
            <w:tcW w:w="36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3.06</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Fuel gallons consumed (millions)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3,886</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3,905</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3,947</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4,016</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4,038</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hanging="192"/>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revenue passengers measured by each flight segment flown.</w:t>
      </w:r>
    </w:p>
    <w:p>
      <w:pPr>
        <w:ind w:left="200" w:hanging="192"/>
        <w:spacing w:after="0" w:line="221"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scheduled miles flown by revenue passengers.</w:t>
      </w:r>
    </w:p>
    <w:p>
      <w:pPr>
        <w:ind w:left="200" w:hanging="192"/>
        <w:spacing w:after="0" w:line="221"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number of seats available for passengers multiplied by the number of scheduled miles those seats are flown.</w:t>
      </w:r>
    </w:p>
    <w:p>
      <w:pPr>
        <w:ind w:left="200" w:hanging="192"/>
        <w:spacing w:after="0" w:line="221"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RPM divided by ASM.</w:t>
      </w:r>
    </w:p>
    <w:p>
      <w:pPr>
        <w:ind w:left="200" w:hanging="192"/>
        <w:spacing w:after="0" w:line="221"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average passenger revenue received for each revenue passenger mile flown.</w:t>
      </w:r>
    </w:p>
    <w:p>
      <w:pPr>
        <w:ind w:left="180" w:hanging="172"/>
        <w:spacing w:after="0" w:line="221" w:lineRule="auto"/>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stage length equals the average distance a flight travels weighted for size of aircraft.</w:t>
      </w:r>
    </w:p>
    <w:p>
      <w:pPr>
        <w:ind w:left="200" w:hanging="192"/>
        <w:spacing w:after="0"/>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average number of hours per day that an aircraft flown in revenue service is operated (from gate departure to gate arrival).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to Non-GAAP Financial Measures</w:t>
      </w:r>
    </w:p>
    <w:p>
      <w:pPr>
        <w:spacing w:after="0" w:line="1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evaluates its financial performance utilizing various accounting principles generally accepted in the United States of America (“GAAP”) and Non-GAAP financial measures including net income/loss excluding special charges, net earnings/loss per share excluding special charges and CASM, among others. CASM is a common metric used in the airline industry to measure an airline’s cost structure and efficiency. The Company believes that excluding fuel costs from certain measures is useful to investors because it provides an additional measure of management’s performance excluding the effects of a significant cost item over which management has limited influence. The Company believes that adjusting for special items is useful to investors because the special items are non-recurring items not indicative of the Company’s ongoing performance. The Company also believes that excluding third-party business expenses, such as maintenance, ground handling and catering services for third parties, fuel sales and non-air mileage redemptions, provides more meaningful disclosure because these expenses are not directly related to the Company’s core business. In addition, the Company believes that reflecting “Hedge Program Adjustments,” consisting of mark-to-market (“MTM”) gains and losses recorded in Nonoperating expense from fuel derivative contracts settling in future periods and of prior period gains and losses recorded in Nonoperating expense on fuel derivative contracts settled in the current period, is useful because the adjustments allow investors to better understand the cash impact of settled hedges in a given period. The Company excludes profit sharing because this exclusion allows investors to better understand and analyze its recurring cost performance and provides a more meaningful comparison of its core operating costs to the airline industry. Pursuant to SEC Regulation G, the Company has included the following reconciliation of reported Non-GAAP financial measures to comparable financial measures reported on a GAAP basis (in millions, except CASM amounts). For additional information related to special items, see Note 16 to the financial statements included in Part II, Item 8 of this report.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Special operating and nonoperating items (millions)</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2014</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Severance and benefit costs</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CCCC"/>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199</w:t>
            </w:r>
          </w:p>
        </w:tc>
        <w:tc>
          <w:tcPr>
            <w:tcW w:w="620" w:type="dxa"/>
            <w:vAlign w:val="bottom"/>
            <w:shd w:val="clear" w:color="auto" w:fill="CCCCCC"/>
          </w:tcPr>
          <w:p>
            <w:pPr>
              <w:spacing w:after="0"/>
              <w:rPr>
                <w:sz w:val="12"/>
                <w:szCs w:val="12"/>
                <w:color w:val="auto"/>
              </w:rPr>
            </w:pP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Impairment of assets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Integration-related costs</w:t>
            </w:r>
          </w:p>
        </w:tc>
        <w:tc>
          <w:tcPr>
            <w:tcW w:w="120" w:type="dxa"/>
            <w:vAlign w:val="bottom"/>
            <w:shd w:val="clear" w:color="auto" w:fill="CCCCCC"/>
          </w:tcPr>
          <w:p>
            <w:pPr>
              <w:spacing w:after="0"/>
              <w:rPr>
                <w:sz w:val="12"/>
                <w:szCs w:val="12"/>
                <w:color w:val="auto"/>
              </w:rPr>
            </w:pPr>
          </w:p>
        </w:tc>
        <w:tc>
          <w:tcPr>
            <w:tcW w:w="46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60</w:t>
            </w:r>
          </w:p>
        </w:tc>
        <w:tc>
          <w:tcPr>
            <w:tcW w:w="6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96</w:t>
            </w:r>
          </w:p>
        </w:tc>
        <w:tc>
          <w:tcPr>
            <w:tcW w:w="62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6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Labor agreement costs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(Gains) losses on sale of assets and other miscellaneous (gains) losses, net</w:t>
            </w:r>
          </w:p>
        </w:tc>
        <w:tc>
          <w:tcPr>
            <w:tcW w:w="120" w:type="dxa"/>
            <w:vAlign w:val="bottom"/>
            <w:tcBorders>
              <w:bottom w:val="single" w:sz="8" w:color="auto"/>
            </w:tcBorders>
            <w:shd w:val="clear" w:color="auto" w:fill="CCCCCC"/>
          </w:tcPr>
          <w:p>
            <w:pPr>
              <w:spacing w:after="0"/>
              <w:rPr>
                <w:sz w:val="12"/>
                <w:szCs w:val="12"/>
                <w:color w:val="auto"/>
              </w:rPr>
            </w:pPr>
          </w:p>
        </w:tc>
        <w:tc>
          <w:tcPr>
            <w:tcW w:w="46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62</w:t>
            </w:r>
          </w:p>
        </w:tc>
        <w:tc>
          <w:tcPr>
            <w:tcW w:w="600" w:type="dxa"/>
            <w:vAlign w:val="bottom"/>
            <w:shd w:val="clear" w:color="auto" w:fill="CCCCCC"/>
          </w:tcPr>
          <w:p>
            <w:pPr>
              <w:spacing w:after="0"/>
              <w:rPr>
                <w:sz w:val="12"/>
                <w:szCs w:val="12"/>
                <w:color w:val="auto"/>
              </w:rPr>
            </w:pPr>
          </w:p>
        </w:tc>
        <w:tc>
          <w:tcPr>
            <w:tcW w:w="140" w:type="dxa"/>
            <w:vAlign w:val="bottom"/>
            <w:tcBorders>
              <w:bottom w:val="single" w:sz="8" w:color="auto"/>
            </w:tcBorders>
            <w:shd w:val="clear" w:color="auto" w:fill="CCCCCC"/>
          </w:tcPr>
          <w:p>
            <w:pPr>
              <w:spacing w:after="0"/>
              <w:rPr>
                <w:sz w:val="12"/>
                <w:szCs w:val="12"/>
                <w:color w:val="auto"/>
              </w:rPr>
            </w:pPr>
          </w:p>
        </w:tc>
        <w:tc>
          <w:tcPr>
            <w:tcW w:w="44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99</w:t>
            </w:r>
          </w:p>
        </w:tc>
        <w:tc>
          <w:tcPr>
            <w:tcW w:w="620" w:type="dxa"/>
            <w:vAlign w:val="bottom"/>
            <w:shd w:val="clear" w:color="auto" w:fill="CCCCCC"/>
          </w:tcPr>
          <w:p>
            <w:pPr>
              <w:spacing w:after="0"/>
              <w:rPr>
                <w:sz w:val="12"/>
                <w:szCs w:val="12"/>
                <w:color w:val="auto"/>
              </w:rPr>
            </w:pPr>
          </w:p>
        </w:tc>
        <w:tc>
          <w:tcPr>
            <w:tcW w:w="120" w:type="dxa"/>
            <w:vAlign w:val="bottom"/>
            <w:tcBorders>
              <w:bottom w:val="single" w:sz="8" w:color="auto"/>
            </w:tcBorders>
            <w:shd w:val="clear" w:color="auto" w:fill="CCCCCC"/>
          </w:tcPr>
          <w:p>
            <w:pPr>
              <w:spacing w:after="0"/>
              <w:rPr>
                <w:sz w:val="12"/>
                <w:szCs w:val="12"/>
                <w:color w:val="auto"/>
              </w:rPr>
            </w:pPr>
          </w:p>
        </w:tc>
        <w:tc>
          <w:tcPr>
            <w:tcW w:w="46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200"/>
              <w:spacing w:after="0" w:line="155" w:lineRule="exact"/>
              <w:rPr>
                <w:sz w:val="20"/>
                <w:szCs w:val="20"/>
                <w:color w:val="auto"/>
              </w:rPr>
            </w:pPr>
            <w:r>
              <w:rPr>
                <w:rFonts w:ascii="Arial" w:cs="Arial" w:eastAsia="Arial" w:hAnsi="Arial"/>
                <w:sz w:val="14"/>
                <w:szCs w:val="14"/>
                <w:color w:val="auto"/>
              </w:rPr>
              <w:t>Special operating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326</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Loss on extinguishment of debt and other, net</w:t>
            </w:r>
          </w:p>
        </w:tc>
        <w:tc>
          <w:tcPr>
            <w:tcW w:w="120" w:type="dxa"/>
            <w:vAlign w:val="bottom"/>
            <w:shd w:val="clear" w:color="auto" w:fill="CCCCCC"/>
          </w:tcPr>
          <w:p>
            <w:pPr>
              <w:spacing w:after="0"/>
              <w:rPr>
                <w:sz w:val="12"/>
                <w:szCs w:val="12"/>
                <w:color w:val="auto"/>
              </w:rPr>
            </w:pPr>
          </w:p>
        </w:tc>
        <w:tc>
          <w:tcPr>
            <w:tcW w:w="46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202</w:t>
            </w:r>
          </w:p>
        </w:tc>
        <w:tc>
          <w:tcPr>
            <w:tcW w:w="6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74</w:t>
            </w:r>
          </w:p>
        </w:tc>
        <w:tc>
          <w:tcPr>
            <w:tcW w:w="62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52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Income tax benefit related to special charges</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Income tax benefit associated with valuation allowance release</w:t>
            </w:r>
          </w:p>
        </w:tc>
        <w:tc>
          <w:tcPr>
            <w:tcW w:w="120" w:type="dxa"/>
            <w:vAlign w:val="bottom"/>
            <w:tcBorders>
              <w:bottom w:val="single" w:sz="8" w:color="auto"/>
            </w:tcBorders>
            <w:shd w:val="clear" w:color="auto" w:fill="CCCCCC"/>
          </w:tcPr>
          <w:p>
            <w:pPr>
              <w:spacing w:after="0"/>
              <w:rPr>
                <w:sz w:val="12"/>
                <w:szCs w:val="12"/>
                <w:color w:val="auto"/>
              </w:rPr>
            </w:pPr>
          </w:p>
        </w:tc>
        <w:tc>
          <w:tcPr>
            <w:tcW w:w="46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w w:val="99"/>
              </w:rPr>
              <w:t>(3,130)</w:t>
            </w:r>
          </w:p>
        </w:tc>
        <w:tc>
          <w:tcPr>
            <w:tcW w:w="600" w:type="dxa"/>
            <w:vAlign w:val="bottom"/>
            <w:shd w:val="clear" w:color="auto" w:fill="CCCCCC"/>
          </w:tcPr>
          <w:p>
            <w:pPr>
              <w:spacing w:after="0"/>
              <w:rPr>
                <w:sz w:val="12"/>
                <w:szCs w:val="12"/>
                <w:color w:val="auto"/>
              </w:rPr>
            </w:pPr>
          </w:p>
        </w:tc>
        <w:tc>
          <w:tcPr>
            <w:tcW w:w="140" w:type="dxa"/>
            <w:vAlign w:val="bottom"/>
            <w:tcBorders>
              <w:bottom w:val="single" w:sz="8" w:color="auto"/>
            </w:tcBorders>
            <w:shd w:val="clear" w:color="auto" w:fill="CCCCCC"/>
          </w:tcPr>
          <w:p>
            <w:pPr>
              <w:spacing w:after="0"/>
              <w:rPr>
                <w:sz w:val="12"/>
                <w:szCs w:val="12"/>
                <w:color w:val="auto"/>
              </w:rPr>
            </w:pPr>
          </w:p>
        </w:tc>
        <w:tc>
          <w:tcPr>
            <w:tcW w:w="44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CCCC"/>
          </w:tcPr>
          <w:p>
            <w:pPr>
              <w:spacing w:after="0"/>
              <w:rPr>
                <w:sz w:val="12"/>
                <w:szCs w:val="12"/>
                <w:color w:val="auto"/>
              </w:rPr>
            </w:pPr>
          </w:p>
        </w:tc>
        <w:tc>
          <w:tcPr>
            <w:tcW w:w="120" w:type="dxa"/>
            <w:vAlign w:val="bottom"/>
            <w:tcBorders>
              <w:bottom w:val="single" w:sz="8" w:color="auto"/>
            </w:tcBorders>
            <w:shd w:val="clear" w:color="auto" w:fill="CCCCCC"/>
          </w:tcPr>
          <w:p>
            <w:pPr>
              <w:spacing w:after="0"/>
              <w:rPr>
                <w:sz w:val="12"/>
                <w:szCs w:val="12"/>
                <w:color w:val="auto"/>
              </w:rPr>
            </w:pPr>
          </w:p>
        </w:tc>
        <w:tc>
          <w:tcPr>
            <w:tcW w:w="46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200"/>
              <w:spacing w:after="0" w:line="155" w:lineRule="exact"/>
              <w:rPr>
                <w:sz w:val="20"/>
                <w:szCs w:val="20"/>
                <w:color w:val="auto"/>
              </w:rPr>
            </w:pPr>
            <w:r>
              <w:rPr>
                <w:rFonts w:ascii="Arial" w:cs="Arial" w:eastAsia="Arial" w:hAnsi="Arial"/>
                <w:sz w:val="14"/>
                <w:szCs w:val="14"/>
                <w:color w:val="auto"/>
              </w:rPr>
              <w:t>Total operating and nonoperating special items, net of income taxes (a)</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9"/>
              </w:rPr>
              <w:t>(2,613)</w:t>
            </w: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507</w:t>
            </w:r>
          </w:p>
        </w:tc>
        <w:tc>
          <w:tcPr>
            <w:tcW w:w="62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Net income excluding operating and nonoperating special items, net and reflecting Hedge Program Adjustments (millions):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Net income—GAAP</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7,340</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1,132</w:t>
            </w:r>
          </w:p>
        </w:tc>
        <w:tc>
          <w:tcPr>
            <w:tcW w:w="72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571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Operating and nonoperating special items, net</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(2,613)</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ind w:left="200"/>
              <w:spacing w:after="0" w:line="149" w:lineRule="exact"/>
              <w:rPr>
                <w:sz w:val="20"/>
                <w:szCs w:val="20"/>
                <w:color w:val="auto"/>
              </w:rPr>
            </w:pPr>
            <w:r>
              <w:rPr>
                <w:rFonts w:ascii="Arial" w:cs="Arial" w:eastAsia="Arial" w:hAnsi="Arial"/>
                <w:sz w:val="14"/>
                <w:szCs w:val="14"/>
                <w:color w:val="auto"/>
              </w:rPr>
              <w:t>MTM (gains) losses from fuel derivative contracts settling in future periods</w:t>
            </w:r>
          </w:p>
        </w:tc>
        <w:tc>
          <w:tcPr>
            <w:tcW w:w="100" w:type="dxa"/>
            <w:vAlign w:val="bottom"/>
            <w:shd w:val="clear" w:color="auto" w:fill="CCCCCC"/>
          </w:tcPr>
          <w:p>
            <w:pPr>
              <w:spacing w:after="0"/>
              <w:rPr>
                <w:sz w:val="12"/>
                <w:szCs w:val="12"/>
                <w:color w:val="auto"/>
              </w:rPr>
            </w:pPr>
          </w:p>
        </w:tc>
        <w:tc>
          <w:tcPr>
            <w:tcW w:w="1080" w:type="dxa"/>
            <w:vAlign w:val="bottom"/>
            <w:gridSpan w:val="2"/>
            <w:shd w:val="clear" w:color="auto" w:fill="CCCCCC"/>
          </w:tcPr>
          <w:p>
            <w:pPr>
              <w:jc w:val="right"/>
              <w:ind w:right="60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244</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Prior period gains (losses) on fuel derivative contracts settled in the current period</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(241)</w:t>
            </w: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w:t>
            </w: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Net income excluding operating and nonoperating special items, net and reflecting Hedge Program Adjustments—Non-GAAP</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4,478</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1,966</w:t>
            </w:r>
          </w:p>
        </w:tc>
        <w:tc>
          <w:tcPr>
            <w:tcW w:w="72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1,039</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Diluted earnings per share excluding operating and nonoperating special items, net and reflecting Hedge Program Adjustments—Non-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GAAP</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Diluted earnings per share—GAAP</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19.47</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2.93</w:t>
            </w:r>
          </w:p>
        </w:tc>
        <w:tc>
          <w:tcPr>
            <w:tcW w:w="72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Operating and nonoperating special items, net</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(6.93)</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ind w:left="200"/>
              <w:spacing w:after="0" w:line="149" w:lineRule="exact"/>
              <w:rPr>
                <w:sz w:val="20"/>
                <w:szCs w:val="20"/>
                <w:color w:val="auto"/>
              </w:rPr>
            </w:pPr>
            <w:r>
              <w:rPr>
                <w:rFonts w:ascii="Arial" w:cs="Arial" w:eastAsia="Arial" w:hAnsi="Arial"/>
                <w:sz w:val="14"/>
                <w:szCs w:val="14"/>
                <w:color w:val="auto"/>
              </w:rPr>
              <w:t>MTM (gains) losses from fuel derivative contracts settling in future periods</w:t>
            </w:r>
          </w:p>
        </w:tc>
        <w:tc>
          <w:tcPr>
            <w:tcW w:w="100" w:type="dxa"/>
            <w:vAlign w:val="bottom"/>
            <w:shd w:val="clear" w:color="auto" w:fill="CCCCCC"/>
          </w:tcPr>
          <w:p>
            <w:pPr>
              <w:spacing w:after="0"/>
              <w:rPr>
                <w:sz w:val="12"/>
                <w:szCs w:val="12"/>
                <w:color w:val="auto"/>
              </w:rPr>
            </w:pPr>
          </w:p>
        </w:tc>
        <w:tc>
          <w:tcPr>
            <w:tcW w:w="1080" w:type="dxa"/>
            <w:vAlign w:val="bottom"/>
            <w:gridSpan w:val="2"/>
            <w:shd w:val="clear" w:color="auto" w:fill="CCCCCC"/>
          </w:tcPr>
          <w:p>
            <w:pPr>
              <w:jc w:val="right"/>
              <w:ind w:right="600"/>
              <w:spacing w:after="0" w:line="149" w:lineRule="exact"/>
              <w:rPr>
                <w:sz w:val="20"/>
                <w:szCs w:val="20"/>
                <w:color w:val="auto"/>
              </w:rPr>
            </w:pPr>
            <w:r>
              <w:rPr>
                <w:rFonts w:ascii="Arial" w:cs="Arial" w:eastAsia="Arial" w:hAnsi="Arial"/>
                <w:sz w:val="14"/>
                <w:szCs w:val="14"/>
                <w:color w:val="auto"/>
              </w:rPr>
              <w:t>(0.02)</w:t>
            </w: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0.62</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(0.21)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Prior period gains (losses) on fuel derivative contracts settled in the current period</w:t>
            </w:r>
          </w:p>
        </w:tc>
        <w:tc>
          <w:tcPr>
            <w:tcW w:w="1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(0.64)</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ind w:left="200"/>
              <w:spacing w:after="0" w:line="149" w:lineRule="exact"/>
              <w:rPr>
                <w:sz w:val="20"/>
                <w:szCs w:val="20"/>
                <w:color w:val="auto"/>
              </w:rPr>
            </w:pPr>
            <w:r>
              <w:rPr>
                <w:rFonts w:ascii="Arial" w:cs="Arial" w:eastAsia="Arial" w:hAnsi="Arial"/>
                <w:sz w:val="14"/>
                <w:szCs w:val="14"/>
                <w:color w:val="auto"/>
              </w:rPr>
              <w:t>Impact of dilution</w:t>
            </w:r>
          </w:p>
        </w:tc>
        <w:tc>
          <w:tcPr>
            <w:tcW w:w="100" w:type="dxa"/>
            <w:vAlign w:val="bottom"/>
            <w:tcBorders>
              <w:bottom w:val="single" w:sz="8" w:color="auto"/>
            </w:tcBorders>
            <w:shd w:val="clear" w:color="auto" w:fill="CCCCCC"/>
          </w:tcPr>
          <w:p>
            <w:pPr>
              <w:spacing w:after="0"/>
              <w:rPr>
                <w:sz w:val="12"/>
                <w:szCs w:val="12"/>
                <w:color w:val="auto"/>
              </w:rPr>
            </w:pPr>
          </w:p>
        </w:tc>
        <w:tc>
          <w:tcPr>
            <w:tcW w:w="4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4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0.01</w:t>
            </w:r>
          </w:p>
        </w:tc>
        <w:tc>
          <w:tcPr>
            <w:tcW w:w="620" w:type="dxa"/>
            <w:vAlign w:val="bottom"/>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4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w w:val="96"/>
              </w:rPr>
              <w:t>Diluted earnings per share excluding operating and nonoperating special items, net and reflecting Hedge Program Adjustments—Non-GAAP</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11.88</w:t>
            </w:r>
          </w:p>
        </w:tc>
        <w:tc>
          <w:tcPr>
            <w:tcW w:w="6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5.06</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CASM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(expense in millions, ASM in millions, CASM in cents)</w:t>
            </w:r>
          </w:p>
        </w:tc>
        <w:tc>
          <w:tcPr>
            <w:tcW w:w="100" w:type="dxa"/>
            <w:vAlign w:val="bottom"/>
          </w:tcPr>
          <w:p>
            <w:pPr>
              <w:spacing w:after="0"/>
              <w:rPr>
                <w:sz w:val="14"/>
                <w:szCs w:val="14"/>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top w:val="single" w:sz="8" w:color="CCCCCC"/>
            </w:tcBorders>
            <w:shd w:val="clear" w:color="auto" w:fill="CCCCCC"/>
          </w:tcPr>
          <w:p>
            <w:pPr>
              <w:spacing w:after="0" w:line="142" w:lineRule="exact"/>
              <w:rPr>
                <w:sz w:val="20"/>
                <w:szCs w:val="20"/>
                <w:color w:val="auto"/>
              </w:rPr>
            </w:pPr>
            <w:r>
              <w:rPr>
                <w:rFonts w:ascii="Arial" w:cs="Arial" w:eastAsia="Arial" w:hAnsi="Arial"/>
                <w:sz w:val="14"/>
                <w:szCs w:val="14"/>
                <w:color w:val="auto"/>
              </w:rPr>
              <w:t>Operating expense</w:t>
            </w:r>
          </w:p>
        </w:tc>
        <w:tc>
          <w:tcPr>
            <w:tcW w:w="100" w:type="dxa"/>
            <w:vAlign w:val="bottom"/>
            <w:tcBorders>
              <w:top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w w:val="97"/>
              </w:rPr>
              <w:t>32,698</w:t>
            </w:r>
          </w:p>
        </w:tc>
        <w:tc>
          <w:tcPr>
            <w:tcW w:w="600" w:type="dxa"/>
            <w:vAlign w:val="bottom"/>
            <w:tcBorders>
              <w:top w:val="single" w:sz="8" w:color="CCCCCC"/>
            </w:tcBorders>
            <w:shd w:val="clear" w:color="auto" w:fill="CCCCCC"/>
          </w:tcPr>
          <w:p>
            <w:pPr>
              <w:spacing w:after="0"/>
              <w:rPr>
                <w:sz w:val="12"/>
                <w:szCs w:val="12"/>
                <w:color w:val="auto"/>
              </w:rPr>
            </w:pPr>
          </w:p>
        </w:tc>
        <w:tc>
          <w:tcPr>
            <w:tcW w:w="100" w:type="dxa"/>
            <w:vAlign w:val="bottom"/>
            <w:tcBorders>
              <w:top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36,528</w:t>
            </w:r>
          </w:p>
        </w:tc>
        <w:tc>
          <w:tcPr>
            <w:tcW w:w="620" w:type="dxa"/>
            <w:vAlign w:val="bottom"/>
            <w:tcBorders>
              <w:top w:val="single" w:sz="8" w:color="CCCCCC"/>
            </w:tcBorders>
            <w:shd w:val="clear" w:color="auto" w:fill="CCCCCC"/>
          </w:tcPr>
          <w:p>
            <w:pPr>
              <w:spacing w:after="0"/>
              <w:rPr>
                <w:sz w:val="12"/>
                <w:szCs w:val="12"/>
                <w:color w:val="auto"/>
              </w:rPr>
            </w:pPr>
          </w:p>
        </w:tc>
        <w:tc>
          <w:tcPr>
            <w:tcW w:w="100" w:type="dxa"/>
            <w:vAlign w:val="bottom"/>
            <w:tcBorders>
              <w:top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w w:val="97"/>
              </w:rPr>
              <w:t>37,030</w:t>
            </w:r>
          </w:p>
        </w:tc>
        <w:tc>
          <w:tcPr>
            <w:tcW w:w="6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Special charges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Third-party business expenses</w:t>
            </w: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291</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534</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694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Aircraft fuel and related taxes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7,522</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11,675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7"/>
              </w:rPr>
              <w:t>12,345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Profit sharing</w:t>
            </w:r>
          </w:p>
        </w:tc>
        <w:tc>
          <w:tcPr>
            <w:tcW w:w="100" w:type="dxa"/>
            <w:vAlign w:val="bottom"/>
            <w:tcBorders>
              <w:bottom w:val="single" w:sz="8" w:color="auto"/>
            </w:tcBorders>
            <w:shd w:val="clear" w:color="auto" w:fill="CCCCCC"/>
          </w:tcPr>
          <w:p>
            <w:pPr>
              <w:spacing w:after="0"/>
              <w:rPr>
                <w:sz w:val="12"/>
                <w:szCs w:val="12"/>
                <w:color w:val="auto"/>
              </w:rPr>
            </w:pPr>
          </w:p>
        </w:tc>
        <w:tc>
          <w:tcPr>
            <w:tcW w:w="4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698</w:t>
            </w:r>
          </w:p>
        </w:tc>
        <w:tc>
          <w:tcPr>
            <w:tcW w:w="600" w:type="dxa"/>
            <w:vAlign w:val="bottom"/>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4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235</w:t>
            </w:r>
          </w:p>
        </w:tc>
        <w:tc>
          <w:tcPr>
            <w:tcW w:w="620" w:type="dxa"/>
            <w:vAlign w:val="bottom"/>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4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190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 excluding above items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7"/>
              </w:rPr>
              <w:t>23,861</w:t>
            </w:r>
          </w:p>
        </w:tc>
        <w:tc>
          <w:tcPr>
            <w:tcW w:w="6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23,641</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7"/>
              </w:rPr>
              <w:t>23,281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80" w:type="dxa"/>
            <w:vAlign w:val="bottom"/>
            <w:shd w:val="clear" w:color="auto" w:fill="CCCCCC"/>
          </w:tcPr>
          <w:p>
            <w:pPr>
              <w:spacing w:after="0" w:line="143" w:lineRule="exact"/>
              <w:rPr>
                <w:sz w:val="20"/>
                <w:szCs w:val="20"/>
                <w:color w:val="auto"/>
              </w:rPr>
            </w:pPr>
            <w:r>
              <w:rPr>
                <w:rFonts w:ascii="Arial" w:cs="Arial" w:eastAsia="Arial" w:hAnsi="Arial"/>
                <w:sz w:val="14"/>
                <w:szCs w:val="14"/>
                <w:color w:val="auto"/>
              </w:rPr>
              <w:t>ASMs—consolidated</w:t>
            </w: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3" w:lineRule="exact"/>
              <w:rPr>
                <w:sz w:val="20"/>
                <w:szCs w:val="20"/>
                <w:color w:val="auto"/>
              </w:rPr>
            </w:pPr>
            <w:r>
              <w:rPr>
                <w:rFonts w:ascii="Arial" w:cs="Arial" w:eastAsia="Arial" w:hAnsi="Arial"/>
                <w:sz w:val="14"/>
                <w:szCs w:val="14"/>
                <w:color w:val="auto"/>
                <w:w w:val="82"/>
              </w:rPr>
              <w:t>250,003</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3" w:lineRule="exact"/>
              <w:rPr>
                <w:sz w:val="20"/>
                <w:szCs w:val="20"/>
                <w:color w:val="auto"/>
              </w:rPr>
            </w:pPr>
            <w:r>
              <w:rPr>
                <w:rFonts w:ascii="Arial" w:cs="Arial" w:eastAsia="Arial" w:hAnsi="Arial"/>
                <w:sz w:val="14"/>
                <w:szCs w:val="14"/>
                <w:color w:val="auto"/>
                <w:w w:val="86"/>
              </w:rPr>
              <w:t>246,021</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3" w:lineRule="exact"/>
              <w:rPr>
                <w:sz w:val="20"/>
                <w:szCs w:val="20"/>
                <w:color w:val="auto"/>
              </w:rPr>
            </w:pPr>
            <w:r>
              <w:rPr>
                <w:rFonts w:ascii="Arial" w:cs="Arial" w:eastAsia="Arial" w:hAnsi="Arial"/>
                <w:sz w:val="14"/>
                <w:szCs w:val="14"/>
                <w:color w:val="auto"/>
                <w:w w:val="82"/>
              </w:rPr>
              <w:t>245,354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CASM</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13.08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CASM, excluding special charges</w:t>
            </w: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12.95</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14.67</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14.88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CASM, excluding special charges and third-party business expenses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14.45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CASM, excluding special charges, third-party business expenses and fuel</w:t>
            </w: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9.82</w:t>
            </w:r>
          </w:p>
        </w:tc>
        <w:tc>
          <w:tcPr>
            <w:tcW w:w="6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9.70</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9.57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80" w:type="dxa"/>
            <w:vAlign w:val="bottom"/>
          </w:tcPr>
          <w:p>
            <w:pPr>
              <w:spacing w:after="0"/>
              <w:rPr>
                <w:sz w:val="20"/>
                <w:szCs w:val="20"/>
                <w:color w:val="auto"/>
              </w:rPr>
            </w:pPr>
            <w:r>
              <w:rPr>
                <w:rFonts w:ascii="Arial" w:cs="Arial" w:eastAsia="Arial" w:hAnsi="Arial"/>
                <w:sz w:val="14"/>
                <w:szCs w:val="14"/>
                <w:color w:val="auto"/>
              </w:rPr>
              <w:t>CASM, excluding special charges, third-party business expenses, fuel and profit sharing</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(a)See Note 16 to the financial statements included in Part II, Item 8 of this report for additional information.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5" w:right="239" w:bottom="1440" w:gutter="0" w:footer="0" w:header="0"/>
        </w:sectPr>
      </w:pPr>
    </w:p>
    <w:bookmarkStart w:id="30" w:name="page31"/>
    <w:bookmarkEnd w:id="30"/>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United Continental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Financial Highlights</w:t>
      </w:r>
    </w:p>
    <w:p>
      <w:pPr>
        <w:spacing w:after="0" w:line="96" w:lineRule="exact"/>
        <w:rPr>
          <w:sz w:val="20"/>
          <w:szCs w:val="20"/>
          <w:color w:val="auto"/>
        </w:rPr>
      </w:pPr>
    </w:p>
    <w:p>
      <w:pPr>
        <w:ind w:left="800" w:right="140" w:hanging="454"/>
        <w:spacing w:after="0" w:line="25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2015 net income was $7.3 billion, or $19.47 diluted earnings per share, which reflects $3.1 billion of income tax benefits primarily due to the release of the income tax valuation allowance. Non-GAAP net income was $4.5 billion for 2015, or $11.88 diluted earnings per share, which excludes $2.6 billion of special items and reflects $249 million of Hedge Program Adjustments. See Part II, Item 6 of this report for a reconciliation of GAAP to Non-GAAP net income.</w:t>
      </w:r>
    </w:p>
    <w:p>
      <w:pPr>
        <w:spacing w:after="0" w:line="35"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United’s consolidated PRASM decreased 4.4% in 2015 compared to 2014.</w:t>
      </w:r>
    </w:p>
    <w:p>
      <w:pPr>
        <w:spacing w:after="0" w:line="63"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Aircraft fuel cost decreased 36% year-over-year due mainly to lower fuel prices.</w:t>
      </w:r>
    </w:p>
    <w:p>
      <w:pPr>
        <w:spacing w:after="0" w:line="63" w:lineRule="exact"/>
        <w:rPr>
          <w:rFonts w:ascii="Arial" w:cs="Arial" w:eastAsia="Arial" w:hAnsi="Arial"/>
          <w:sz w:val="18"/>
          <w:szCs w:val="18"/>
          <w:color w:val="auto"/>
        </w:rPr>
      </w:pPr>
    </w:p>
    <w:p>
      <w:pPr>
        <w:ind w:left="800" w:right="480" w:hanging="454"/>
        <w:spacing w:after="0" w:line="317"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2015 consolidated CASM, excluding special charges, third-party business expenses, fuel and profit sharing, decreased 0.7% year-over-year on a consolidated capacity increase of 1.6%. 2015 CASM, including those items, decreased 11.9% year-over-year.</w:t>
      </w:r>
    </w:p>
    <w:p>
      <w:pPr>
        <w:ind w:left="800" w:right="60" w:hanging="454"/>
        <w:spacing w:after="0" w:line="305"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used $1.2 billion of cash to purchase 21 million shares of its common stock during 2015 under its share repurchase programs. As of December 31, 2015, the Company has $2.4 billion remaining to spend under the 2015 Program. See Part II, Item 5, “Market for Registrant’s Common Equity, Related Stockholder Matters and Issuer Purchases of Equity Securities” of this report for additional information.</w:t>
      </w:r>
    </w:p>
    <w:p>
      <w:pPr>
        <w:ind w:left="800" w:right="420" w:hanging="454"/>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UAL ended the year with $6.5 billion in unrestricted liquidity, which consisted of unrestricted cash, cash equivalents, short-term investments and available capacity under the revolving credit facility of the Company’s Credit Agreement.</w:t>
      </w:r>
    </w:p>
    <w:p>
      <w:pPr>
        <w:spacing w:after="0" w:line="23" w:lineRule="exact"/>
        <w:rPr>
          <w:rFonts w:ascii="Arial" w:cs="Arial" w:eastAsia="Arial" w:hAnsi="Arial"/>
          <w:sz w:val="18"/>
          <w:szCs w:val="18"/>
          <w:color w:val="auto"/>
        </w:rPr>
      </w:pPr>
    </w:p>
    <w:p>
      <w:pPr>
        <w:ind w:left="800" w:hanging="454"/>
        <w:spacing w:after="0" w:line="291"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UAL, United and Mileage Plus Holdings, LLC, a wholly-owned subsidiary of UAL and United, entered into a Second Amended and Restated Co-Branded Card Marketing Services Agreement (the “Co-Brand Agreement”) with Chase Bank USA, N.A. (“Chase”), pursuant to which members of the Company’s MileagePlus</w:t>
      </w:r>
      <w:r>
        <w:rPr>
          <w:rFonts w:ascii="Arial" w:cs="Arial" w:eastAsia="Arial" w:hAnsi="Arial"/>
          <w:sz w:val="10"/>
          <w:szCs w:val="10"/>
          <w:color w:val="auto"/>
        </w:rPr>
        <w:t>®</w:t>
      </w:r>
      <w:r>
        <w:rPr>
          <w:rFonts w:ascii="Arial" w:cs="Arial" w:eastAsia="Arial" w:hAnsi="Arial"/>
          <w:sz w:val="16"/>
          <w:szCs w:val="16"/>
          <w:color w:val="auto"/>
        </w:rPr>
        <w:t xml:space="preserve"> loyalty program earn frequent flyer miles for making purchases using a MileagePlus</w:t>
      </w:r>
      <w:r>
        <w:rPr>
          <w:rFonts w:ascii="Arial" w:cs="Arial" w:eastAsia="Arial" w:hAnsi="Arial"/>
          <w:sz w:val="10"/>
          <w:szCs w:val="10"/>
          <w:color w:val="auto"/>
        </w:rPr>
        <w:t>®</w:t>
      </w:r>
      <w:r>
        <w:rPr>
          <w:rFonts w:ascii="Arial" w:cs="Arial" w:eastAsia="Arial" w:hAnsi="Arial"/>
          <w:sz w:val="16"/>
          <w:szCs w:val="16"/>
          <w:color w:val="auto"/>
        </w:rPr>
        <w:t xml:space="preserve"> credit card issued by Chase. The Co-Brand Agreement also provides for joint marketing and other support for the MileagePlus</w:t>
      </w:r>
      <w:r>
        <w:rPr>
          <w:rFonts w:ascii="Arial" w:cs="Arial" w:eastAsia="Arial" w:hAnsi="Arial"/>
          <w:sz w:val="10"/>
          <w:szCs w:val="10"/>
          <w:color w:val="auto"/>
        </w:rPr>
        <w:t>®</w:t>
      </w:r>
      <w:r>
        <w:rPr>
          <w:rFonts w:ascii="Arial" w:cs="Arial" w:eastAsia="Arial" w:hAnsi="Arial"/>
          <w:sz w:val="16"/>
          <w:szCs w:val="16"/>
          <w:color w:val="auto"/>
        </w:rPr>
        <w:t xml:space="preserve"> credit card. This increased 2015 operating revenues by approximately $200 million from the combined impact of the Co-Brand Agreement, agreements ancillary to the Co-Brand Agreement and updated accounting assumptions for accounting purposes.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Operational Highlights</w:t>
      </w:r>
    </w:p>
    <w:p>
      <w:pPr>
        <w:spacing w:after="0" w:line="96" w:lineRule="exact"/>
        <w:rPr>
          <w:sz w:val="20"/>
          <w:szCs w:val="20"/>
          <w:color w:val="auto"/>
        </w:rPr>
      </w:pPr>
    </w:p>
    <w:p>
      <w:pPr>
        <w:ind w:left="800" w:right="680" w:hanging="454"/>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RPMs for 2015 increased 1.5% as compared to 2014, and consolidated ASMs increased 1.6% from the prior year, resulting in a consolidated load factor of 83.4% in 2015.</w:t>
      </w:r>
    </w:p>
    <w:p>
      <w:pPr>
        <w:spacing w:after="0" w:line="23" w:lineRule="exact"/>
        <w:rPr>
          <w:rFonts w:ascii="Arial" w:cs="Arial" w:eastAsia="Arial" w:hAnsi="Arial"/>
          <w:sz w:val="18"/>
          <w:szCs w:val="18"/>
          <w:color w:val="auto"/>
        </w:rPr>
      </w:pPr>
    </w:p>
    <w:p>
      <w:pPr>
        <w:ind w:left="800" w:hanging="454"/>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2015 and 2014, the Company recorded a DOT on-time arrival rate of 78.1% and 76.0%, respectively, and a system completion factor of 98.7% and 98.6%,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1" w:name="page32"/>
    <w:bookmarkEnd w:id="31"/>
    <w:p>
      <w:pPr>
        <w:ind w:left="800" w:right="100" w:hanging="454"/>
        <w:spacing w:after="0" w:line="25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took delivery of 11 new Boeing 787-9 Dreamliners in 2015, bringing its total Dreamliner fleet to 25 aircraft. The Company also took delivery of 23 new Boeing 737-900ERs, 11 new Embraer E175s and four used Boeing 737-700 aircraft in 2015. United exited from scheduled service 13 Boeing 757-200s, 46 Embraer ERJ 145s and one Boeing 747-400. The Company also exited one Boeing 747-400 operating exclusively in charter service.</w:t>
      </w:r>
    </w:p>
    <w:p>
      <w:pPr>
        <w:spacing w:after="0" w:line="35" w:lineRule="exact"/>
        <w:rPr>
          <w:rFonts w:ascii="Arial" w:cs="Arial" w:eastAsia="Arial" w:hAnsi="Arial"/>
          <w:sz w:val="18"/>
          <w:szCs w:val="18"/>
          <w:color w:val="auto"/>
        </w:rPr>
      </w:pPr>
    </w:p>
    <w:p>
      <w:pPr>
        <w:ind w:left="800" w:right="40" w:hanging="454"/>
        <w:spacing w:after="0" w:line="298"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Effective March 1, 2015, the Company modified its MileagePlus program for most tickets from the prior model in which members earn redeemable miles based on distance traveled to the current model, which is based on ticket price (including base fare and carrier imposed surcharges). Members are now able to earn between five and eleven miles per dollar spent based on their MileagePlus status. The modified program enhances the rewards for customers who spend more with United and gives them improved mileage-earning opportunities.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Outlook</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Set forth below is a discussion of the principal matters that we believe could impact our financial and operating performance and cause our results of operations in future periods to differ materially from our historical operating results and/or from our anticipated results of operations described in the forward-looking statements in this report. See Item 1A., Risk Factors, of this report and the factors described under “Forward-Looking Information” below for additional discussion of these and other factors that could affect us.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committed to improving the efficiency and quality of all aspects of its business in 2016. Key initiatives for the year include improving our operational reliability and the handling of customers during irregular operations, such as adverse weather, refurbishing aircraft interiors, investing in our airports and taking delivery of more than 30 new, highly-efficient and customer-pleasing aircraft.</w:t>
      </w:r>
    </w:p>
    <w:p>
      <w:pPr>
        <w:spacing w:after="0" w:line="8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b w:val="1"/>
          <w:bCs w:val="1"/>
          <w:i w:val="1"/>
          <w:iCs w:val="1"/>
          <w:color w:val="auto"/>
        </w:rPr>
        <w:t xml:space="preserve">Economic Conditions. </w:t>
      </w:r>
      <w:r>
        <w:rPr>
          <w:rFonts w:ascii="Arial" w:cs="Arial" w:eastAsia="Arial" w:hAnsi="Arial"/>
          <w:sz w:val="15"/>
          <w:szCs w:val="15"/>
          <w:color w:val="auto"/>
        </w:rPr>
        <w:t>The economic outlook for the aviation industry in 2016 is characterized by expected slow or modest U.S. and global economic growth.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conditions, we expect a modest increase in the demand for air travel. Continuing economic uncertainty, along with the strengthening U.S. dollar, is providing uncertainty in key Asian and European markets, and along with continued political and socioeconomic tensions in regions such as the Middle East, may result in diminished demand for air travel. The global economy is also being impacted by declining oil prices, putting pressure on certain geographic markets.</w:t>
      </w:r>
    </w:p>
    <w:p>
      <w:pPr>
        <w:spacing w:after="0" w:line="4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Capacity. </w:t>
      </w:r>
      <w:r>
        <w:rPr>
          <w:rFonts w:ascii="Arial" w:cs="Arial" w:eastAsia="Arial" w:hAnsi="Arial"/>
          <w:sz w:val="18"/>
          <w:szCs w:val="18"/>
          <w:color w:val="auto"/>
        </w:rPr>
        <w:t>Over the past three years, the Company leveraged the flexibility of its fleet to better match capacity with market demand. In 2016, the Company expects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ASMs to grow between 1.5% and 2.5% year-over-year.</w:t>
      </w:r>
    </w:p>
    <w:p>
      <w:pPr>
        <w:spacing w:after="0" w:line="7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 xml:space="preserve">Fuel. </w:t>
      </w:r>
      <w:r>
        <w:rPr>
          <w:rFonts w:ascii="Arial" w:cs="Arial" w:eastAsia="Arial" w:hAnsi="Arial"/>
          <w:sz w:val="18"/>
          <w:szCs w:val="18"/>
          <w:color w:val="auto"/>
        </w:rPr>
        <w:t>The Company’s average aircraft fuel price per gallon including related taxes was $1.94 in 2015 as compared to $2.99 in 2014. Since 2014, the price of jet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fuel has declined and remains volatile. Based on projected fuel consumption in 2016, a one dollar change in the price of a barrel of crude oil would change the Company’s annual fuel expense by approximately $94 million. To protect against increases in the prices of aircraft fuel, the Company may hedge a portion of its future fuel requirements.</w:t>
      </w:r>
    </w:p>
    <w:p>
      <w:pPr>
        <w:spacing w:after="0" w:line="8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 xml:space="preserve">Labor. </w:t>
      </w:r>
      <w:r>
        <w:rPr>
          <w:rFonts w:ascii="Arial" w:cs="Arial" w:eastAsia="Arial" w:hAnsi="Arial"/>
          <w:sz w:val="16"/>
          <w:szCs w:val="16"/>
          <w:color w:val="auto"/>
        </w:rPr>
        <w:t>As of December 31, 2015, United had approximately 80% of employees represented by unions. We are in the process of negotiating joint collective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bargaining agreements with our technicians and flight attendants and negotiating extensions to the IAM represented employees’ agreements. The Company cannot predict the outcome of negotiations with its unionized employee groups, although significant increases in the pay and benefits resulting from new collective bargaining agreements would have a material financial impact on the Company. The cost associated with the ratification of the pilots’ agreement will add an additional approximate 1.5 points of non-fuel unit cost in both the first-quarter and full-year 2016 versus 2015.</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CASM. </w:t>
      </w:r>
      <w:r>
        <w:rPr>
          <w:rFonts w:ascii="Arial" w:cs="Arial" w:eastAsia="Arial" w:hAnsi="Arial"/>
          <w:sz w:val="18"/>
          <w:szCs w:val="18"/>
          <w:color w:val="auto"/>
        </w:rPr>
        <w:t>In 2016, the Company expects CASM, excluding fuel, third-party business expense, profit sharing, special charges and the impact of the recently ratified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pilot agreement to be up between 0.5% and 1.5% year-over-year. We are unable to project CASM on a GAAP basis as the nature and amount of special charges are not determinable at this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cost initiative project that began in 2014 has a goal to reduce the Company’s annual costs by $2 billion and generate an incremental $700 million in additional ancillary revenue by the end of 2017. The anticipated savings are comprised of $1 billion in annual fuel savings, based on fuel prices in 2013, and $1 billion of non-fuel savings. In 2015, the Company achieved approximately $555 million in fuel savings and $851 million in non-fuel savings.</w:t>
      </w:r>
    </w:p>
    <w:p>
      <w:pPr>
        <w:spacing w:after="0" w:line="5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anticipates its effective tax rate will be approximately 37%, which reflects a more normalized rate after the release of the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valuation allowance in 2015 and is based on the Company’s relative mix of domestic, foreign and state income tax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this section, we compare results of operations for the year ended December 31, 2015 with results of operations for the year ended December 31, 2014, and results of operations for the year ended December 31, 2014 with results of operations for the year ended December 31, 2013. Non-GAAP financial measures are presented because they provide management and investors with the ability to measure and monitor the Company’s performance on a consistent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table below illustrates the year-over-year percentage change in the Company’s operating revenues for the years ended December 31 (in millions, except percentage changes):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w w:val="95"/>
              </w:rPr>
              <w:t>Increase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2015</w:t>
            </w:r>
          </w:p>
        </w:tc>
        <w:tc>
          <w:tcPr>
            <w:tcW w:w="18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118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 Change</w:t>
            </w:r>
          </w:p>
        </w:tc>
        <w:tc>
          <w:tcPr>
            <w:tcW w:w="0" w:type="dxa"/>
            <w:vAlign w:val="bottom"/>
          </w:tcPr>
          <w:p>
            <w:pPr>
              <w:spacing w:after="0"/>
              <w:rPr>
                <w:sz w:val="1"/>
                <w:szCs w:val="1"/>
                <w:color w:val="auto"/>
              </w:rPr>
            </w:pPr>
          </w:p>
        </w:tc>
      </w:tr>
      <w:tr>
        <w:trPr>
          <w:trHeight w:val="212"/>
        </w:trPr>
        <w:tc>
          <w:tcPr>
            <w:tcW w:w="496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Passenger—Mainline</w:t>
            </w:r>
          </w:p>
        </w:tc>
        <w:tc>
          <w:tcPr>
            <w:tcW w:w="6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9"/>
              </w:rPr>
              <w:t>$26,333</w:t>
            </w:r>
          </w:p>
        </w:tc>
        <w:tc>
          <w:tcPr>
            <w:tcW w:w="116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2"/>
              </w:rPr>
              <w:t>$26,785</w:t>
            </w:r>
          </w:p>
        </w:tc>
        <w:tc>
          <w:tcPr>
            <w:tcW w:w="118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(452)</w:t>
            </w:r>
          </w:p>
        </w:tc>
        <w:tc>
          <w:tcPr>
            <w:tcW w:w="1000" w:type="dxa"/>
            <w:vAlign w:val="bottom"/>
            <w:tcBorders>
              <w:top w:val="single" w:sz="8" w:color="CCCCCC"/>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Passenger—Regional</w:t>
            </w:r>
          </w:p>
        </w:tc>
        <w:tc>
          <w:tcPr>
            <w:tcW w:w="660" w:type="dxa"/>
            <w:vAlign w:val="bottom"/>
          </w:tcPr>
          <w:p>
            <w:pPr>
              <w:jc w:val="right"/>
              <w:spacing w:after="0"/>
              <w:rPr>
                <w:sz w:val="20"/>
                <w:szCs w:val="20"/>
                <w:color w:val="auto"/>
              </w:rPr>
            </w:pPr>
            <w:r>
              <w:rPr>
                <w:rFonts w:ascii="Arial" w:cs="Arial" w:eastAsia="Arial" w:hAnsi="Arial"/>
                <w:sz w:val="18"/>
                <w:szCs w:val="18"/>
                <w:color w:val="auto"/>
              </w:rPr>
              <w:t>6,452</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6,977</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(525)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Total passenger revenue</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32,785</w:t>
            </w:r>
          </w:p>
        </w:tc>
        <w:tc>
          <w:tcPr>
            <w:tcW w:w="11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33,762</w:t>
            </w: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600" w:type="dxa"/>
            <w:vAlign w:val="bottom"/>
            <w:gridSpan w:val="2"/>
            <w:shd w:val="clear" w:color="auto" w:fill="CCCCCC"/>
          </w:tcPr>
          <w:p>
            <w:pPr>
              <w:jc w:val="right"/>
              <w:ind w:right="1000"/>
              <w:spacing w:after="0"/>
              <w:rPr>
                <w:sz w:val="20"/>
                <w:szCs w:val="20"/>
                <w:color w:val="auto"/>
              </w:rPr>
            </w:pPr>
            <w:r>
              <w:rPr>
                <w:rFonts w:ascii="Arial" w:cs="Arial" w:eastAsia="Arial" w:hAnsi="Arial"/>
                <w:sz w:val="18"/>
                <w:szCs w:val="18"/>
                <w:color w:val="auto"/>
              </w:rPr>
              <w:t>(977)</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Cargo</w:t>
            </w:r>
          </w:p>
        </w:tc>
        <w:tc>
          <w:tcPr>
            <w:tcW w:w="660" w:type="dxa"/>
            <w:vAlign w:val="bottom"/>
          </w:tcPr>
          <w:p>
            <w:pPr>
              <w:jc w:val="right"/>
              <w:spacing w:after="0"/>
              <w:rPr>
                <w:sz w:val="20"/>
                <w:szCs w:val="20"/>
                <w:color w:val="auto"/>
              </w:rPr>
            </w:pPr>
            <w:r>
              <w:rPr>
                <w:rFonts w:ascii="Arial" w:cs="Arial" w:eastAsia="Arial" w:hAnsi="Arial"/>
                <w:sz w:val="18"/>
                <w:szCs w:val="18"/>
                <w:color w:val="auto"/>
              </w:rPr>
              <w:t>937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60" w:type="dxa"/>
            <w:vAlign w:val="bottom"/>
            <w:shd w:val="clear" w:color="auto" w:fill="CCCCCC"/>
          </w:tcPr>
          <w:p>
            <w:pPr>
              <w:spacing w:after="0"/>
              <w:rPr>
                <w:sz w:val="20"/>
                <w:szCs w:val="20"/>
                <w:color w:val="auto"/>
              </w:rPr>
            </w:pPr>
            <w:r>
              <w:rPr>
                <w:rFonts w:ascii="Arial" w:cs="Arial" w:eastAsia="Arial" w:hAnsi="Arial"/>
                <w:sz w:val="18"/>
                <w:szCs w:val="18"/>
                <w:color w:val="auto"/>
              </w:rPr>
              <w:t>Other operating revenue</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4,142</w:t>
            </w:r>
          </w:p>
        </w:tc>
        <w:tc>
          <w:tcPr>
            <w:tcW w:w="116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4,201</w:t>
            </w: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600" w:type="dxa"/>
            <w:vAlign w:val="bottom"/>
            <w:gridSpan w:val="2"/>
            <w:shd w:val="clear" w:color="auto" w:fill="CCCCCC"/>
          </w:tcPr>
          <w:p>
            <w:pPr>
              <w:jc w:val="right"/>
              <w:ind w:right="1000"/>
              <w:spacing w:after="0"/>
              <w:rPr>
                <w:sz w:val="20"/>
                <w:szCs w:val="20"/>
                <w:color w:val="auto"/>
              </w:rPr>
            </w:pPr>
            <w:r>
              <w:rPr>
                <w:rFonts w:ascii="Arial" w:cs="Arial" w:eastAsia="Arial" w:hAnsi="Arial"/>
                <w:sz w:val="18"/>
                <w:szCs w:val="18"/>
                <w:color w:val="auto"/>
              </w:rPr>
              <w:t>(59)</w:t>
            </w:r>
          </w:p>
        </w:tc>
        <w:tc>
          <w:tcPr>
            <w:tcW w:w="1000" w:type="dxa"/>
            <w:vAlign w:val="bottom"/>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22"/>
        </w:trPr>
        <w:tc>
          <w:tcPr>
            <w:tcW w:w="4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2"/>
              </w:rPr>
              <w:t>$ 37,864</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$ 38,901</w:t>
            </w:r>
          </w:p>
        </w:tc>
        <w:tc>
          <w:tcPr>
            <w:tcW w:w="1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(1,037)</w:t>
            </w: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below presents the Company’s selected passenger revenue and selected operating data based on geographic region (regional flights consist primarily of domestic routes):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Increase (decrease) in 2015 from 2014 (a):</w:t>
            </w: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Domestic</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Pacific</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Atlantic</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Latin</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Mainline</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Regional</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Consolidated</w:t>
            </w:r>
          </w:p>
        </w:tc>
      </w:tr>
      <w:tr>
        <w:trPr>
          <w:trHeight w:val="210"/>
        </w:trPr>
        <w:tc>
          <w:tcPr>
            <w:tcW w:w="3920" w:type="dxa"/>
            <w:vAlign w:val="bottom"/>
            <w:tcBorders>
              <w:top w:val="single" w:sz="8" w:color="CCCCCC"/>
            </w:tcBorders>
            <w:shd w:val="clear" w:color="auto" w:fill="CCCCCC"/>
          </w:tcPr>
          <w:p>
            <w:pPr>
              <w:spacing w:after="0" w:line="202" w:lineRule="exact"/>
              <w:rPr>
                <w:sz w:val="20"/>
                <w:szCs w:val="20"/>
                <w:color w:val="auto"/>
              </w:rPr>
            </w:pPr>
            <w:r>
              <w:rPr>
                <w:rFonts w:ascii="Arial" w:cs="Arial" w:eastAsia="Arial" w:hAnsi="Arial"/>
                <w:sz w:val="18"/>
                <w:szCs w:val="18"/>
                <w:color w:val="auto"/>
              </w:rPr>
              <w:t>Passenger revenue (in millions)</w:t>
            </w:r>
          </w:p>
        </w:tc>
        <w:tc>
          <w:tcPr>
            <w:tcW w:w="740" w:type="dxa"/>
            <w:vAlign w:val="bottom"/>
            <w:tcBorders>
              <w:top w:val="single" w:sz="8" w:color="auto"/>
            </w:tcBorders>
            <w:shd w:val="clear" w:color="auto" w:fill="CCCCCC"/>
          </w:tcPr>
          <w:p>
            <w:pPr>
              <w:jc w:val="right"/>
              <w:ind w:right="74"/>
              <w:spacing w:after="0"/>
              <w:rPr>
                <w:sz w:val="20"/>
                <w:szCs w:val="20"/>
                <w:color w:val="auto"/>
              </w:rPr>
            </w:pPr>
            <w:r>
              <w:rPr>
                <w:rFonts w:ascii="Arial" w:cs="Arial" w:eastAsia="Arial" w:hAnsi="Arial"/>
                <w:sz w:val="18"/>
                <w:szCs w:val="18"/>
                <w:color w:val="auto"/>
              </w:rPr>
              <w:t>$  132</w:t>
            </w:r>
          </w:p>
        </w:tc>
        <w:tc>
          <w:tcPr>
            <w:tcW w:w="38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ind w:right="54"/>
              <w:spacing w:after="0"/>
              <w:rPr>
                <w:sz w:val="20"/>
                <w:szCs w:val="20"/>
                <w:color w:val="auto"/>
              </w:rPr>
            </w:pPr>
            <w:r>
              <w:rPr>
                <w:rFonts w:ascii="Arial" w:cs="Arial" w:eastAsia="Arial" w:hAnsi="Arial"/>
                <w:sz w:val="18"/>
                <w:szCs w:val="18"/>
                <w:color w:val="auto"/>
                <w:w w:val="96"/>
              </w:rPr>
              <w:t>$(331)</w:t>
            </w:r>
          </w:p>
        </w:tc>
        <w:tc>
          <w:tcPr>
            <w:tcW w:w="38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ind w:right="56"/>
              <w:spacing w:after="0"/>
              <w:rPr>
                <w:sz w:val="20"/>
                <w:szCs w:val="20"/>
                <w:color w:val="auto"/>
              </w:rPr>
            </w:pPr>
            <w:r>
              <w:rPr>
                <w:rFonts w:ascii="Arial" w:cs="Arial" w:eastAsia="Arial" w:hAnsi="Arial"/>
                <w:sz w:val="18"/>
                <w:szCs w:val="18"/>
                <w:color w:val="auto"/>
                <w:w w:val="96"/>
              </w:rPr>
              <w:t>$(159)</w:t>
            </w:r>
          </w:p>
        </w:tc>
        <w:tc>
          <w:tcPr>
            <w:tcW w:w="380" w:type="dxa"/>
            <w:vAlign w:val="bottom"/>
            <w:tcBorders>
              <w:top w:val="single" w:sz="8" w:color="CCCCCC"/>
            </w:tcBorders>
            <w:shd w:val="clear" w:color="auto" w:fill="CCCCCC"/>
          </w:tcPr>
          <w:p>
            <w:pPr>
              <w:spacing w:after="0"/>
              <w:rPr>
                <w:sz w:val="18"/>
                <w:szCs w:val="18"/>
                <w:color w:val="auto"/>
              </w:rPr>
            </w:pPr>
          </w:p>
        </w:tc>
        <w:tc>
          <w:tcPr>
            <w:tcW w:w="700" w:type="dxa"/>
            <w:vAlign w:val="bottom"/>
            <w:tcBorders>
              <w:top w:val="single" w:sz="8" w:color="auto"/>
            </w:tcBorders>
            <w:shd w:val="clear" w:color="auto" w:fill="CCCCCC"/>
          </w:tcPr>
          <w:p>
            <w:pPr>
              <w:jc w:val="right"/>
              <w:ind w:right="34"/>
              <w:spacing w:after="0"/>
              <w:rPr>
                <w:sz w:val="20"/>
                <w:szCs w:val="20"/>
                <w:color w:val="auto"/>
              </w:rPr>
            </w:pPr>
            <w:r>
              <w:rPr>
                <w:rFonts w:ascii="Arial" w:cs="Arial" w:eastAsia="Arial" w:hAnsi="Arial"/>
                <w:sz w:val="18"/>
                <w:szCs w:val="18"/>
                <w:color w:val="auto"/>
              </w:rPr>
              <w:t>$  (94)</w:t>
            </w:r>
          </w:p>
        </w:tc>
        <w:tc>
          <w:tcPr>
            <w:tcW w:w="380" w:type="dxa"/>
            <w:vAlign w:val="bottom"/>
            <w:tcBorders>
              <w:top w:val="single" w:sz="8" w:color="CCCCCC"/>
            </w:tcBorders>
            <w:shd w:val="clear" w:color="auto" w:fill="CCCCCC"/>
          </w:tcPr>
          <w:p>
            <w:pPr>
              <w:spacing w:after="0"/>
              <w:rPr>
                <w:sz w:val="18"/>
                <w:szCs w:val="18"/>
                <w:color w:val="auto"/>
              </w:rPr>
            </w:pPr>
          </w:p>
        </w:tc>
        <w:tc>
          <w:tcPr>
            <w:tcW w:w="760" w:type="dxa"/>
            <w:vAlign w:val="bottom"/>
            <w:tcBorders>
              <w:top w:val="single" w:sz="8" w:color="auto"/>
            </w:tcBorders>
            <w:shd w:val="clear" w:color="auto" w:fill="CCCCCC"/>
          </w:tcPr>
          <w:p>
            <w:pPr>
              <w:jc w:val="right"/>
              <w:ind w:right="36"/>
              <w:spacing w:after="0"/>
              <w:rPr>
                <w:sz w:val="20"/>
                <w:szCs w:val="20"/>
                <w:color w:val="auto"/>
              </w:rPr>
            </w:pPr>
            <w:r>
              <w:rPr>
                <w:rFonts w:ascii="Arial" w:cs="Arial" w:eastAsia="Arial" w:hAnsi="Arial"/>
                <w:sz w:val="18"/>
                <w:szCs w:val="18"/>
                <w:color w:val="auto"/>
              </w:rPr>
              <w:t>$ (452)</w:t>
            </w:r>
          </w:p>
        </w:tc>
        <w:tc>
          <w:tcPr>
            <w:tcW w:w="380" w:type="dxa"/>
            <w:vAlign w:val="bottom"/>
            <w:tcBorders>
              <w:top w:val="single" w:sz="8" w:color="CCCCCC"/>
            </w:tcBorders>
            <w:shd w:val="clear" w:color="auto" w:fill="CCCCCC"/>
          </w:tcPr>
          <w:p>
            <w:pPr>
              <w:spacing w:after="0"/>
              <w:rPr>
                <w:sz w:val="18"/>
                <w:szCs w:val="18"/>
                <w:color w:val="auto"/>
              </w:rPr>
            </w:pPr>
          </w:p>
        </w:tc>
        <w:tc>
          <w:tcPr>
            <w:tcW w:w="720" w:type="dxa"/>
            <w:vAlign w:val="bottom"/>
            <w:tcBorders>
              <w:top w:val="single" w:sz="8" w:color="auto"/>
            </w:tcBorders>
            <w:shd w:val="clear" w:color="auto" w:fill="CCCCCC"/>
          </w:tcPr>
          <w:p>
            <w:pPr>
              <w:jc w:val="right"/>
              <w:ind w:right="54"/>
              <w:spacing w:after="0"/>
              <w:rPr>
                <w:sz w:val="20"/>
                <w:szCs w:val="20"/>
                <w:color w:val="auto"/>
              </w:rPr>
            </w:pPr>
            <w:r>
              <w:rPr>
                <w:rFonts w:ascii="Arial" w:cs="Arial" w:eastAsia="Arial" w:hAnsi="Arial"/>
                <w:sz w:val="18"/>
                <w:szCs w:val="18"/>
                <w:color w:val="auto"/>
                <w:w w:val="98"/>
              </w:rPr>
              <w:t>$ (525)</w:t>
            </w:r>
          </w:p>
        </w:tc>
        <w:tc>
          <w:tcPr>
            <w:tcW w:w="280" w:type="dxa"/>
            <w:vAlign w:val="bottom"/>
            <w:tcBorders>
              <w:top w:val="single" w:sz="8" w:color="CCCCCC"/>
            </w:tcBorders>
            <w:shd w:val="clear" w:color="auto" w:fill="CCCCCC"/>
          </w:tcPr>
          <w:p>
            <w:pPr>
              <w:spacing w:after="0"/>
              <w:rPr>
                <w:sz w:val="18"/>
                <w:szCs w:val="18"/>
                <w:color w:val="auto"/>
              </w:rPr>
            </w:pPr>
          </w:p>
        </w:tc>
        <w:tc>
          <w:tcPr>
            <w:tcW w:w="300" w:type="dxa"/>
            <w:vAlign w:val="bottom"/>
            <w:tcBorders>
              <w:top w:val="single" w:sz="8" w:color="auto"/>
            </w:tcBorders>
            <w:shd w:val="clear" w:color="auto" w:fill="CCCCCC"/>
          </w:tcPr>
          <w:p>
            <w:pPr>
              <w:jc w:val="right"/>
              <w:ind w:right="8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CCCC"/>
          </w:tcPr>
          <w:p>
            <w:pPr>
              <w:jc w:val="right"/>
              <w:ind w:right="52"/>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Passenger revenue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1.0 %</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3920" w:type="dxa"/>
            <w:vAlign w:val="bottom"/>
            <w:shd w:val="clear" w:color="auto" w:fill="CCCCCC"/>
          </w:tcPr>
          <w:p>
            <w:pPr>
              <w:spacing w:after="0"/>
              <w:rPr>
                <w:sz w:val="20"/>
                <w:szCs w:val="20"/>
                <w:color w:val="auto"/>
              </w:rPr>
            </w:pPr>
            <w:r>
              <w:rPr>
                <w:rFonts w:ascii="Arial" w:cs="Arial" w:eastAsia="Arial" w:hAnsi="Arial"/>
                <w:sz w:val="18"/>
                <w:szCs w:val="18"/>
                <w:color w:val="auto"/>
              </w:rPr>
              <w:t>Average fare per passenger</w:t>
            </w:r>
          </w:p>
        </w:tc>
        <w:tc>
          <w:tcPr>
            <w:tcW w:w="112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CCCC"/>
          </w:tcPr>
          <w:p>
            <w:pPr>
              <w:spacing w:after="0"/>
              <w:rPr>
                <w:sz w:val="18"/>
                <w:szCs w:val="18"/>
                <w:color w:val="auto"/>
              </w:rPr>
            </w:pPr>
          </w:p>
        </w:tc>
        <w:tc>
          <w:tcPr>
            <w:tcW w:w="108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(10.2)%</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CCCC"/>
          </w:tcPr>
          <w:p>
            <w:pPr>
              <w:spacing w:after="0"/>
              <w:rPr>
                <w:sz w:val="18"/>
                <w:szCs w:val="18"/>
                <w:color w:val="auto"/>
              </w:rPr>
            </w:pPr>
          </w:p>
        </w:tc>
        <w:tc>
          <w:tcPr>
            <w:tcW w:w="1000" w:type="dxa"/>
            <w:vAlign w:val="bottom"/>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CCCC"/>
          </w:tcPr>
          <w:p>
            <w:pPr>
              <w:spacing w:after="0"/>
              <w:rPr>
                <w:sz w:val="18"/>
                <w:szCs w:val="18"/>
                <w:color w:val="auto"/>
              </w:rPr>
            </w:pPr>
          </w:p>
        </w:tc>
        <w:tc>
          <w:tcPr>
            <w:tcW w:w="7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Yield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3920" w:type="dxa"/>
            <w:vAlign w:val="bottom"/>
            <w:shd w:val="clear" w:color="auto" w:fill="CCCCCC"/>
          </w:tcPr>
          <w:p>
            <w:pPr>
              <w:spacing w:after="0"/>
              <w:rPr>
                <w:sz w:val="20"/>
                <w:szCs w:val="20"/>
                <w:color w:val="auto"/>
              </w:rPr>
            </w:pPr>
            <w:r>
              <w:rPr>
                <w:rFonts w:ascii="Arial" w:cs="Arial" w:eastAsia="Arial" w:hAnsi="Arial"/>
                <w:sz w:val="18"/>
                <w:szCs w:val="18"/>
                <w:color w:val="auto"/>
              </w:rPr>
              <w:t>PRASM</w:t>
            </w:r>
          </w:p>
        </w:tc>
        <w:tc>
          <w:tcPr>
            <w:tcW w:w="112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(9.2)%</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CCCC"/>
          </w:tcPr>
          <w:p>
            <w:pPr>
              <w:spacing w:after="0"/>
              <w:rPr>
                <w:sz w:val="18"/>
                <w:szCs w:val="18"/>
                <w:color w:val="auto"/>
              </w:rPr>
            </w:pPr>
          </w:p>
        </w:tc>
        <w:tc>
          <w:tcPr>
            <w:tcW w:w="108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(11.3)%</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CCCC"/>
          </w:tcPr>
          <w:p>
            <w:pPr>
              <w:spacing w:after="0"/>
              <w:rPr>
                <w:sz w:val="18"/>
                <w:szCs w:val="18"/>
                <w:color w:val="auto"/>
              </w:rPr>
            </w:pPr>
          </w:p>
        </w:tc>
        <w:tc>
          <w:tcPr>
            <w:tcW w:w="1000" w:type="dxa"/>
            <w:vAlign w:val="bottom"/>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CCCC"/>
          </w:tcPr>
          <w:p>
            <w:pPr>
              <w:spacing w:after="0"/>
              <w:rPr>
                <w:sz w:val="18"/>
                <w:szCs w:val="18"/>
                <w:color w:val="auto"/>
              </w:rPr>
            </w:pPr>
          </w:p>
        </w:tc>
        <w:tc>
          <w:tcPr>
            <w:tcW w:w="7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Average stage length</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3.9 %</w:t>
            </w: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c>
          <w:tcPr>
            <w:tcW w:w="3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1.1 %</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0.4 %</w:t>
            </w:r>
          </w:p>
        </w:tc>
      </w:tr>
      <w:tr>
        <w:trPr>
          <w:trHeight w:val="216"/>
        </w:trPr>
        <w:tc>
          <w:tcPr>
            <w:tcW w:w="3920" w:type="dxa"/>
            <w:vAlign w:val="bottom"/>
            <w:shd w:val="clear" w:color="auto" w:fill="CCCCCC"/>
          </w:tcPr>
          <w:p>
            <w:pPr>
              <w:spacing w:after="0"/>
              <w:rPr>
                <w:sz w:val="20"/>
                <w:szCs w:val="20"/>
                <w:color w:val="auto"/>
              </w:rPr>
            </w:pPr>
            <w:r>
              <w:rPr>
                <w:rFonts w:ascii="Arial" w:cs="Arial" w:eastAsia="Arial" w:hAnsi="Arial"/>
                <w:sz w:val="18"/>
                <w:szCs w:val="18"/>
                <w:color w:val="auto"/>
              </w:rPr>
              <w:t>Passengers</w:t>
            </w:r>
          </w:p>
        </w:tc>
        <w:tc>
          <w:tcPr>
            <w:tcW w:w="112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6.3 %</w:t>
            </w:r>
          </w:p>
        </w:tc>
        <w:tc>
          <w:tcPr>
            <w:tcW w:w="104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0.5 %</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CCCC"/>
          </w:tcPr>
          <w:p>
            <w:pPr>
              <w:spacing w:after="0"/>
              <w:rPr>
                <w:sz w:val="18"/>
                <w:szCs w:val="18"/>
                <w:color w:val="auto"/>
              </w:rPr>
            </w:pPr>
          </w:p>
        </w:tc>
        <w:tc>
          <w:tcPr>
            <w:tcW w:w="108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7.6 %</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5.3 %</w:t>
            </w:r>
          </w:p>
        </w:tc>
        <w:tc>
          <w:tcPr>
            <w:tcW w:w="380" w:type="dxa"/>
            <w:vAlign w:val="bottom"/>
            <w:shd w:val="clear" w:color="auto" w:fill="CCCCCC"/>
          </w:tcPr>
          <w:p>
            <w:pPr>
              <w:spacing w:after="0"/>
              <w:rPr>
                <w:sz w:val="18"/>
                <w:szCs w:val="18"/>
                <w:color w:val="auto"/>
              </w:rPr>
            </w:pPr>
          </w:p>
        </w:tc>
        <w:tc>
          <w:tcPr>
            <w:tcW w:w="1000" w:type="dxa"/>
            <w:vAlign w:val="bottom"/>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CCCC"/>
          </w:tcPr>
          <w:p>
            <w:pPr>
              <w:spacing w:after="0"/>
              <w:rPr>
                <w:sz w:val="18"/>
                <w:szCs w:val="18"/>
                <w:color w:val="auto"/>
              </w:rPr>
            </w:pPr>
          </w:p>
        </w:tc>
        <w:tc>
          <w:tcPr>
            <w:tcW w:w="7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1.7 %</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RPMs (traffic)</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3.0 %</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2.7 %</w:t>
            </w: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7.7 %</w:t>
            </w:r>
          </w:p>
        </w:tc>
        <w:tc>
          <w:tcPr>
            <w:tcW w:w="760" w:type="dxa"/>
            <w:vAlign w:val="bottom"/>
          </w:tcPr>
          <w:p>
            <w:pPr>
              <w:jc w:val="right"/>
              <w:spacing w:after="0"/>
              <w:rPr>
                <w:sz w:val="20"/>
                <w:szCs w:val="20"/>
                <w:color w:val="auto"/>
              </w:rPr>
            </w:pPr>
            <w:r>
              <w:rPr>
                <w:rFonts w:ascii="Arial" w:cs="Arial" w:eastAsia="Arial" w:hAnsi="Arial"/>
                <w:sz w:val="18"/>
                <w:szCs w:val="18"/>
                <w:color w:val="auto"/>
              </w:rPr>
              <w:t>2.6 %</w:t>
            </w:r>
          </w:p>
        </w:tc>
        <w:tc>
          <w:tcPr>
            <w:tcW w:w="3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1.5 %</w:t>
            </w:r>
          </w:p>
        </w:tc>
      </w:tr>
      <w:tr>
        <w:trPr>
          <w:trHeight w:val="216"/>
        </w:trPr>
        <w:tc>
          <w:tcPr>
            <w:tcW w:w="3920" w:type="dxa"/>
            <w:vAlign w:val="bottom"/>
            <w:shd w:val="clear" w:color="auto" w:fill="CCCCCC"/>
          </w:tcPr>
          <w:p>
            <w:pPr>
              <w:spacing w:after="0"/>
              <w:rPr>
                <w:sz w:val="20"/>
                <w:szCs w:val="20"/>
                <w:color w:val="auto"/>
              </w:rPr>
            </w:pPr>
            <w:r>
              <w:rPr>
                <w:rFonts w:ascii="Arial" w:cs="Arial" w:eastAsia="Arial" w:hAnsi="Arial"/>
                <w:sz w:val="18"/>
                <w:szCs w:val="18"/>
                <w:color w:val="auto"/>
              </w:rPr>
              <w:t>ASMs (capacity)</w:t>
            </w:r>
          </w:p>
        </w:tc>
        <w:tc>
          <w:tcPr>
            <w:tcW w:w="112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2.6 %</w:t>
            </w:r>
          </w:p>
        </w:tc>
        <w:tc>
          <w:tcPr>
            <w:tcW w:w="104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2.4 %</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0.5 %</w:t>
            </w:r>
          </w:p>
        </w:tc>
        <w:tc>
          <w:tcPr>
            <w:tcW w:w="380" w:type="dxa"/>
            <w:vAlign w:val="bottom"/>
            <w:shd w:val="clear" w:color="auto" w:fill="CCCCCC"/>
          </w:tcPr>
          <w:p>
            <w:pPr>
              <w:spacing w:after="0"/>
              <w:rPr>
                <w:sz w:val="18"/>
                <w:szCs w:val="18"/>
                <w:color w:val="auto"/>
              </w:rPr>
            </w:pPr>
          </w:p>
        </w:tc>
        <w:tc>
          <w:tcPr>
            <w:tcW w:w="1080" w:type="dxa"/>
            <w:vAlign w:val="bottom"/>
            <w:gridSpan w:val="2"/>
            <w:shd w:val="clear" w:color="auto" w:fill="CCCCCC"/>
          </w:tcPr>
          <w:p>
            <w:pPr>
              <w:jc w:val="right"/>
              <w:ind w:right="380"/>
              <w:spacing w:after="0"/>
              <w:rPr>
                <w:sz w:val="20"/>
                <w:szCs w:val="20"/>
                <w:color w:val="auto"/>
              </w:rPr>
            </w:pPr>
            <w:r>
              <w:rPr>
                <w:rFonts w:ascii="Arial" w:cs="Arial" w:eastAsia="Arial" w:hAnsi="Arial"/>
                <w:sz w:val="18"/>
                <w:szCs w:val="18"/>
                <w:color w:val="auto"/>
              </w:rPr>
              <w:t>8.9 %</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2.7 %</w:t>
            </w:r>
          </w:p>
        </w:tc>
        <w:tc>
          <w:tcPr>
            <w:tcW w:w="380" w:type="dxa"/>
            <w:vAlign w:val="bottom"/>
            <w:shd w:val="clear" w:color="auto" w:fill="CCCCCC"/>
          </w:tcPr>
          <w:p>
            <w:pPr>
              <w:spacing w:after="0"/>
              <w:rPr>
                <w:sz w:val="18"/>
                <w:szCs w:val="18"/>
                <w:color w:val="auto"/>
              </w:rPr>
            </w:pPr>
          </w:p>
        </w:tc>
        <w:tc>
          <w:tcPr>
            <w:tcW w:w="1000" w:type="dxa"/>
            <w:vAlign w:val="bottom"/>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CCCC"/>
          </w:tcPr>
          <w:p>
            <w:pPr>
              <w:spacing w:after="0"/>
              <w:rPr>
                <w:sz w:val="18"/>
                <w:szCs w:val="18"/>
                <w:color w:val="auto"/>
              </w:rPr>
            </w:pPr>
          </w:p>
        </w:tc>
        <w:tc>
          <w:tcPr>
            <w:tcW w:w="7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1.6 %</w:t>
            </w:r>
          </w:p>
        </w:tc>
      </w:tr>
      <w:tr>
        <w:trPr>
          <w:trHeight w:val="226"/>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Passenger load factor (points)</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0.3</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bl>
    <w:p>
      <w:pPr>
        <w:spacing w:after="0" w:line="1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(a) See Part II, Item 6 of this report for the definition of these statistics.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passenger revenue in 2015 decreased $977 million, or 2.9%, as compared to 2014 primarily due to a decrease in consolidated yield of 4.3% year-over-year. Yields were impacted by a competitive domestic fare environment, unfavorable foreign currency results due to the strengthening of the U.S. dollar, international surcharge declines, travel reductions from corporate customers in the energy sector and increased industry capacity in certain regions. The decline in yields was partially offset by a 1.5% year-over-year increase in traffic.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includes data related to the Company’s operating expense for the year ended December 31 (in millions, except percentage changes):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Increase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2015</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2014</w:t>
            </w:r>
          </w:p>
        </w:tc>
        <w:tc>
          <w:tcPr>
            <w:tcW w:w="880" w:type="dxa"/>
            <w:vAlign w:val="bottom"/>
          </w:tcPr>
          <w:p>
            <w:pPr>
              <w:spacing w:after="0"/>
              <w:rPr>
                <w:sz w:val="19"/>
                <w:szCs w:val="19"/>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6"/>
              </w:rPr>
              <w:t>(Decrease)</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r>
      <w:tr>
        <w:trPr>
          <w:trHeight w:val="212"/>
        </w:trPr>
        <w:tc>
          <w:tcPr>
            <w:tcW w:w="582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Salaries and related costs</w:t>
            </w:r>
          </w:p>
        </w:tc>
        <w:tc>
          <w:tcPr>
            <w:tcW w:w="1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9,713</w:t>
            </w:r>
          </w:p>
        </w:tc>
        <w:tc>
          <w:tcPr>
            <w:tcW w:w="88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8,935</w:t>
            </w:r>
          </w:p>
        </w:tc>
        <w:tc>
          <w:tcPr>
            <w:tcW w:w="88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778</w:t>
            </w:r>
          </w:p>
        </w:tc>
        <w:tc>
          <w:tcPr>
            <w:tcW w:w="800" w:type="dxa"/>
            <w:vAlign w:val="bottom"/>
            <w:tcBorders>
              <w:top w:val="single" w:sz="8" w:color="CCCCCC"/>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Aircraft fuel</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11,675</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(4,153)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5820" w:type="dxa"/>
            <w:vAlign w:val="bottom"/>
            <w:shd w:val="clear" w:color="auto" w:fill="CCCCCC"/>
          </w:tcPr>
          <w:p>
            <w:pPr>
              <w:spacing w:after="0"/>
              <w:rPr>
                <w:sz w:val="20"/>
                <w:szCs w:val="20"/>
                <w:color w:val="auto"/>
              </w:rPr>
            </w:pPr>
            <w:r>
              <w:rPr>
                <w:rFonts w:ascii="Arial" w:cs="Arial" w:eastAsia="Arial" w:hAnsi="Arial"/>
                <w:sz w:val="18"/>
                <w:szCs w:val="18"/>
                <w:color w:val="auto"/>
              </w:rPr>
              <w:t>Regional capacity purchase</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2,290</w:t>
            </w:r>
          </w:p>
        </w:tc>
        <w:tc>
          <w:tcPr>
            <w:tcW w:w="8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2,344</w:t>
            </w: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00"/>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Landing fees and other rent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2,203</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(71)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820" w:type="dxa"/>
            <w:vAlign w:val="bottom"/>
            <w:shd w:val="clear" w:color="auto" w:fill="CCCCC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1,819</w:t>
            </w:r>
          </w:p>
        </w:tc>
        <w:tc>
          <w:tcPr>
            <w:tcW w:w="8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1,679</w:t>
            </w: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140</w:t>
            </w:r>
          </w:p>
        </w:tc>
        <w:tc>
          <w:tcPr>
            <w:tcW w:w="80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CCC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Aircraft maintenance materials and outside repairs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(128)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820" w:type="dxa"/>
            <w:vAlign w:val="bottom"/>
            <w:shd w:val="clear" w:color="auto" w:fill="CCCCCC"/>
          </w:tcPr>
          <w:p>
            <w:pPr>
              <w:spacing w:after="0"/>
              <w:rPr>
                <w:sz w:val="20"/>
                <w:szCs w:val="20"/>
                <w:color w:val="auto"/>
              </w:rPr>
            </w:pPr>
            <w:r>
              <w:rPr>
                <w:rFonts w:ascii="Arial" w:cs="Arial" w:eastAsia="Arial" w:hAnsi="Arial"/>
                <w:sz w:val="18"/>
                <w:szCs w:val="18"/>
                <w:color w:val="auto"/>
              </w:rPr>
              <w:t>Distribution expenses</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1,342</w:t>
            </w:r>
          </w:p>
        </w:tc>
        <w:tc>
          <w:tcPr>
            <w:tcW w:w="8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1,373</w:t>
            </w: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0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Aircraft rent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754</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(129)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5820" w:type="dxa"/>
            <w:vAlign w:val="bottom"/>
            <w:shd w:val="clear" w:color="auto" w:fill="CCCCCC"/>
          </w:tcPr>
          <w:p>
            <w:pPr>
              <w:spacing w:after="0"/>
              <w:rPr>
                <w:sz w:val="20"/>
                <w:szCs w:val="20"/>
                <w:color w:val="auto"/>
              </w:rPr>
            </w:pPr>
            <w:r>
              <w:rPr>
                <w:rFonts w:ascii="Arial" w:cs="Arial" w:eastAsia="Arial" w:hAnsi="Arial"/>
                <w:sz w:val="18"/>
                <w:szCs w:val="18"/>
                <w:color w:val="auto"/>
              </w:rPr>
              <w:t>Special charges (Note 16)</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326</w:t>
            </w:r>
          </w:p>
        </w:tc>
        <w:tc>
          <w:tcPr>
            <w:tcW w:w="8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443</w:t>
            </w:r>
          </w:p>
        </w:tc>
        <w:tc>
          <w:tcPr>
            <w:tcW w:w="8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00"/>
              <w:spacing w:after="0"/>
              <w:rPr>
                <w:sz w:val="20"/>
                <w:szCs w:val="20"/>
                <w:color w:val="auto"/>
              </w:rPr>
            </w:pPr>
            <w:r>
              <w:rPr>
                <w:rFonts w:ascii="Arial" w:cs="Arial" w:eastAsia="Arial" w:hAnsi="Arial"/>
                <w:sz w:val="18"/>
                <w:szCs w:val="18"/>
                <w:color w:val="auto"/>
              </w:rPr>
              <w:t>(117)</w:t>
            </w:r>
          </w:p>
        </w:tc>
        <w:tc>
          <w:tcPr>
            <w:tcW w:w="900" w:type="dxa"/>
            <w:vAlign w:val="bottom"/>
            <w:gridSpan w:val="2"/>
            <w:shd w:val="clear" w:color="auto" w:fill="CCCCCC"/>
          </w:tcPr>
          <w:p>
            <w:pPr>
              <w:jc w:val="right"/>
              <w:ind w:right="160"/>
              <w:spacing w:after="0"/>
              <w:rPr>
                <w:sz w:val="20"/>
                <w:szCs w:val="20"/>
                <w:color w:val="auto"/>
              </w:rPr>
            </w:pPr>
            <w:r>
              <w:rPr>
                <w:rFonts w:ascii="Arial" w:cs="Arial" w:eastAsia="Arial" w:hAnsi="Arial"/>
                <w:sz w:val="18"/>
                <w:szCs w:val="18"/>
                <w:color w:val="auto"/>
              </w:rPr>
              <w:t>NM</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820" w:type="dxa"/>
            <w:vAlign w:val="bottom"/>
            <w:shd w:val="clear" w:color="auto" w:fill="CCCCCC"/>
          </w:tcPr>
          <w:p>
            <w:pPr>
              <w:spacing w:after="0"/>
              <w:rPr>
                <w:sz w:val="18"/>
                <w:szCs w:val="18"/>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9"/>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7"/>
              </w:rPr>
              <w:t>32,698</w:t>
            </w: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36,528</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CCCC"/>
          </w:tcPr>
          <w:p>
            <w:pPr>
              <w:jc w:val="right"/>
              <w:ind w:right="800"/>
              <w:spacing w:after="0"/>
              <w:rPr>
                <w:sz w:val="20"/>
                <w:szCs w:val="20"/>
                <w:color w:val="auto"/>
              </w:rPr>
            </w:pPr>
            <w:r>
              <w:rPr>
                <w:rFonts w:ascii="Arial" w:cs="Arial" w:eastAsia="Arial" w:hAnsi="Arial"/>
                <w:sz w:val="18"/>
                <w:szCs w:val="18"/>
                <w:color w:val="auto"/>
              </w:rPr>
              <w:t>(3,830)</w:t>
            </w:r>
          </w:p>
        </w:tc>
        <w:tc>
          <w:tcPr>
            <w:tcW w:w="90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(10.5)</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Salaries and related costs increased $778 million, or 8.7%, in 2015 as compared to 2014 primarily due to a $463 million increase in profit sharing costs as a result of improved profitability, higher pay rates driven by new collective bargaining agreements, an increase in medical and dental costs and an increase in pension expense resulting from changes in actuarial assumptions.</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aircraft fuel expense was primarily attributable to decreased fuel prices partially offset by losses from fuel hedging activity and a 1.6% increase in capacity. The table below presents the significant changes in aircraft fuel cost per gallon for the year ended December 31 (in millions, except percentage changes):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5"/>
          </w:tcPr>
          <w:p>
            <w:pPr>
              <w:ind w:left="240"/>
              <w:spacing w:after="0"/>
              <w:rPr>
                <w:sz w:val="20"/>
                <w:szCs w:val="20"/>
                <w:color w:val="auto"/>
              </w:rPr>
            </w:pPr>
            <w:r>
              <w:rPr>
                <w:rFonts w:ascii="Arial" w:cs="Arial" w:eastAsia="Arial" w:hAnsi="Arial"/>
                <w:sz w:val="18"/>
                <w:szCs w:val="18"/>
                <w:b w:val="1"/>
                <w:bCs w:val="1"/>
                <w:color w:val="auto"/>
              </w:rPr>
              <w:t>(In millions)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7"/>
              </w:rPr>
              <w:t>Average price per gallon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72"/>
              <w:spacing w:after="0"/>
              <w:rPr>
                <w:sz w:val="20"/>
                <w:szCs w:val="20"/>
                <w:color w:val="auto"/>
              </w:rPr>
            </w:pPr>
            <w:r>
              <w:rPr>
                <w:rFonts w:ascii="Arial" w:cs="Arial" w:eastAsia="Arial" w:hAnsi="Arial"/>
                <w:sz w:val="18"/>
                <w:szCs w:val="18"/>
                <w:b w:val="1"/>
                <w:bCs w:val="1"/>
                <w:color w:val="auto"/>
                <w:w w:val="84"/>
              </w:rPr>
              <w:t>2015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2014</w:t>
            </w:r>
          </w:p>
        </w:tc>
        <w:tc>
          <w:tcPr>
            <w:tcW w:w="28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Change</w:t>
            </w:r>
          </w:p>
        </w:tc>
        <w:tc>
          <w:tcPr>
            <w:tcW w:w="5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84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Change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8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Total aircraft fuel purchase cost excluding fuel hedge impacts</w:t>
            </w: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6,918</w:t>
            </w:r>
          </w:p>
        </w:tc>
        <w:tc>
          <w:tcPr>
            <w:tcW w:w="28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11,586</w:t>
            </w:r>
          </w:p>
        </w:tc>
        <w:tc>
          <w:tcPr>
            <w:tcW w:w="280" w:type="dxa"/>
            <w:vAlign w:val="bottom"/>
            <w:tcBorders>
              <w:top w:val="single" w:sz="8" w:color="CCCCCC"/>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1.78</w:t>
            </w:r>
          </w:p>
        </w:tc>
        <w:tc>
          <w:tcPr>
            <w:tcW w:w="28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2.97</w:t>
            </w:r>
          </w:p>
        </w:tc>
        <w:tc>
          <w:tcPr>
            <w:tcW w:w="280" w:type="dxa"/>
            <w:vAlign w:val="bottom"/>
            <w:tcBorders>
              <w:top w:val="single" w:sz="8" w:color="CCCCCC"/>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Hedge losses reported in fuel expense</w:t>
            </w:r>
          </w:p>
        </w:tc>
        <w:tc>
          <w:tcPr>
            <w:tcW w:w="1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(0.16)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(0.02)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CCCC"/>
          </w:tcPr>
          <w:p>
            <w:pPr>
              <w:spacing w:after="0"/>
              <w:rPr>
                <w:sz w:val="20"/>
                <w:szCs w:val="20"/>
                <w:color w:val="auto"/>
              </w:rPr>
            </w:pPr>
            <w:r>
              <w:rPr>
                <w:rFonts w:ascii="Arial" w:cs="Arial" w:eastAsia="Arial" w:hAnsi="Arial"/>
                <w:sz w:val="18"/>
                <w:szCs w:val="18"/>
                <w:color w:val="auto"/>
              </w:rPr>
              <w:t>Fuel expense as reported</w:t>
            </w:r>
          </w:p>
        </w:tc>
        <w:tc>
          <w:tcPr>
            <w:tcW w:w="140" w:type="dxa"/>
            <w:vAlign w:val="bottom"/>
            <w:tcBorders>
              <w:top w:val="single" w:sz="8" w:color="auto"/>
            </w:tcBorders>
            <w:shd w:val="clear" w:color="auto" w:fill="CCCCCC"/>
          </w:tcPr>
          <w:p>
            <w:pPr>
              <w:spacing w:after="0"/>
              <w:rPr>
                <w:sz w:val="18"/>
                <w:szCs w:val="18"/>
                <w:color w:val="auto"/>
              </w:rPr>
            </w:pP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7,522</w:t>
            </w:r>
          </w:p>
        </w:tc>
        <w:tc>
          <w:tcPr>
            <w:tcW w:w="280" w:type="dxa"/>
            <w:vAlign w:val="bottom"/>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spacing w:after="0"/>
              <w:rPr>
                <w:sz w:val="18"/>
                <w:szCs w:val="18"/>
                <w:color w:val="auto"/>
              </w:rPr>
            </w:pP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11,675</w:t>
            </w:r>
          </w:p>
        </w:tc>
        <w:tc>
          <w:tcPr>
            <w:tcW w:w="2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spacing w:after="0"/>
              <w:rPr>
                <w:sz w:val="18"/>
                <w:szCs w:val="18"/>
                <w:color w:val="auto"/>
              </w:rPr>
            </w:pPr>
          </w:p>
        </w:tc>
        <w:tc>
          <w:tcPr>
            <w:tcW w:w="44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1.94</w:t>
            </w:r>
          </w:p>
        </w:tc>
        <w:tc>
          <w:tcPr>
            <w:tcW w:w="280" w:type="dxa"/>
            <w:vAlign w:val="bottom"/>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spacing w:after="0"/>
              <w:rPr>
                <w:sz w:val="18"/>
                <w:szCs w:val="18"/>
                <w:color w:val="auto"/>
              </w:rPr>
            </w:pPr>
          </w:p>
        </w:tc>
        <w:tc>
          <w:tcPr>
            <w:tcW w:w="42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2.99</w:t>
            </w:r>
          </w:p>
        </w:tc>
        <w:tc>
          <w:tcPr>
            <w:tcW w:w="2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paid on settled hedges that did not qualify for hedge accounting</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(0.08)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(0.04)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CCCC"/>
          </w:tcPr>
          <w:p>
            <w:pPr>
              <w:spacing w:after="0"/>
              <w:rPr>
                <w:sz w:val="20"/>
                <w:szCs w:val="20"/>
                <w:color w:val="auto"/>
              </w:rPr>
            </w:pPr>
            <w:r>
              <w:rPr>
                <w:rFonts w:ascii="Arial" w:cs="Arial" w:eastAsia="Arial" w:hAnsi="Arial"/>
                <w:sz w:val="18"/>
                <w:szCs w:val="18"/>
                <w:color w:val="auto"/>
              </w:rPr>
              <w:t>Fuel expense including all losses from settled hedges</w:t>
            </w:r>
          </w:p>
        </w:tc>
        <w:tc>
          <w:tcPr>
            <w:tcW w:w="14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7,851</w:t>
            </w:r>
          </w:p>
        </w:tc>
        <w:tc>
          <w:tcPr>
            <w:tcW w:w="280" w:type="dxa"/>
            <w:vAlign w:val="bottom"/>
            <w:shd w:val="clear" w:color="auto" w:fill="CCCCCC"/>
          </w:tcPr>
          <w:p>
            <w:pPr>
              <w:spacing w:after="0"/>
              <w:rPr>
                <w:sz w:val="18"/>
                <w:szCs w:val="18"/>
                <w:color w:val="auto"/>
              </w:rPr>
            </w:pPr>
          </w:p>
        </w:tc>
        <w:tc>
          <w:tcPr>
            <w:tcW w:w="16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11,813</w:t>
            </w:r>
          </w:p>
        </w:tc>
        <w:tc>
          <w:tcPr>
            <w:tcW w:w="2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CCCC"/>
          </w:tcPr>
          <w:p>
            <w:pPr>
              <w:spacing w:after="0"/>
              <w:rPr>
                <w:sz w:val="18"/>
                <w:szCs w:val="18"/>
                <w:color w:val="auto"/>
              </w:rPr>
            </w:pPr>
          </w:p>
        </w:tc>
        <w:tc>
          <w:tcPr>
            <w:tcW w:w="14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2.02</w:t>
            </w:r>
          </w:p>
        </w:tc>
        <w:tc>
          <w:tcPr>
            <w:tcW w:w="280" w:type="dxa"/>
            <w:vAlign w:val="bottom"/>
            <w:shd w:val="clear" w:color="auto" w:fill="CCCCCC"/>
          </w:tcPr>
          <w:p>
            <w:pPr>
              <w:spacing w:after="0"/>
              <w:rPr>
                <w:sz w:val="18"/>
                <w:szCs w:val="18"/>
                <w:color w:val="auto"/>
              </w:rPr>
            </w:pPr>
          </w:p>
        </w:tc>
        <w:tc>
          <w:tcPr>
            <w:tcW w:w="14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3.03</w:t>
            </w:r>
          </w:p>
        </w:tc>
        <w:tc>
          <w:tcPr>
            <w:tcW w:w="2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Total fuel consumption (gallons)</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3,905</w:t>
            </w:r>
          </w:p>
        </w:tc>
        <w:tc>
          <w:tcPr>
            <w:tcW w:w="2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Depreciation and amortization increased $140 million, or 8.3%, in 2015 as compared to 2014 primarily due to additions in owned property and equipment, specifically related to new aircraft, information technology assets and several aircraft capital lease conversions from operating leases.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Aircraft maintenance materials and outside repairs decreased $128 million, or 7.2%, in 2015 as compared to 2014 primarily due to a year-over-year decrease in significant airframe maintenance visits as a result of the cyclical timing of these visits, improvements in the efficiency of in-house maintenance programs, a reduced volume of seat and landing gear maintenance and a reduction of flying hours under certain power-by-the-hour engine maintenance agreements, partially offset by increases in expenses related to aircraft reliability projects and Wi-Fi systems maintenance.</w:t>
      </w:r>
    </w:p>
    <w:p>
      <w:pPr>
        <w:spacing w:after="0" w:line="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Aircraft rent decreased $129 million or 14.6% in 2015 as compared to 2014 primarily due to lease expirations, the purchase or capital lease conversion of several operating leased aircraft and lower lease renewal rates for certain aircraft.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60" w:type="dxa"/>
            <w:vAlign w:val="bottom"/>
          </w:tcPr>
          <w:p>
            <w:pPr>
              <w:spacing w:after="0"/>
              <w:rPr>
                <w:sz w:val="20"/>
                <w:szCs w:val="20"/>
                <w:color w:val="auto"/>
              </w:rPr>
            </w:pPr>
            <w:r>
              <w:rPr>
                <w:rFonts w:ascii="Arial" w:cs="Arial" w:eastAsia="Arial" w:hAnsi="Arial"/>
                <w:sz w:val="18"/>
                <w:szCs w:val="18"/>
                <w:color w:val="auto"/>
              </w:rPr>
              <w:t>The table below presents special items incurred by the Company during the years ended December 31 (in millions):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9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4"/>
              </w:rPr>
              <w:t>2015</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r>
      <w:tr>
        <w:trPr>
          <w:trHeight w:val="212"/>
        </w:trPr>
        <w:tc>
          <w:tcPr>
            <w:tcW w:w="946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Severance and benefit costs</w:t>
            </w: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4"/>
              </w:rPr>
              <w:t>$107</w:t>
            </w:r>
          </w:p>
        </w:tc>
        <w:tc>
          <w:tcPr>
            <w:tcW w:w="980" w:type="dxa"/>
            <w:vAlign w:val="bottom"/>
            <w:tcBorders>
              <w:top w:val="single" w:sz="8" w:color="CCCCCC"/>
            </w:tcBorders>
            <w:shd w:val="clear" w:color="auto" w:fill="CCCCCC"/>
          </w:tcPr>
          <w:p>
            <w:pPr>
              <w:spacing w:after="0"/>
              <w:rPr>
                <w:sz w:val="18"/>
                <w:szCs w:val="18"/>
                <w:color w:val="auto"/>
              </w:rPr>
            </w:pP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4"/>
              </w:rPr>
              <w:t>$199</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Impairment of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9460" w:type="dxa"/>
            <w:vAlign w:val="bottom"/>
            <w:shd w:val="clear" w:color="auto" w:fill="CCCCCC"/>
          </w:tcPr>
          <w:p>
            <w:pPr>
              <w:spacing w:after="0"/>
              <w:rPr>
                <w:sz w:val="20"/>
                <w:szCs w:val="20"/>
                <w:color w:val="auto"/>
              </w:rPr>
            </w:pPr>
            <w:r>
              <w:rPr>
                <w:rFonts w:ascii="Arial" w:cs="Arial" w:eastAsia="Arial" w:hAnsi="Arial"/>
                <w:sz w:val="18"/>
                <w:szCs w:val="18"/>
                <w:color w:val="auto"/>
              </w:rPr>
              <w:t>Integration-related costs</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60</w:t>
            </w:r>
          </w:p>
        </w:tc>
        <w:tc>
          <w:tcPr>
            <w:tcW w:w="14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CCCC"/>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Labor agreement costs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460" w:type="dxa"/>
            <w:vAlign w:val="bottom"/>
            <w:shd w:val="clear" w:color="auto" w:fill="CCCCCC"/>
          </w:tcPr>
          <w:p>
            <w:pPr>
              <w:spacing w:after="0"/>
              <w:rPr>
                <w:sz w:val="20"/>
                <w:szCs w:val="20"/>
                <w:color w:val="auto"/>
              </w:rPr>
            </w:pPr>
            <w:r>
              <w:rPr>
                <w:rFonts w:ascii="Arial" w:cs="Arial" w:eastAsia="Arial" w:hAnsi="Arial"/>
                <w:sz w:val="18"/>
                <w:szCs w:val="18"/>
                <w:color w:val="auto"/>
              </w:rPr>
              <w:t>(Gains) losses on sale of assets and other miscellaneous (gains) losses, net</w:t>
            </w: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62</w:t>
            </w:r>
          </w:p>
        </w:tc>
        <w:tc>
          <w:tcPr>
            <w:tcW w:w="980" w:type="dxa"/>
            <w:vAlign w:val="bottom"/>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CCCC"/>
          </w:tcPr>
          <w:p>
            <w:pPr>
              <w:spacing w:after="0"/>
              <w:rPr>
                <w:sz w:val="18"/>
                <w:szCs w:val="18"/>
                <w:color w:val="auto"/>
              </w:rPr>
            </w:pPr>
          </w:p>
        </w:tc>
      </w:tr>
      <w:tr>
        <w:trPr>
          <w:trHeight w:val="222"/>
        </w:trPr>
        <w:tc>
          <w:tcPr>
            <w:tcW w:w="9460" w:type="dxa"/>
            <w:vAlign w:val="bottom"/>
          </w:tcPr>
          <w:p>
            <w:pPr>
              <w:ind w:left="220"/>
              <w:spacing w:after="0"/>
              <w:rPr>
                <w:sz w:val="20"/>
                <w:szCs w:val="20"/>
                <w:color w:val="auto"/>
              </w:rPr>
            </w:pPr>
            <w:r>
              <w:rPr>
                <w:rFonts w:ascii="Arial" w:cs="Arial" w:eastAsia="Arial" w:hAnsi="Arial"/>
                <w:sz w:val="18"/>
                <w:szCs w:val="18"/>
                <w:color w:val="auto"/>
              </w:rPr>
              <w:t>Total special charges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326</w:t>
            </w:r>
          </w:p>
        </w:tc>
        <w:tc>
          <w:tcPr>
            <w:tcW w:w="1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w:t>
            </w:r>
          </w:p>
        </w:tc>
        <w:tc>
          <w:tcPr>
            <w:tcW w:w="10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the financial statements included in Part II, Item 8 of this report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illustrates the year-over-year dollar and percentage changes in the Company’s nonoperating income (expense) (in millions, except percentage changes):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Increase</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2014</w:t>
            </w:r>
          </w:p>
        </w:tc>
        <w:tc>
          <w:tcPr>
            <w:tcW w:w="9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(Decrease)</w:t>
            </w:r>
          </w:p>
        </w:tc>
        <w:tc>
          <w:tcPr>
            <w:tcW w:w="9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r>
      <w:tr>
        <w:trPr>
          <w:trHeight w:val="212"/>
        </w:trPr>
        <w:tc>
          <w:tcPr>
            <w:tcW w:w="564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Interest expense</w:t>
            </w: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6"/>
              </w:rPr>
              <w:t>$(669)</w:t>
            </w:r>
          </w:p>
        </w:tc>
        <w:tc>
          <w:tcPr>
            <w:tcW w:w="98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(735)</w:t>
            </w:r>
          </w:p>
        </w:tc>
        <w:tc>
          <w:tcPr>
            <w:tcW w:w="980" w:type="dxa"/>
            <w:vAlign w:val="bottom"/>
            <w:tcBorders>
              <w:top w:val="single" w:sz="8" w:color="CCCCCC"/>
            </w:tcBorders>
            <w:shd w:val="clear" w:color="auto" w:fill="CCCCCC"/>
          </w:tcPr>
          <w:p>
            <w:pPr>
              <w:spacing w:after="0"/>
              <w:rPr>
                <w:sz w:val="18"/>
                <w:szCs w:val="18"/>
                <w:color w:val="auto"/>
              </w:rPr>
            </w:pPr>
          </w:p>
        </w:tc>
        <w:tc>
          <w:tcPr>
            <w:tcW w:w="280" w:type="dxa"/>
            <w:vAlign w:val="bottom"/>
            <w:tcBorders>
              <w:top w:val="single" w:sz="8" w:color="auto"/>
            </w:tcBorders>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(66)</w:t>
            </w:r>
          </w:p>
        </w:tc>
        <w:tc>
          <w:tcPr>
            <w:tcW w:w="960" w:type="dxa"/>
            <w:vAlign w:val="bottom"/>
            <w:tcBorders>
              <w:top w:val="single" w:sz="8" w:color="CCCCCC"/>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capitalized</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16"/>
        </w:trPr>
        <w:tc>
          <w:tcPr>
            <w:tcW w:w="5640" w:type="dxa"/>
            <w:vAlign w:val="bottom"/>
            <w:shd w:val="clear" w:color="auto" w:fill="CCCCCC"/>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w:t>
            </w:r>
          </w:p>
        </w:tc>
        <w:tc>
          <w:tcPr>
            <w:tcW w:w="9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w:t>
            </w:r>
          </w:p>
        </w:tc>
        <w:tc>
          <w:tcPr>
            <w:tcW w:w="9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17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CCCC"/>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Miscellaneous, net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r>
      <w:tr>
        <w:trPr>
          <w:trHeight w:val="216"/>
        </w:trPr>
        <w:tc>
          <w:tcPr>
            <w:tcW w:w="5640" w:type="dxa"/>
            <w:vAlign w:val="bottom"/>
            <w:shd w:val="clear" w:color="auto" w:fill="CCCCCC"/>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(947)</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(1,245)</w:t>
            </w:r>
          </w:p>
        </w:tc>
        <w:tc>
          <w:tcPr>
            <w:tcW w:w="1260" w:type="dxa"/>
            <w:vAlign w:val="bottom"/>
            <w:gridSpan w:val="2"/>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(298)</w:t>
            </w:r>
          </w:p>
        </w:tc>
        <w:tc>
          <w:tcPr>
            <w:tcW w:w="17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CCCC"/>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decrease in interest expense of $66 million, or 9.0%, in 2015 as compared to 2014 was primarily due to the prepayment of certain debt issuances and declining balances of other debt, partially offset by interest expense on debt issued for the acquisition of new aircraft.</w:t>
      </w:r>
    </w:p>
    <w:p>
      <w:pPr>
        <w:spacing w:after="0" w:line="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Miscellaneous, net included losses of $80 million and $462 million from fuel derivatives not qualifying for hedge accounting in 2015 and 2014, respectively. Foreign currency losses were approximately $129 million and $41 million in 2015 and 2014, respectively. Foreign currency results included $61 million and $10 million of foreign exchange losses for 2015 and 2014, respectively, related to the Company’s cash holdings in Venezuela. Miscellaneous, net for 2015 includes a $134 million special charge related to the write-off of unamortized non-cash debt discounts for the early redemption of the 6% Notes due 2026 (“2026 Notes”) and the 6% Notes due 2028 (“2028 Notes”). 2014 Miscellaneous, net includes a $64 million debt extinguishment charge related to the retirement of the $248 million 6% Convertible Junior Subordinated Debentures due 2030.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2014 compared to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table below illustrates the year-over-year percentage change in the Company’s operating revenues for the years ended December 31 (in millions, except percentage changes):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4"/>
              </w:rPr>
              <w:t>Increase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632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2014</w:t>
            </w:r>
          </w:p>
        </w:tc>
        <w:tc>
          <w:tcPr>
            <w:tcW w:w="13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660" w:type="dxa"/>
            <w:vAlign w:val="bottom"/>
          </w:tcPr>
          <w:p>
            <w:pPr>
              <w:spacing w:after="0"/>
              <w:rPr>
                <w:sz w:val="19"/>
                <w:szCs w:val="19"/>
                <w:color w:val="auto"/>
              </w:rPr>
            </w:pPr>
          </w:p>
        </w:tc>
        <w:tc>
          <w:tcPr>
            <w:tcW w:w="15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4"/>
              </w:rPr>
              <w:t>(Decrease)</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r>
      <w:tr>
        <w:trPr>
          <w:trHeight w:val="212"/>
        </w:trPr>
        <w:tc>
          <w:tcPr>
            <w:tcW w:w="632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Passenger—Mainline</w:t>
            </w:r>
          </w:p>
        </w:tc>
        <w:tc>
          <w:tcPr>
            <w:tcW w:w="6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2"/>
              </w:rPr>
              <w:t>$26,785</w:t>
            </w:r>
          </w:p>
        </w:tc>
        <w:tc>
          <w:tcPr>
            <w:tcW w:w="66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9"/>
              </w:rPr>
              <w:t>$25,997</w:t>
            </w:r>
          </w:p>
        </w:tc>
        <w:tc>
          <w:tcPr>
            <w:tcW w:w="660" w:type="dxa"/>
            <w:vAlign w:val="bottom"/>
            <w:tcBorders>
              <w:top w:val="single" w:sz="8" w:color="CCCCCC"/>
            </w:tcBorders>
            <w:shd w:val="clear" w:color="auto" w:fill="CCCCCC"/>
          </w:tcPr>
          <w:p>
            <w:pPr>
              <w:spacing w:after="0"/>
              <w:rPr>
                <w:sz w:val="18"/>
                <w:szCs w:val="18"/>
                <w:color w:val="auto"/>
              </w:rPr>
            </w:pPr>
          </w:p>
        </w:tc>
        <w:tc>
          <w:tcPr>
            <w:tcW w:w="260" w:type="dxa"/>
            <w:vAlign w:val="bottom"/>
            <w:tcBorders>
              <w:top w:val="single" w:sz="8" w:color="auto"/>
            </w:tcBorders>
            <w:shd w:val="clear" w:color="auto" w:fill="CCCCCC"/>
          </w:tcPr>
          <w:p>
            <w:pPr>
              <w:jc w:val="right"/>
              <w:ind w:right="52"/>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788</w:t>
            </w:r>
          </w:p>
        </w:tc>
        <w:tc>
          <w:tcPr>
            <w:tcW w:w="740" w:type="dxa"/>
            <w:vAlign w:val="bottom"/>
            <w:tcBorders>
              <w:top w:val="single" w:sz="8" w:color="CCCCCC"/>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center"/>
              <w:ind w:left="412"/>
              <w:spacing w:after="0"/>
              <w:rPr>
                <w:sz w:val="20"/>
                <w:szCs w:val="20"/>
                <w:color w:val="auto"/>
              </w:rPr>
            </w:pPr>
            <w:r>
              <w:rPr>
                <w:rFonts w:ascii="Arial" w:cs="Arial" w:eastAsia="Arial" w:hAnsi="Arial"/>
                <w:sz w:val="18"/>
                <w:szCs w:val="18"/>
                <w:color w:val="auto"/>
                <w:w w:val="87"/>
              </w:rPr>
              <w:t>3.0</w:t>
            </w:r>
          </w:p>
        </w:tc>
        <w:tc>
          <w:tcPr>
            <w:tcW w:w="100" w:type="dxa"/>
            <w:vAlign w:val="bottom"/>
            <w:tcBorders>
              <w:top w:val="single" w:sz="8" w:color="CCCCCC"/>
            </w:tcBorders>
            <w:shd w:val="clear" w:color="auto" w:fill="CCCCCC"/>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Passenger—Regional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6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740" w:type="dxa"/>
            <w:vAlign w:val="bottom"/>
          </w:tcPr>
          <w:p>
            <w:pPr>
              <w:spacing w:after="0"/>
              <w:rPr>
                <w:sz w:val="19"/>
                <w:szCs w:val="19"/>
                <w:color w:val="auto"/>
              </w:rPr>
            </w:pPr>
          </w:p>
        </w:tc>
        <w:tc>
          <w:tcPr>
            <w:tcW w:w="800" w:type="dxa"/>
            <w:vAlign w:val="bottom"/>
          </w:tcPr>
          <w:p>
            <w:pPr>
              <w:jc w:val="center"/>
              <w:ind w:left="372"/>
              <w:spacing w:after="0"/>
              <w:rPr>
                <w:sz w:val="20"/>
                <w:szCs w:val="20"/>
                <w:color w:val="auto"/>
              </w:rPr>
            </w:pPr>
            <w:r>
              <w:rPr>
                <w:rFonts w:ascii="Arial" w:cs="Arial" w:eastAsia="Arial" w:hAnsi="Arial"/>
                <w:sz w:val="18"/>
                <w:szCs w:val="18"/>
                <w:color w:val="auto"/>
                <w:w w:val="91"/>
              </w:rPr>
              <w:t>(2.1)</w:t>
            </w:r>
          </w:p>
        </w:tc>
        <w:tc>
          <w:tcPr>
            <w:tcW w:w="100" w:type="dxa"/>
            <w:vAlign w:val="bottom"/>
          </w:tcPr>
          <w:p>
            <w:pPr>
              <w:spacing w:after="0"/>
              <w:rPr>
                <w:sz w:val="19"/>
                <w:szCs w:val="19"/>
                <w:color w:val="auto"/>
              </w:rPr>
            </w:pPr>
          </w:p>
        </w:tc>
      </w:tr>
      <w:tr>
        <w:trPr>
          <w:trHeight w:val="216"/>
        </w:trPr>
        <w:tc>
          <w:tcPr>
            <w:tcW w:w="6320" w:type="dxa"/>
            <w:vAlign w:val="bottom"/>
            <w:shd w:val="clear" w:color="auto" w:fill="CCCCCC"/>
          </w:tcPr>
          <w:p>
            <w:pPr>
              <w:ind w:left="220"/>
              <w:spacing w:after="0"/>
              <w:rPr>
                <w:sz w:val="20"/>
                <w:szCs w:val="20"/>
                <w:color w:val="auto"/>
              </w:rPr>
            </w:pPr>
            <w:r>
              <w:rPr>
                <w:rFonts w:ascii="Arial" w:cs="Arial" w:eastAsia="Arial" w:hAnsi="Arial"/>
                <w:sz w:val="18"/>
                <w:szCs w:val="18"/>
                <w:color w:val="auto"/>
              </w:rPr>
              <w:t>Total passenger revenue</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33,762</w:t>
            </w:r>
          </w:p>
        </w:tc>
        <w:tc>
          <w:tcPr>
            <w:tcW w:w="1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33,122</w:t>
            </w:r>
          </w:p>
        </w:tc>
        <w:tc>
          <w:tcPr>
            <w:tcW w:w="6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640</w:t>
            </w:r>
          </w:p>
        </w:tc>
        <w:tc>
          <w:tcPr>
            <w:tcW w:w="740" w:type="dxa"/>
            <w:vAlign w:val="bottom"/>
            <w:shd w:val="clear" w:color="auto" w:fill="CCCCCC"/>
          </w:tcPr>
          <w:p>
            <w:pPr>
              <w:spacing w:after="0"/>
              <w:rPr>
                <w:sz w:val="18"/>
                <w:szCs w:val="18"/>
                <w:color w:val="auto"/>
              </w:rPr>
            </w:pPr>
          </w:p>
        </w:tc>
        <w:tc>
          <w:tcPr>
            <w:tcW w:w="800" w:type="dxa"/>
            <w:vAlign w:val="bottom"/>
            <w:shd w:val="clear" w:color="auto" w:fill="CCCCCC"/>
          </w:tcPr>
          <w:p>
            <w:pPr>
              <w:jc w:val="center"/>
              <w:ind w:left="412"/>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CCC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Cargo</w:t>
            </w:r>
          </w:p>
        </w:tc>
        <w:tc>
          <w:tcPr>
            <w:tcW w:w="680" w:type="dxa"/>
            <w:vAlign w:val="bottom"/>
          </w:tcPr>
          <w:p>
            <w:pPr>
              <w:jc w:val="right"/>
              <w:spacing w:after="0"/>
              <w:rPr>
                <w:sz w:val="20"/>
                <w:szCs w:val="20"/>
                <w:color w:val="auto"/>
              </w:rPr>
            </w:pPr>
            <w:r>
              <w:rPr>
                <w:rFonts w:ascii="Arial" w:cs="Arial" w:eastAsia="Arial" w:hAnsi="Arial"/>
                <w:sz w:val="18"/>
                <w:szCs w:val="18"/>
                <w:color w:val="auto"/>
              </w:rPr>
              <w:t>938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740" w:type="dxa"/>
            <w:vAlign w:val="bottom"/>
          </w:tcPr>
          <w:p>
            <w:pPr>
              <w:spacing w:after="0"/>
              <w:rPr>
                <w:sz w:val="18"/>
                <w:szCs w:val="18"/>
                <w:color w:val="auto"/>
              </w:rPr>
            </w:pPr>
          </w:p>
        </w:tc>
        <w:tc>
          <w:tcPr>
            <w:tcW w:w="800" w:type="dxa"/>
            <w:vAlign w:val="bottom"/>
          </w:tcPr>
          <w:p>
            <w:pPr>
              <w:jc w:val="center"/>
              <w:ind w:left="412"/>
              <w:spacing w:after="0"/>
              <w:rPr>
                <w:sz w:val="20"/>
                <w:szCs w:val="20"/>
                <w:color w:val="auto"/>
              </w:rPr>
            </w:pPr>
            <w:r>
              <w:rPr>
                <w:rFonts w:ascii="Arial" w:cs="Arial" w:eastAsia="Arial" w:hAnsi="Arial"/>
                <w:sz w:val="18"/>
                <w:szCs w:val="18"/>
                <w:color w:val="auto"/>
                <w:w w:val="87"/>
              </w:rPr>
              <w:t>6.3</w:t>
            </w:r>
          </w:p>
        </w:tc>
        <w:tc>
          <w:tcPr>
            <w:tcW w:w="100" w:type="dxa"/>
            <w:vAlign w:val="bottom"/>
          </w:tcPr>
          <w:p>
            <w:pPr>
              <w:spacing w:after="0"/>
              <w:rPr>
                <w:sz w:val="18"/>
                <w:szCs w:val="18"/>
                <w:color w:val="auto"/>
              </w:rPr>
            </w:pPr>
          </w:p>
        </w:tc>
      </w:tr>
      <w:tr>
        <w:trPr>
          <w:trHeight w:val="216"/>
        </w:trPr>
        <w:tc>
          <w:tcPr>
            <w:tcW w:w="6320" w:type="dxa"/>
            <w:vAlign w:val="bottom"/>
            <w:shd w:val="clear" w:color="auto" w:fill="CCCCCC"/>
          </w:tcPr>
          <w:p>
            <w:pPr>
              <w:spacing w:after="0"/>
              <w:rPr>
                <w:sz w:val="20"/>
                <w:szCs w:val="20"/>
                <w:color w:val="auto"/>
              </w:rPr>
            </w:pPr>
            <w:r>
              <w:rPr>
                <w:rFonts w:ascii="Arial" w:cs="Arial" w:eastAsia="Arial" w:hAnsi="Arial"/>
                <w:sz w:val="18"/>
                <w:szCs w:val="18"/>
                <w:color w:val="auto"/>
              </w:rPr>
              <w:t>Other operating revenue</w:t>
            </w:r>
          </w:p>
        </w:tc>
        <w:tc>
          <w:tcPr>
            <w:tcW w:w="6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4,201</w:t>
            </w:r>
          </w:p>
        </w:tc>
        <w:tc>
          <w:tcPr>
            <w:tcW w:w="660" w:type="dxa"/>
            <w:vAlign w:val="bottom"/>
            <w:shd w:val="clear" w:color="auto" w:fill="CCCCCC"/>
          </w:tcPr>
          <w:p>
            <w:pPr>
              <w:spacing w:after="0"/>
              <w:rPr>
                <w:sz w:val="18"/>
                <w:szCs w:val="18"/>
                <w:color w:val="auto"/>
              </w:rPr>
            </w:pPr>
          </w:p>
        </w:tc>
        <w:tc>
          <w:tcPr>
            <w:tcW w:w="6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4,275</w:t>
            </w:r>
          </w:p>
        </w:tc>
        <w:tc>
          <w:tcPr>
            <w:tcW w:w="660" w:type="dxa"/>
            <w:vAlign w:val="bottom"/>
            <w:shd w:val="clear" w:color="auto" w:fill="CCCCCC"/>
          </w:tcPr>
          <w:p>
            <w:pPr>
              <w:spacing w:after="0"/>
              <w:rPr>
                <w:sz w:val="18"/>
                <w:szCs w:val="18"/>
                <w:color w:val="auto"/>
              </w:rPr>
            </w:pPr>
          </w:p>
        </w:tc>
        <w:tc>
          <w:tcPr>
            <w:tcW w:w="26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CCCC"/>
          </w:tcPr>
          <w:p>
            <w:pPr>
              <w:spacing w:after="0"/>
              <w:rPr>
                <w:sz w:val="18"/>
                <w:szCs w:val="18"/>
                <w:color w:val="auto"/>
              </w:rPr>
            </w:pPr>
          </w:p>
        </w:tc>
        <w:tc>
          <w:tcPr>
            <w:tcW w:w="800" w:type="dxa"/>
            <w:vAlign w:val="bottom"/>
            <w:shd w:val="clear" w:color="auto" w:fill="CCCCCC"/>
          </w:tcPr>
          <w:p>
            <w:pPr>
              <w:jc w:val="center"/>
              <w:ind w:left="372"/>
              <w:spacing w:after="0"/>
              <w:rPr>
                <w:sz w:val="20"/>
                <w:szCs w:val="20"/>
                <w:color w:val="auto"/>
              </w:rPr>
            </w:pPr>
            <w:r>
              <w:rPr>
                <w:rFonts w:ascii="Arial" w:cs="Arial" w:eastAsia="Arial" w:hAnsi="Arial"/>
                <w:sz w:val="18"/>
                <w:szCs w:val="18"/>
                <w:color w:val="auto"/>
                <w:w w:val="91"/>
              </w:rPr>
              <w:t>(1.7)</w:t>
            </w:r>
          </w:p>
        </w:tc>
        <w:tc>
          <w:tcPr>
            <w:tcW w:w="100" w:type="dxa"/>
            <w:vAlign w:val="bottom"/>
            <w:shd w:val="clear" w:color="auto" w:fill="CCCCCC"/>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38,901</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38,279</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622</w:t>
            </w:r>
          </w:p>
        </w:tc>
        <w:tc>
          <w:tcPr>
            <w:tcW w:w="740" w:type="dxa"/>
            <w:vAlign w:val="bottom"/>
          </w:tcPr>
          <w:p>
            <w:pPr>
              <w:spacing w:after="0"/>
              <w:rPr>
                <w:sz w:val="19"/>
                <w:szCs w:val="19"/>
                <w:color w:val="auto"/>
              </w:rPr>
            </w:pPr>
          </w:p>
        </w:tc>
        <w:tc>
          <w:tcPr>
            <w:tcW w:w="800" w:type="dxa"/>
            <w:vAlign w:val="bottom"/>
          </w:tcPr>
          <w:p>
            <w:pPr>
              <w:jc w:val="center"/>
              <w:ind w:left="412"/>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table below presents the Company’s selected passenger revenue and selected operating data based on geographic region (regional flights consist primarily of domestic routes):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w w:val="96"/>
              </w:rPr>
              <w:t>Increase (decrease) in 2014 from 2013 (a):</w:t>
            </w: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6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Domestic</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Pacific</w:t>
            </w: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Atlantic</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Latin</w:t>
            </w: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Mainline</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Regional</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r>
      <w:tr>
        <w:trPr>
          <w:trHeight w:val="210"/>
        </w:trPr>
        <w:tc>
          <w:tcPr>
            <w:tcW w:w="3680" w:type="dxa"/>
            <w:vAlign w:val="bottom"/>
            <w:tcBorders>
              <w:top w:val="single" w:sz="8" w:color="CCCCCC"/>
            </w:tcBorders>
            <w:shd w:val="clear" w:color="auto" w:fill="CCCCCC"/>
          </w:tcPr>
          <w:p>
            <w:pPr>
              <w:spacing w:after="0" w:line="202" w:lineRule="exact"/>
              <w:rPr>
                <w:sz w:val="20"/>
                <w:szCs w:val="20"/>
                <w:color w:val="auto"/>
              </w:rPr>
            </w:pPr>
            <w:r>
              <w:rPr>
                <w:rFonts w:ascii="Arial" w:cs="Arial" w:eastAsia="Arial" w:hAnsi="Arial"/>
                <w:sz w:val="18"/>
                <w:szCs w:val="18"/>
                <w:color w:val="auto"/>
              </w:rPr>
              <w:t>Passenger revenue (in millions)</w:t>
            </w:r>
          </w:p>
        </w:tc>
        <w:tc>
          <w:tcPr>
            <w:tcW w:w="820" w:type="dxa"/>
            <w:vAlign w:val="bottom"/>
            <w:tcBorders>
              <w:top w:val="single" w:sz="8" w:color="auto"/>
            </w:tcBorders>
            <w:shd w:val="clear" w:color="auto" w:fill="CCCCCC"/>
          </w:tcPr>
          <w:p>
            <w:pPr>
              <w:jc w:val="right"/>
              <w:ind w:right="94"/>
              <w:spacing w:after="0"/>
              <w:rPr>
                <w:sz w:val="20"/>
                <w:szCs w:val="20"/>
                <w:color w:val="auto"/>
              </w:rPr>
            </w:pPr>
            <w:r>
              <w:rPr>
                <w:rFonts w:ascii="Arial" w:cs="Arial" w:eastAsia="Arial" w:hAnsi="Arial"/>
                <w:sz w:val="18"/>
                <w:szCs w:val="18"/>
                <w:color w:val="auto"/>
              </w:rPr>
              <w:t>$   490</w:t>
            </w:r>
          </w:p>
        </w:tc>
        <w:tc>
          <w:tcPr>
            <w:tcW w:w="440" w:type="dxa"/>
            <w:vAlign w:val="bottom"/>
            <w:tcBorders>
              <w:top w:val="single" w:sz="8" w:color="CCCCCC"/>
            </w:tcBorders>
            <w:shd w:val="clear" w:color="auto" w:fill="CCCCCC"/>
          </w:tcPr>
          <w:p>
            <w:pPr>
              <w:spacing w:after="0"/>
              <w:rPr>
                <w:sz w:val="18"/>
                <w:szCs w:val="18"/>
                <w:color w:val="auto"/>
              </w:rPr>
            </w:pPr>
          </w:p>
        </w:tc>
        <w:tc>
          <w:tcPr>
            <w:tcW w:w="620" w:type="dxa"/>
            <w:vAlign w:val="bottom"/>
            <w:tcBorders>
              <w:top w:val="single" w:sz="8" w:color="auto"/>
            </w:tcBorders>
            <w:shd w:val="clear" w:color="auto" w:fill="CCCCCC"/>
          </w:tcPr>
          <w:p>
            <w:pPr>
              <w:jc w:val="right"/>
              <w:ind w:right="54"/>
              <w:spacing w:after="0"/>
              <w:rPr>
                <w:sz w:val="20"/>
                <w:szCs w:val="20"/>
                <w:color w:val="auto"/>
              </w:rPr>
            </w:pPr>
            <w:r>
              <w:rPr>
                <w:rFonts w:ascii="Arial" w:cs="Arial" w:eastAsia="Arial" w:hAnsi="Arial"/>
                <w:sz w:val="18"/>
                <w:szCs w:val="18"/>
                <w:color w:val="auto"/>
                <w:w w:val="97"/>
              </w:rPr>
              <w:t>$ (41)</w:t>
            </w:r>
          </w:p>
        </w:tc>
        <w:tc>
          <w:tcPr>
            <w:tcW w:w="44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ind w:right="76"/>
              <w:spacing w:after="0"/>
              <w:rPr>
                <w:sz w:val="20"/>
                <w:szCs w:val="20"/>
                <w:color w:val="auto"/>
              </w:rPr>
            </w:pPr>
            <w:r>
              <w:rPr>
                <w:rFonts w:ascii="Arial" w:cs="Arial" w:eastAsia="Arial" w:hAnsi="Arial"/>
                <w:sz w:val="18"/>
                <w:szCs w:val="18"/>
                <w:color w:val="auto"/>
              </w:rPr>
              <w:t>$ 169</w:t>
            </w:r>
          </w:p>
        </w:tc>
        <w:tc>
          <w:tcPr>
            <w:tcW w:w="46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ind w:right="134"/>
              <w:spacing w:after="0"/>
              <w:rPr>
                <w:sz w:val="20"/>
                <w:szCs w:val="20"/>
                <w:color w:val="auto"/>
              </w:rPr>
            </w:pPr>
            <w:r>
              <w:rPr>
                <w:rFonts w:ascii="Arial" w:cs="Arial" w:eastAsia="Arial" w:hAnsi="Arial"/>
                <w:sz w:val="18"/>
                <w:szCs w:val="18"/>
                <w:color w:val="auto"/>
                <w:w w:val="93"/>
              </w:rPr>
              <w:t>$ 170</w:t>
            </w:r>
          </w:p>
        </w:tc>
        <w:tc>
          <w:tcPr>
            <w:tcW w:w="440" w:type="dxa"/>
            <w:vAlign w:val="bottom"/>
            <w:tcBorders>
              <w:top w:val="single" w:sz="8" w:color="CCCCCC"/>
            </w:tcBorders>
            <w:shd w:val="clear" w:color="auto" w:fill="CCCCCC"/>
          </w:tcPr>
          <w:p>
            <w:pPr>
              <w:spacing w:after="0"/>
              <w:rPr>
                <w:sz w:val="18"/>
                <w:szCs w:val="18"/>
                <w:color w:val="auto"/>
              </w:rPr>
            </w:pPr>
          </w:p>
        </w:tc>
        <w:tc>
          <w:tcPr>
            <w:tcW w:w="720" w:type="dxa"/>
            <w:vAlign w:val="bottom"/>
            <w:tcBorders>
              <w:top w:val="single" w:sz="8" w:color="auto"/>
            </w:tcBorders>
            <w:shd w:val="clear" w:color="auto" w:fill="CCCCCC"/>
          </w:tcPr>
          <w:p>
            <w:pPr>
              <w:jc w:val="right"/>
              <w:ind w:right="136"/>
              <w:spacing w:after="0"/>
              <w:rPr>
                <w:sz w:val="20"/>
                <w:szCs w:val="20"/>
                <w:color w:val="auto"/>
              </w:rPr>
            </w:pPr>
            <w:r>
              <w:rPr>
                <w:rFonts w:ascii="Arial" w:cs="Arial" w:eastAsia="Arial" w:hAnsi="Arial"/>
                <w:sz w:val="18"/>
                <w:szCs w:val="18"/>
                <w:color w:val="auto"/>
                <w:w w:val="95"/>
              </w:rPr>
              <w:t>$  788</w:t>
            </w:r>
          </w:p>
        </w:tc>
        <w:tc>
          <w:tcPr>
            <w:tcW w:w="460" w:type="dxa"/>
            <w:vAlign w:val="bottom"/>
            <w:tcBorders>
              <w:top w:val="single" w:sz="8" w:color="CCCCCC"/>
            </w:tcBorders>
            <w:shd w:val="clear" w:color="auto" w:fill="CCCCCC"/>
          </w:tcPr>
          <w:p>
            <w:pPr>
              <w:spacing w:after="0"/>
              <w:rPr>
                <w:sz w:val="18"/>
                <w:szCs w:val="18"/>
                <w:color w:val="auto"/>
              </w:rPr>
            </w:pPr>
          </w:p>
        </w:tc>
        <w:tc>
          <w:tcPr>
            <w:tcW w:w="700" w:type="dxa"/>
            <w:vAlign w:val="bottom"/>
            <w:tcBorders>
              <w:top w:val="single" w:sz="8" w:color="auto"/>
            </w:tcBorders>
            <w:shd w:val="clear" w:color="auto" w:fill="CCCCCC"/>
          </w:tcPr>
          <w:p>
            <w:pPr>
              <w:jc w:val="right"/>
              <w:ind w:right="34"/>
              <w:spacing w:after="0"/>
              <w:rPr>
                <w:sz w:val="20"/>
                <w:szCs w:val="20"/>
                <w:color w:val="auto"/>
              </w:rPr>
            </w:pPr>
            <w:r>
              <w:rPr>
                <w:rFonts w:ascii="Arial" w:cs="Arial" w:eastAsia="Arial" w:hAnsi="Arial"/>
                <w:sz w:val="18"/>
                <w:szCs w:val="18"/>
                <w:color w:val="auto"/>
                <w:w w:val="98"/>
              </w:rPr>
              <w:t>$ (148)</w:t>
            </w:r>
          </w:p>
        </w:tc>
        <w:tc>
          <w:tcPr>
            <w:tcW w:w="380" w:type="dxa"/>
            <w:vAlign w:val="bottom"/>
            <w:tcBorders>
              <w:top w:val="single" w:sz="8" w:color="CCCCCC"/>
            </w:tcBorders>
            <w:shd w:val="clear" w:color="auto" w:fill="CCCCCC"/>
          </w:tcPr>
          <w:p>
            <w:pPr>
              <w:spacing w:after="0"/>
              <w:rPr>
                <w:sz w:val="18"/>
                <w:szCs w:val="18"/>
                <w:color w:val="auto"/>
              </w:rPr>
            </w:pPr>
          </w:p>
        </w:tc>
        <w:tc>
          <w:tcPr>
            <w:tcW w:w="840" w:type="dxa"/>
            <w:vAlign w:val="bottom"/>
            <w:tcBorders>
              <w:top w:val="single" w:sz="8" w:color="auto"/>
            </w:tcBorders>
            <w:shd w:val="clear" w:color="auto" w:fill="CCCCCC"/>
          </w:tcPr>
          <w:p>
            <w:pPr>
              <w:jc w:val="right"/>
              <w:ind w:right="94"/>
              <w:spacing w:after="0"/>
              <w:rPr>
                <w:sz w:val="20"/>
                <w:szCs w:val="20"/>
                <w:color w:val="auto"/>
              </w:rPr>
            </w:pPr>
            <w:r>
              <w:rPr>
                <w:rFonts w:ascii="Arial" w:cs="Arial" w:eastAsia="Arial" w:hAnsi="Arial"/>
                <w:sz w:val="18"/>
                <w:szCs w:val="18"/>
                <w:color w:val="auto"/>
              </w:rPr>
              <w:t>$   640</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Passenger revenue</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3.9 %</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2.9 %</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6.5 %</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3.0 %</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r>
      <w:tr>
        <w:trPr>
          <w:trHeight w:val="216"/>
        </w:trPr>
        <w:tc>
          <w:tcPr>
            <w:tcW w:w="3680" w:type="dxa"/>
            <w:vAlign w:val="bottom"/>
            <w:shd w:val="clear" w:color="auto" w:fill="CCCCCC"/>
          </w:tcPr>
          <w:p>
            <w:pPr>
              <w:spacing w:after="0"/>
              <w:rPr>
                <w:sz w:val="20"/>
                <w:szCs w:val="20"/>
                <w:color w:val="auto"/>
              </w:rPr>
            </w:pPr>
            <w:r>
              <w:rPr>
                <w:rFonts w:ascii="Arial" w:cs="Arial" w:eastAsia="Arial" w:hAnsi="Arial"/>
                <w:sz w:val="18"/>
                <w:szCs w:val="18"/>
                <w:color w:val="auto"/>
              </w:rPr>
              <w:t>Average fare per passenger</w:t>
            </w:r>
          </w:p>
        </w:tc>
        <w:tc>
          <w:tcPr>
            <w:tcW w:w="12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4.7 %</w:t>
            </w:r>
          </w:p>
        </w:tc>
        <w:tc>
          <w:tcPr>
            <w:tcW w:w="10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2.2 %</w:t>
            </w:r>
          </w:p>
        </w:tc>
        <w:tc>
          <w:tcPr>
            <w:tcW w:w="112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4.1 %</w:t>
            </w:r>
          </w:p>
        </w:tc>
        <w:tc>
          <w:tcPr>
            <w:tcW w:w="110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2.9 %</w:t>
            </w:r>
          </w:p>
        </w:tc>
        <w:tc>
          <w:tcPr>
            <w:tcW w:w="10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0.7 %</w:t>
            </w: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2.8 %</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Yield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4.9 %</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3.6 %</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2.7 %</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r>
      <w:tr>
        <w:trPr>
          <w:trHeight w:val="216"/>
        </w:trPr>
        <w:tc>
          <w:tcPr>
            <w:tcW w:w="3680" w:type="dxa"/>
            <w:vAlign w:val="bottom"/>
            <w:shd w:val="clear" w:color="auto" w:fill="CCCCCC"/>
          </w:tcPr>
          <w:p>
            <w:pPr>
              <w:spacing w:after="0"/>
              <w:rPr>
                <w:sz w:val="20"/>
                <w:szCs w:val="20"/>
                <w:color w:val="auto"/>
              </w:rPr>
            </w:pPr>
            <w:r>
              <w:rPr>
                <w:rFonts w:ascii="Arial" w:cs="Arial" w:eastAsia="Arial" w:hAnsi="Arial"/>
                <w:sz w:val="18"/>
                <w:szCs w:val="18"/>
                <w:color w:val="auto"/>
              </w:rPr>
              <w:t>PRASM</w:t>
            </w:r>
          </w:p>
        </w:tc>
        <w:tc>
          <w:tcPr>
            <w:tcW w:w="12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5.2 %</w:t>
            </w:r>
          </w:p>
        </w:tc>
        <w:tc>
          <w:tcPr>
            <w:tcW w:w="10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(3.6)%</w:t>
            </w:r>
          </w:p>
        </w:tc>
        <w:tc>
          <w:tcPr>
            <w:tcW w:w="112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2.6 %</w:t>
            </w:r>
          </w:p>
        </w:tc>
        <w:tc>
          <w:tcPr>
            <w:tcW w:w="110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2.5 %</w:t>
            </w:r>
          </w:p>
        </w:tc>
        <w:tc>
          <w:tcPr>
            <w:tcW w:w="10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1.6 %</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Average stage length</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0.5 %</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4.8 %</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0.9 %</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1.2 %</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3.5 %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2.4 %</w:t>
            </w:r>
          </w:p>
        </w:tc>
      </w:tr>
      <w:tr>
        <w:trPr>
          <w:trHeight w:val="216"/>
        </w:trPr>
        <w:tc>
          <w:tcPr>
            <w:tcW w:w="3680" w:type="dxa"/>
            <w:vAlign w:val="bottom"/>
            <w:shd w:val="clear" w:color="auto" w:fill="CCCCCC"/>
          </w:tcPr>
          <w:p>
            <w:pPr>
              <w:spacing w:after="0"/>
              <w:rPr>
                <w:sz w:val="20"/>
                <w:szCs w:val="20"/>
                <w:color w:val="auto"/>
              </w:rPr>
            </w:pPr>
            <w:r>
              <w:rPr>
                <w:rFonts w:ascii="Arial" w:cs="Arial" w:eastAsia="Arial" w:hAnsi="Arial"/>
                <w:sz w:val="18"/>
                <w:szCs w:val="18"/>
                <w:color w:val="auto"/>
              </w:rPr>
              <w:t>Passengers</w:t>
            </w:r>
          </w:p>
        </w:tc>
        <w:tc>
          <w:tcPr>
            <w:tcW w:w="12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11.2 %</w:t>
            </w:r>
          </w:p>
        </w:tc>
        <w:tc>
          <w:tcPr>
            <w:tcW w:w="118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0.2 %</w:t>
            </w:r>
          </w:p>
        </w:tc>
        <w:tc>
          <w:tcPr>
            <w:tcW w:w="10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RPMs (traffic)</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0.8 %</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8.5 %</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0.2 %</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0.2 %</w:t>
            </w:r>
          </w:p>
        </w:tc>
      </w:tr>
      <w:tr>
        <w:trPr>
          <w:trHeight w:val="216"/>
        </w:trPr>
        <w:tc>
          <w:tcPr>
            <w:tcW w:w="3680" w:type="dxa"/>
            <w:vAlign w:val="bottom"/>
            <w:shd w:val="clear" w:color="auto" w:fill="CCCCCC"/>
          </w:tcPr>
          <w:p>
            <w:pPr>
              <w:spacing w:after="0"/>
              <w:rPr>
                <w:sz w:val="20"/>
                <w:szCs w:val="20"/>
                <w:color w:val="auto"/>
              </w:rPr>
            </w:pPr>
            <w:r>
              <w:rPr>
                <w:rFonts w:ascii="Arial" w:cs="Arial" w:eastAsia="Arial" w:hAnsi="Arial"/>
                <w:sz w:val="18"/>
                <w:szCs w:val="18"/>
                <w:color w:val="auto"/>
              </w:rPr>
              <w:t>ASMs (capacity)</w:t>
            </w:r>
          </w:p>
        </w:tc>
        <w:tc>
          <w:tcPr>
            <w:tcW w:w="12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2.8 %</w:t>
            </w:r>
          </w:p>
        </w:tc>
        <w:tc>
          <w:tcPr>
            <w:tcW w:w="112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0.3 %</w:t>
            </w:r>
          </w:p>
        </w:tc>
        <w:tc>
          <w:tcPr>
            <w:tcW w:w="1100" w:type="dxa"/>
            <w:vAlign w:val="bottom"/>
            <w:gridSpan w:val="2"/>
            <w:shd w:val="clear" w:color="auto" w:fill="CCCCCC"/>
          </w:tcPr>
          <w:p>
            <w:pPr>
              <w:jc w:val="right"/>
              <w:ind w:right="440"/>
              <w:spacing w:after="0"/>
              <w:rPr>
                <w:sz w:val="20"/>
                <w:szCs w:val="20"/>
                <w:color w:val="auto"/>
              </w:rPr>
            </w:pPr>
            <w:r>
              <w:rPr>
                <w:rFonts w:ascii="Arial" w:cs="Arial" w:eastAsia="Arial" w:hAnsi="Arial"/>
                <w:sz w:val="18"/>
                <w:szCs w:val="18"/>
                <w:color w:val="auto"/>
              </w:rPr>
              <w:t>6.5 %</w:t>
            </w:r>
          </w:p>
        </w:tc>
        <w:tc>
          <w:tcPr>
            <w:tcW w:w="1180" w:type="dxa"/>
            <w:vAlign w:val="bottom"/>
            <w:gridSpan w:val="2"/>
            <w:shd w:val="clear" w:color="auto" w:fill="CCCCCC"/>
          </w:tcPr>
          <w:p>
            <w:pPr>
              <w:jc w:val="right"/>
              <w:ind w:right="460"/>
              <w:spacing w:after="0"/>
              <w:rPr>
                <w:sz w:val="20"/>
                <w:szCs w:val="20"/>
                <w:color w:val="auto"/>
              </w:rPr>
            </w:pPr>
            <w:r>
              <w:rPr>
                <w:rFonts w:ascii="Arial" w:cs="Arial" w:eastAsia="Arial" w:hAnsi="Arial"/>
                <w:sz w:val="18"/>
                <w:szCs w:val="18"/>
                <w:color w:val="auto"/>
              </w:rPr>
              <w:t>0.5 %</w:t>
            </w:r>
          </w:p>
        </w:tc>
        <w:tc>
          <w:tcPr>
            <w:tcW w:w="1080" w:type="dxa"/>
            <w:vAlign w:val="bottom"/>
            <w:gridSpan w:val="2"/>
            <w:shd w:val="clear" w:color="auto" w:fill="CCCCCC"/>
          </w:tcPr>
          <w:p>
            <w:pPr>
              <w:jc w:val="right"/>
              <w:ind w:right="36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0.3 %</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Passenger load factor (points)</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9"/>
                <w:szCs w:val="19"/>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9"/>
                <w:szCs w:val="19"/>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0"/>
          <w:szCs w:val="20"/>
          <w:color w:val="auto"/>
        </w:rPr>
      </w:pPr>
    </w:p>
    <w:p>
      <w:pPr>
        <w:ind w:left="80"/>
        <w:spacing w:after="0"/>
        <w:rPr>
          <w:sz w:val="20"/>
          <w:szCs w:val="20"/>
          <w:color w:val="auto"/>
        </w:rPr>
      </w:pPr>
      <w:r>
        <w:rPr>
          <w:rFonts w:ascii="Arial" w:cs="Arial" w:eastAsia="Arial" w:hAnsi="Arial"/>
          <w:sz w:val="14"/>
          <w:szCs w:val="14"/>
          <w:color w:val="auto"/>
        </w:rPr>
        <w:t>(a) See Part II, Item 6 of this report for the definition of these statistics.</w:t>
      </w:r>
    </w:p>
    <w:p>
      <w:pPr>
        <w:spacing w:after="0" w:line="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Consolidated passenger revenue in 2014 increased $640 million, or 1.9%, as compared to 2013. This increase was primarily due to an increase in consolidated yield of 1.7% and an increase in average fare per passenger of 2.8%. There was also an increase in capacity and traffic of 0.3% and 0.2%, respectively, as compared to 2013. The 2014 average fare increase was due in part to a strong domestic demand environment and a number of new long-haul routes that generated higher fares than the system average. Also in 2014, the Company improved its revenue management demand forecast process related to close-in bookings which improved yields. 2013 consolidated passenger revenue was negatively impacted by factors including additional competitive capacity in China and the Japanese yen weakening against the U.S. dollar, resulting in lower Pacific yields.</w:t>
      </w:r>
    </w:p>
    <w:p>
      <w:pPr>
        <w:spacing w:after="0" w:line="6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Cargo revenue increased by $56 million, or 6.3%, in 2014 as compared to 2013, which was primarily due to higher freight volumes and an improvement in mail revenue year-over-year, partially offset by lower yield on freight.</w:t>
      </w:r>
    </w:p>
    <w:p>
      <w:pPr>
        <w:spacing w:after="0" w:line="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Other operating revenue decreased $74 million, or 1.7%, in 2014 as compared to 2013, which was primarily due to the Company’s decision to discontinue sales of aircraft fuel to a third party, partially offset by increases in ancillary, MileagePlus and contract services revenue.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includes data related to the Company’s operating expense for the year ended December 31 (in millions, except percentage changes):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4"/>
              </w:rPr>
              <w:t>Increase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60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2014</w:t>
            </w:r>
          </w:p>
        </w:tc>
        <w:tc>
          <w:tcPr>
            <w:tcW w:w="16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980" w:type="dxa"/>
            <w:vAlign w:val="bottom"/>
          </w:tcPr>
          <w:p>
            <w:pPr>
              <w:spacing w:after="0"/>
              <w:rPr>
                <w:sz w:val="19"/>
                <w:szCs w:val="19"/>
                <w:color w:val="auto"/>
              </w:rPr>
            </w:pPr>
          </w:p>
        </w:tc>
        <w:tc>
          <w:tcPr>
            <w:tcW w:w="16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4"/>
              </w:rPr>
              <w:t>(Decrease)</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r>
      <w:tr>
        <w:trPr>
          <w:trHeight w:val="212"/>
        </w:trPr>
        <w:tc>
          <w:tcPr>
            <w:tcW w:w="560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Aircraft fuel</w:t>
            </w:r>
          </w:p>
        </w:tc>
        <w:tc>
          <w:tcPr>
            <w:tcW w:w="6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2"/>
              </w:rPr>
              <w:t>$11,675</w:t>
            </w:r>
          </w:p>
        </w:tc>
        <w:tc>
          <w:tcPr>
            <w:tcW w:w="960" w:type="dxa"/>
            <w:vAlign w:val="bottom"/>
            <w:tcBorders>
              <w:top w:val="single" w:sz="8" w:color="CCCCCC"/>
            </w:tcBorders>
            <w:shd w:val="clear" w:color="auto" w:fill="CCCCCC"/>
          </w:tcPr>
          <w:p>
            <w:pPr>
              <w:spacing w:after="0"/>
              <w:rPr>
                <w:sz w:val="18"/>
                <w:szCs w:val="18"/>
                <w:color w:val="auto"/>
              </w:rPr>
            </w:pPr>
          </w:p>
        </w:tc>
        <w:tc>
          <w:tcPr>
            <w:tcW w:w="6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2"/>
              </w:rPr>
              <w:t>$12,345</w:t>
            </w:r>
          </w:p>
        </w:tc>
        <w:tc>
          <w:tcPr>
            <w:tcW w:w="980" w:type="dxa"/>
            <w:vAlign w:val="bottom"/>
            <w:tcBorders>
              <w:top w:val="single" w:sz="8" w:color="CCCCCC"/>
            </w:tcBorders>
            <w:shd w:val="clear" w:color="auto" w:fill="CCCCCC"/>
          </w:tcPr>
          <w:p>
            <w:pPr>
              <w:spacing w:after="0"/>
              <w:rPr>
                <w:sz w:val="18"/>
                <w:szCs w:val="18"/>
                <w:color w:val="auto"/>
              </w:rPr>
            </w:pPr>
          </w:p>
        </w:tc>
        <w:tc>
          <w:tcPr>
            <w:tcW w:w="260" w:type="dxa"/>
            <w:vAlign w:val="bottom"/>
            <w:tcBorders>
              <w:top w:val="single" w:sz="8" w:color="auto"/>
            </w:tcBorders>
            <w:shd w:val="clear" w:color="auto" w:fill="CCCCCC"/>
          </w:tcPr>
          <w:p>
            <w:pPr>
              <w:jc w:val="right"/>
              <w:ind w:right="52"/>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(670)</w:t>
            </w:r>
          </w:p>
        </w:tc>
        <w:tc>
          <w:tcPr>
            <w:tcW w:w="860" w:type="dxa"/>
            <w:vAlign w:val="bottom"/>
            <w:tcBorders>
              <w:top w:val="single" w:sz="8" w:color="CCCCCC"/>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center"/>
              <w:ind w:left="372"/>
              <w:spacing w:after="0"/>
              <w:rPr>
                <w:sz w:val="20"/>
                <w:szCs w:val="20"/>
                <w:color w:val="auto"/>
              </w:rPr>
            </w:pPr>
            <w:r>
              <w:rPr>
                <w:rFonts w:ascii="Arial" w:cs="Arial" w:eastAsia="Arial" w:hAnsi="Arial"/>
                <w:sz w:val="18"/>
                <w:szCs w:val="18"/>
                <w:color w:val="auto"/>
                <w:w w:val="91"/>
              </w:rPr>
              <w:t>(5.4)</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660" w:type="dxa"/>
            <w:vAlign w:val="bottom"/>
          </w:tcPr>
          <w:p>
            <w:pPr>
              <w:jc w:val="right"/>
              <w:spacing w:after="0"/>
              <w:rPr>
                <w:sz w:val="20"/>
                <w:szCs w:val="20"/>
                <w:color w:val="auto"/>
              </w:rPr>
            </w:pPr>
            <w:r>
              <w:rPr>
                <w:rFonts w:ascii="Arial" w:cs="Arial" w:eastAsia="Arial" w:hAnsi="Arial"/>
                <w:sz w:val="18"/>
                <w:szCs w:val="18"/>
                <w:color w:val="auto"/>
              </w:rPr>
              <w:t>8,935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8,625</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860" w:type="dxa"/>
            <w:vAlign w:val="bottom"/>
          </w:tcPr>
          <w:p>
            <w:pPr>
              <w:spacing w:after="0"/>
              <w:rPr>
                <w:sz w:val="18"/>
                <w:szCs w:val="18"/>
                <w:color w:val="auto"/>
              </w:rPr>
            </w:pPr>
          </w:p>
        </w:tc>
        <w:tc>
          <w:tcPr>
            <w:tcW w:w="800" w:type="dxa"/>
            <w:vAlign w:val="bottom"/>
          </w:tcPr>
          <w:p>
            <w:pPr>
              <w:jc w:val="center"/>
              <w:ind w:left="372"/>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18"/>
                <w:szCs w:val="18"/>
                <w:color w:val="auto"/>
              </w:rPr>
            </w:pPr>
          </w:p>
        </w:tc>
      </w:tr>
      <w:tr>
        <w:trPr>
          <w:trHeight w:val="216"/>
        </w:trPr>
        <w:tc>
          <w:tcPr>
            <w:tcW w:w="5600" w:type="dxa"/>
            <w:vAlign w:val="bottom"/>
            <w:shd w:val="clear" w:color="auto" w:fill="CCCCCC"/>
          </w:tcPr>
          <w:p>
            <w:pPr>
              <w:spacing w:after="0"/>
              <w:rPr>
                <w:sz w:val="20"/>
                <w:szCs w:val="20"/>
                <w:color w:val="auto"/>
              </w:rPr>
            </w:pPr>
            <w:r>
              <w:rPr>
                <w:rFonts w:ascii="Arial" w:cs="Arial" w:eastAsia="Arial" w:hAnsi="Arial"/>
                <w:sz w:val="18"/>
                <w:szCs w:val="18"/>
                <w:color w:val="auto"/>
              </w:rPr>
              <w:t>Regional capacity purchase</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2,344</w:t>
            </w:r>
          </w:p>
        </w:tc>
        <w:tc>
          <w:tcPr>
            <w:tcW w:w="16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2,419</w:t>
            </w:r>
          </w:p>
        </w:tc>
        <w:tc>
          <w:tcPr>
            <w:tcW w:w="98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60"/>
              <w:spacing w:after="0"/>
              <w:rPr>
                <w:sz w:val="20"/>
                <w:szCs w:val="20"/>
                <w:color w:val="auto"/>
              </w:rPr>
            </w:pPr>
            <w:r>
              <w:rPr>
                <w:rFonts w:ascii="Arial" w:cs="Arial" w:eastAsia="Arial" w:hAnsi="Arial"/>
                <w:sz w:val="18"/>
                <w:szCs w:val="18"/>
                <w:color w:val="auto"/>
              </w:rPr>
              <w:t>(75)</w:t>
            </w:r>
          </w:p>
        </w:tc>
        <w:tc>
          <w:tcPr>
            <w:tcW w:w="900" w:type="dxa"/>
            <w:vAlign w:val="bottom"/>
            <w:gridSpan w:val="2"/>
            <w:shd w:val="clear" w:color="auto" w:fill="CCCCCC"/>
          </w:tcPr>
          <w:p>
            <w:pPr>
              <w:jc w:val="center"/>
              <w:ind w:left="272"/>
              <w:spacing w:after="0"/>
              <w:rPr>
                <w:sz w:val="20"/>
                <w:szCs w:val="20"/>
                <w:color w:val="auto"/>
              </w:rPr>
            </w:pPr>
            <w:r>
              <w:rPr>
                <w:rFonts w:ascii="Arial" w:cs="Arial" w:eastAsia="Arial" w:hAnsi="Arial"/>
                <w:sz w:val="18"/>
                <w:szCs w:val="18"/>
                <w:color w:val="auto"/>
                <w:w w:val="91"/>
              </w:rPr>
              <w:t>(3.1)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Landing fees and other rent</w:t>
            </w:r>
          </w:p>
        </w:tc>
        <w:tc>
          <w:tcPr>
            <w:tcW w:w="660" w:type="dxa"/>
            <w:vAlign w:val="bottom"/>
          </w:tcPr>
          <w:p>
            <w:pPr>
              <w:jc w:val="right"/>
              <w:spacing w:after="0"/>
              <w:rPr>
                <w:sz w:val="20"/>
                <w:szCs w:val="20"/>
                <w:color w:val="auto"/>
              </w:rPr>
            </w:pPr>
            <w:r>
              <w:rPr>
                <w:rFonts w:ascii="Arial" w:cs="Arial" w:eastAsia="Arial" w:hAnsi="Arial"/>
                <w:sz w:val="18"/>
                <w:szCs w:val="18"/>
                <w:color w:val="auto"/>
              </w:rPr>
              <w:t>2,274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184</w:t>
            </w:r>
          </w:p>
        </w:tc>
        <w:tc>
          <w:tcPr>
            <w:tcW w:w="800" w:type="dxa"/>
            <w:vAlign w:val="bottom"/>
          </w:tcPr>
          <w:p>
            <w:pPr>
              <w:jc w:val="center"/>
              <w:ind w:left="372"/>
              <w:spacing w:after="0"/>
              <w:rPr>
                <w:sz w:val="20"/>
                <w:szCs w:val="20"/>
                <w:color w:val="auto"/>
              </w:rPr>
            </w:pPr>
            <w:r>
              <w:rPr>
                <w:rFonts w:ascii="Arial" w:cs="Arial" w:eastAsia="Arial" w:hAnsi="Arial"/>
                <w:sz w:val="18"/>
                <w:szCs w:val="18"/>
                <w:color w:val="auto"/>
                <w:w w:val="87"/>
              </w:rPr>
              <w:t>8.8</w:t>
            </w:r>
          </w:p>
        </w:tc>
        <w:tc>
          <w:tcPr>
            <w:tcW w:w="100" w:type="dxa"/>
            <w:vAlign w:val="bottom"/>
          </w:tcPr>
          <w:p>
            <w:pPr>
              <w:spacing w:after="0"/>
              <w:rPr>
                <w:sz w:val="18"/>
                <w:szCs w:val="18"/>
                <w:color w:val="auto"/>
              </w:rPr>
            </w:pPr>
          </w:p>
        </w:tc>
      </w:tr>
      <w:tr>
        <w:trPr>
          <w:trHeight w:val="216"/>
        </w:trPr>
        <w:tc>
          <w:tcPr>
            <w:tcW w:w="5600" w:type="dxa"/>
            <w:vAlign w:val="bottom"/>
            <w:shd w:val="clear" w:color="auto" w:fill="CCCCCC"/>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1,679</w:t>
            </w:r>
          </w:p>
        </w:tc>
        <w:tc>
          <w:tcPr>
            <w:tcW w:w="16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1,689</w:t>
            </w:r>
          </w:p>
        </w:tc>
        <w:tc>
          <w:tcPr>
            <w:tcW w:w="98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6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CCCC"/>
          </w:tcPr>
          <w:p>
            <w:pPr>
              <w:jc w:val="center"/>
              <w:ind w:left="272"/>
              <w:spacing w:after="0"/>
              <w:rPr>
                <w:sz w:val="20"/>
                <w:szCs w:val="20"/>
                <w:color w:val="auto"/>
              </w:rPr>
            </w:pPr>
            <w:r>
              <w:rPr>
                <w:rFonts w:ascii="Arial" w:cs="Arial" w:eastAsia="Arial" w:hAnsi="Arial"/>
                <w:sz w:val="18"/>
                <w:szCs w:val="18"/>
                <w:color w:val="auto"/>
                <w:w w:val="91"/>
              </w:rPr>
              <w:t>(0.6)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Aircraft maintenance materials and outside repairs</w:t>
            </w:r>
          </w:p>
        </w:tc>
        <w:tc>
          <w:tcPr>
            <w:tcW w:w="660" w:type="dxa"/>
            <w:vAlign w:val="bottom"/>
          </w:tcPr>
          <w:p>
            <w:pPr>
              <w:jc w:val="right"/>
              <w:spacing w:after="0"/>
              <w:rPr>
                <w:sz w:val="20"/>
                <w:szCs w:val="20"/>
                <w:color w:val="auto"/>
              </w:rPr>
            </w:pPr>
            <w:r>
              <w:rPr>
                <w:rFonts w:ascii="Arial" w:cs="Arial" w:eastAsia="Arial" w:hAnsi="Arial"/>
                <w:sz w:val="18"/>
                <w:szCs w:val="18"/>
                <w:color w:val="auto"/>
              </w:rPr>
              <w:t>1,779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(2.3)</w:t>
            </w:r>
          </w:p>
        </w:tc>
      </w:tr>
      <w:tr>
        <w:trPr>
          <w:trHeight w:val="216"/>
        </w:trPr>
        <w:tc>
          <w:tcPr>
            <w:tcW w:w="5600" w:type="dxa"/>
            <w:vAlign w:val="bottom"/>
            <w:shd w:val="clear" w:color="auto" w:fill="CCCCCC"/>
          </w:tcPr>
          <w:p>
            <w:pPr>
              <w:spacing w:after="0"/>
              <w:rPr>
                <w:sz w:val="20"/>
                <w:szCs w:val="20"/>
                <w:color w:val="auto"/>
              </w:rPr>
            </w:pPr>
            <w:r>
              <w:rPr>
                <w:rFonts w:ascii="Arial" w:cs="Arial" w:eastAsia="Arial" w:hAnsi="Arial"/>
                <w:sz w:val="18"/>
                <w:szCs w:val="18"/>
                <w:color w:val="auto"/>
              </w:rPr>
              <w:t>Distribution expenses</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1,373</w:t>
            </w:r>
          </w:p>
        </w:tc>
        <w:tc>
          <w:tcPr>
            <w:tcW w:w="16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1,390</w:t>
            </w:r>
          </w:p>
        </w:tc>
        <w:tc>
          <w:tcPr>
            <w:tcW w:w="98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60"/>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CCCC"/>
          </w:tcPr>
          <w:p>
            <w:pPr>
              <w:jc w:val="center"/>
              <w:ind w:left="272"/>
              <w:spacing w:after="0"/>
              <w:rPr>
                <w:sz w:val="20"/>
                <w:szCs w:val="20"/>
                <w:color w:val="auto"/>
              </w:rPr>
            </w:pPr>
            <w:r>
              <w:rPr>
                <w:rFonts w:ascii="Arial" w:cs="Arial" w:eastAsia="Arial" w:hAnsi="Arial"/>
                <w:sz w:val="18"/>
                <w:szCs w:val="18"/>
                <w:color w:val="auto"/>
                <w:w w:val="91"/>
              </w:rPr>
              <w:t>(1.2)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Aircraft rent</w:t>
            </w:r>
          </w:p>
        </w:tc>
        <w:tc>
          <w:tcPr>
            <w:tcW w:w="660" w:type="dxa"/>
            <w:vAlign w:val="bottom"/>
          </w:tcPr>
          <w:p>
            <w:pPr>
              <w:jc w:val="right"/>
              <w:spacing w:after="0"/>
              <w:rPr>
                <w:sz w:val="20"/>
                <w:szCs w:val="20"/>
                <w:color w:val="auto"/>
              </w:rPr>
            </w:pPr>
            <w:r>
              <w:rPr>
                <w:rFonts w:ascii="Arial" w:cs="Arial" w:eastAsia="Arial" w:hAnsi="Arial"/>
                <w:sz w:val="18"/>
                <w:szCs w:val="18"/>
                <w:color w:val="auto"/>
              </w:rPr>
              <w:t>883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0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(5.7)</w:t>
            </w:r>
          </w:p>
        </w:tc>
      </w:tr>
      <w:tr>
        <w:trPr>
          <w:trHeight w:val="216"/>
        </w:trPr>
        <w:tc>
          <w:tcPr>
            <w:tcW w:w="5600" w:type="dxa"/>
            <w:vAlign w:val="bottom"/>
            <w:shd w:val="clear" w:color="auto" w:fill="CCCCCC"/>
          </w:tcPr>
          <w:p>
            <w:pPr>
              <w:spacing w:after="0"/>
              <w:rPr>
                <w:sz w:val="20"/>
                <w:szCs w:val="20"/>
                <w:color w:val="auto"/>
              </w:rPr>
            </w:pPr>
            <w:r>
              <w:rPr>
                <w:rFonts w:ascii="Arial" w:cs="Arial" w:eastAsia="Arial" w:hAnsi="Arial"/>
                <w:sz w:val="18"/>
                <w:szCs w:val="18"/>
                <w:color w:val="auto"/>
              </w:rPr>
              <w:t>Special charges</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443</w:t>
            </w:r>
          </w:p>
        </w:tc>
        <w:tc>
          <w:tcPr>
            <w:tcW w:w="16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520</w:t>
            </w:r>
          </w:p>
        </w:tc>
        <w:tc>
          <w:tcPr>
            <w:tcW w:w="98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1400" w:type="dxa"/>
            <w:vAlign w:val="bottom"/>
            <w:gridSpan w:val="2"/>
            <w:shd w:val="clear" w:color="auto" w:fill="CCCCCC"/>
          </w:tcPr>
          <w:p>
            <w:pPr>
              <w:jc w:val="right"/>
              <w:ind w:right="860"/>
              <w:spacing w:after="0"/>
              <w:rPr>
                <w:sz w:val="20"/>
                <w:szCs w:val="20"/>
                <w:color w:val="auto"/>
              </w:rPr>
            </w:pPr>
            <w:r>
              <w:rPr>
                <w:rFonts w:ascii="Arial" w:cs="Arial" w:eastAsia="Arial" w:hAnsi="Arial"/>
                <w:sz w:val="18"/>
                <w:szCs w:val="18"/>
                <w:color w:val="auto"/>
              </w:rPr>
              <w:t>(77)</w:t>
            </w:r>
          </w:p>
        </w:tc>
        <w:tc>
          <w:tcPr>
            <w:tcW w:w="900" w:type="dxa"/>
            <w:vAlign w:val="bottom"/>
            <w:gridSpan w:val="2"/>
            <w:shd w:val="clear" w:color="auto" w:fill="CCCCCC"/>
          </w:tcPr>
          <w:p>
            <w:pPr>
              <w:ind w:left="460"/>
              <w:spacing w:after="0"/>
              <w:rPr>
                <w:sz w:val="20"/>
                <w:szCs w:val="20"/>
                <w:color w:val="auto"/>
              </w:rPr>
            </w:pPr>
            <w:r>
              <w:rPr>
                <w:rFonts w:ascii="Arial" w:cs="Arial" w:eastAsia="Arial" w:hAnsi="Arial"/>
                <w:sz w:val="18"/>
                <w:szCs w:val="18"/>
                <w:color w:val="auto"/>
              </w:rPr>
              <w:t>NM</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9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19"/>
                <w:szCs w:val="19"/>
                <w:color w:val="auto"/>
              </w:rPr>
            </w:pPr>
          </w:p>
        </w:tc>
        <w:tc>
          <w:tcPr>
            <w:tcW w:w="900" w:type="dxa"/>
            <w:vAlign w:val="bottom"/>
            <w:gridSpan w:val="2"/>
          </w:tcPr>
          <w:p>
            <w:pPr>
              <w:jc w:val="center"/>
              <w:ind w:left="272"/>
              <w:spacing w:after="0"/>
              <w:rPr>
                <w:sz w:val="20"/>
                <w:szCs w:val="20"/>
                <w:color w:val="auto"/>
              </w:rPr>
            </w:pPr>
            <w:r>
              <w:rPr>
                <w:rFonts w:ascii="Arial" w:cs="Arial" w:eastAsia="Arial" w:hAnsi="Arial"/>
                <w:sz w:val="18"/>
                <w:szCs w:val="18"/>
                <w:color w:val="auto"/>
                <w:w w:val="91"/>
              </w:rPr>
              <w:t>(1.0)</w:t>
            </w:r>
          </w:p>
        </w:tc>
      </w:tr>
      <w:tr>
        <w:trPr>
          <w:trHeight w:val="216"/>
        </w:trPr>
        <w:tc>
          <w:tcPr>
            <w:tcW w:w="5600" w:type="dxa"/>
            <w:vAlign w:val="bottom"/>
            <w:shd w:val="clear" w:color="auto" w:fill="CCCCCC"/>
          </w:tcPr>
          <w:p>
            <w:pPr>
              <w:spacing w:after="0"/>
              <w:rPr>
                <w:sz w:val="18"/>
                <w:szCs w:val="18"/>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36,528</w:t>
            </w:r>
          </w:p>
        </w:tc>
        <w:tc>
          <w:tcPr>
            <w:tcW w:w="16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37,030</w:t>
            </w:r>
          </w:p>
        </w:tc>
        <w:tc>
          <w:tcPr>
            <w:tcW w:w="1240" w:type="dxa"/>
            <w:vAlign w:val="bottom"/>
            <w:gridSpan w:val="2"/>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CCCC"/>
          </w:tcPr>
          <w:p>
            <w:pPr>
              <w:jc w:val="right"/>
              <w:ind w:right="860"/>
              <w:spacing w:after="0"/>
              <w:rPr>
                <w:sz w:val="20"/>
                <w:szCs w:val="20"/>
                <w:color w:val="auto"/>
              </w:rPr>
            </w:pPr>
            <w:r>
              <w:rPr>
                <w:rFonts w:ascii="Arial" w:cs="Arial" w:eastAsia="Arial" w:hAnsi="Arial"/>
                <w:sz w:val="18"/>
                <w:szCs w:val="18"/>
                <w:color w:val="auto"/>
              </w:rPr>
              <w:t>(502)</w:t>
            </w:r>
          </w:p>
        </w:tc>
        <w:tc>
          <w:tcPr>
            <w:tcW w:w="900" w:type="dxa"/>
            <w:vAlign w:val="bottom"/>
            <w:gridSpan w:val="2"/>
            <w:shd w:val="clear" w:color="auto" w:fill="CCCCCC"/>
          </w:tcPr>
          <w:p>
            <w:pPr>
              <w:jc w:val="center"/>
              <w:ind w:left="272"/>
              <w:spacing w:after="0"/>
              <w:rPr>
                <w:sz w:val="20"/>
                <w:szCs w:val="20"/>
                <w:color w:val="auto"/>
              </w:rPr>
            </w:pPr>
            <w:r>
              <w:rPr>
                <w:rFonts w:ascii="Arial" w:cs="Arial" w:eastAsia="Arial" w:hAnsi="Arial"/>
                <w:sz w:val="18"/>
                <w:szCs w:val="18"/>
                <w:color w:val="auto"/>
                <w:w w:val="91"/>
              </w:rPr>
              <w:t>(1.4)</w:t>
            </w:r>
          </w:p>
        </w:tc>
      </w:tr>
      <w:tr>
        <w:trPr>
          <w:trHeight w:val="20"/>
        </w:trPr>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in aircraft fuel expense was primarily attributable to decreased fuel prices partially offset by losses from fuel hedge activity and a 0.3% increase in capacity. The table below presents the significant changes in aircraft fuel cost per gallon for the year ended December 31 (in millions, except percentage changes):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7"/>
          </w:tcPr>
          <w:p>
            <w:pPr>
              <w:ind w:left="100"/>
              <w:spacing w:after="0"/>
              <w:rPr>
                <w:sz w:val="20"/>
                <w:szCs w:val="20"/>
                <w:color w:val="auto"/>
              </w:rPr>
            </w:pPr>
            <w:r>
              <w:rPr>
                <w:rFonts w:ascii="Arial" w:cs="Arial" w:eastAsia="Arial" w:hAnsi="Arial"/>
                <w:sz w:val="18"/>
                <w:szCs w:val="18"/>
                <w:b w:val="1"/>
                <w:bCs w:val="1"/>
                <w:color w:val="auto"/>
              </w:rPr>
              <w:t>Average price per gallon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60" w:type="dxa"/>
            <w:vAlign w:val="bottom"/>
            <w:gridSpan w:val="2"/>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112"/>
              <w:spacing w:after="0" w:line="197"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2013</w:t>
            </w:r>
          </w:p>
        </w:tc>
        <w:tc>
          <w:tcPr>
            <w:tcW w:w="2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Change</w:t>
            </w:r>
          </w:p>
        </w:tc>
        <w:tc>
          <w:tcPr>
            <w:tcW w:w="5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4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Total aircraft fuel purchase cost excluding fuel hedge impacts</w:t>
            </w: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11,586</w:t>
            </w:r>
          </w:p>
        </w:tc>
        <w:tc>
          <w:tcPr>
            <w:tcW w:w="28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12,363</w:t>
            </w:r>
          </w:p>
        </w:tc>
        <w:tc>
          <w:tcPr>
            <w:tcW w:w="280" w:type="dxa"/>
            <w:vAlign w:val="bottom"/>
            <w:tcBorders>
              <w:top w:val="single" w:sz="8" w:color="CCCCCC"/>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ind w:left="300"/>
              <w:spacing w:after="0"/>
              <w:rPr>
                <w:sz w:val="20"/>
                <w:szCs w:val="20"/>
                <w:color w:val="auto"/>
              </w:rPr>
            </w:pPr>
            <w:r>
              <w:rPr>
                <w:rFonts w:ascii="Arial" w:cs="Arial" w:eastAsia="Arial" w:hAnsi="Arial"/>
                <w:sz w:val="18"/>
                <w:szCs w:val="18"/>
                <w:color w:val="auto"/>
                <w:w w:val="70"/>
              </w:rPr>
              <w:t>(6.3)</w:t>
            </w:r>
          </w:p>
        </w:tc>
        <w:tc>
          <w:tcPr>
            <w:tcW w:w="30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1"/>
              </w:rPr>
              <w:t>2.97</w:t>
            </w:r>
          </w:p>
        </w:tc>
        <w:tc>
          <w:tcPr>
            <w:tcW w:w="28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6"/>
              </w:rPr>
              <w:t>3.13</w:t>
            </w:r>
          </w:p>
        </w:tc>
        <w:tc>
          <w:tcPr>
            <w:tcW w:w="280" w:type="dxa"/>
            <w:vAlign w:val="bottom"/>
            <w:tcBorders>
              <w:top w:val="single" w:sz="8" w:color="CCCCCC"/>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ind w:left="240"/>
              <w:spacing w:after="0"/>
              <w:rPr>
                <w:sz w:val="20"/>
                <w:szCs w:val="20"/>
                <w:color w:val="auto"/>
              </w:rPr>
            </w:pPr>
            <w:r>
              <w:rPr>
                <w:rFonts w:ascii="Arial" w:cs="Arial" w:eastAsia="Arial" w:hAnsi="Arial"/>
                <w:sz w:val="18"/>
                <w:szCs w:val="18"/>
                <w:color w:val="auto"/>
                <w:w w:val="86"/>
              </w:rPr>
              <w:t>(5.1)</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Hedge gains (losses) reported in fuel expense</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(0.02)</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CCCC"/>
          </w:tcPr>
          <w:p>
            <w:pPr>
              <w:spacing w:after="0"/>
              <w:rPr>
                <w:sz w:val="20"/>
                <w:szCs w:val="20"/>
                <w:color w:val="auto"/>
              </w:rPr>
            </w:pPr>
            <w:r>
              <w:rPr>
                <w:rFonts w:ascii="Arial" w:cs="Arial" w:eastAsia="Arial" w:hAnsi="Arial"/>
                <w:sz w:val="18"/>
                <w:szCs w:val="18"/>
                <w:color w:val="auto"/>
              </w:rPr>
              <w:t>Fuel expense as reported</w:t>
            </w:r>
          </w:p>
        </w:tc>
        <w:tc>
          <w:tcPr>
            <w:tcW w:w="160" w:type="dxa"/>
            <w:vAlign w:val="bottom"/>
            <w:tcBorders>
              <w:top w:val="single" w:sz="8" w:color="auto"/>
            </w:tcBorders>
            <w:shd w:val="clear" w:color="auto" w:fill="CCCCCC"/>
          </w:tcPr>
          <w:p>
            <w:pPr>
              <w:spacing w:after="0"/>
              <w:rPr>
                <w:sz w:val="18"/>
                <w:szCs w:val="18"/>
                <w:color w:val="auto"/>
              </w:rPr>
            </w:pP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11,675</w:t>
            </w:r>
          </w:p>
        </w:tc>
        <w:tc>
          <w:tcPr>
            <w:tcW w:w="280" w:type="dxa"/>
            <w:vAlign w:val="bottom"/>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spacing w:after="0"/>
              <w:rPr>
                <w:sz w:val="18"/>
                <w:szCs w:val="18"/>
                <w:color w:val="auto"/>
              </w:rPr>
            </w:pP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12,345</w:t>
            </w:r>
          </w:p>
        </w:tc>
        <w:tc>
          <w:tcPr>
            <w:tcW w:w="1160" w:type="dxa"/>
            <w:vAlign w:val="bottom"/>
            <w:gridSpan w:val="3"/>
            <w:shd w:val="clear" w:color="auto" w:fill="CCCCCC"/>
          </w:tcPr>
          <w:p>
            <w:pPr>
              <w:ind w:left="58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auto"/>
            </w:tcBorders>
            <w:shd w:val="clear" w:color="auto" w:fill="CCCCCC"/>
          </w:tcPr>
          <w:p>
            <w:pPr>
              <w:spacing w:after="0"/>
              <w:rPr>
                <w:sz w:val="18"/>
                <w:szCs w:val="18"/>
                <w:color w:val="auto"/>
              </w:rPr>
            </w:pPr>
          </w:p>
        </w:tc>
        <w:tc>
          <w:tcPr>
            <w:tcW w:w="44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1"/>
              </w:rPr>
              <w:t>2.99</w:t>
            </w:r>
          </w:p>
        </w:tc>
        <w:tc>
          <w:tcPr>
            <w:tcW w:w="280" w:type="dxa"/>
            <w:vAlign w:val="bottom"/>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spacing w:after="0"/>
              <w:rPr>
                <w:sz w:val="18"/>
                <w:szCs w:val="18"/>
                <w:color w:val="auto"/>
              </w:rPr>
            </w:pPr>
          </w:p>
        </w:tc>
        <w:tc>
          <w:tcPr>
            <w:tcW w:w="4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6"/>
              </w:rPr>
              <w:t>3.13</w:t>
            </w:r>
          </w:p>
        </w:tc>
        <w:tc>
          <w:tcPr>
            <w:tcW w:w="860" w:type="dxa"/>
            <w:vAlign w:val="bottom"/>
            <w:gridSpan w:val="2"/>
            <w:shd w:val="clear" w:color="auto" w:fill="CCCCCC"/>
          </w:tcPr>
          <w:p>
            <w:pPr>
              <w:ind w:left="520"/>
              <w:spacing w:after="0"/>
              <w:rPr>
                <w:sz w:val="20"/>
                <w:szCs w:val="20"/>
                <w:color w:val="auto"/>
              </w:rPr>
            </w:pPr>
            <w:r>
              <w:rPr>
                <w:rFonts w:ascii="Arial" w:cs="Arial" w:eastAsia="Arial" w:hAnsi="Arial"/>
                <w:sz w:val="18"/>
                <w:szCs w:val="18"/>
                <w:color w:val="auto"/>
                <w:w w:val="86"/>
              </w:rPr>
              <w:t>(4.5)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4"/>
              </w:rPr>
              <w:t>Cash received (paid) on settled hedges that did not qualify for hedge accounting</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(0.04)</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0.01</w:t>
            </w:r>
          </w:p>
        </w:tc>
        <w:tc>
          <w:tcPr>
            <w:tcW w:w="28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CCCC"/>
          </w:tcPr>
          <w:p>
            <w:pPr>
              <w:spacing w:after="0"/>
              <w:rPr>
                <w:sz w:val="20"/>
                <w:szCs w:val="20"/>
                <w:color w:val="auto"/>
              </w:rPr>
            </w:pPr>
            <w:r>
              <w:rPr>
                <w:rFonts w:ascii="Arial" w:cs="Arial" w:eastAsia="Arial" w:hAnsi="Arial"/>
                <w:sz w:val="18"/>
                <w:szCs w:val="18"/>
                <w:color w:val="auto"/>
              </w:rPr>
              <w:t>Fuel expense including all gains (losses) from settled hedges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8"/>
              </w:rPr>
              <w:t>11,813</w:t>
            </w:r>
          </w:p>
        </w:tc>
        <w:tc>
          <w:tcPr>
            <w:tcW w:w="4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8"/>
              </w:rPr>
              <w:t>12,306</w:t>
            </w:r>
          </w:p>
        </w:tc>
        <w:tc>
          <w:tcPr>
            <w:tcW w:w="1160" w:type="dxa"/>
            <w:vAlign w:val="bottom"/>
            <w:gridSpan w:val="3"/>
            <w:shd w:val="clear" w:color="auto" w:fill="CCCCCC"/>
          </w:tcPr>
          <w:p>
            <w:pPr>
              <w:ind w:left="58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1"/>
              </w:rPr>
              <w:t>3.03</w:t>
            </w:r>
          </w:p>
        </w:tc>
        <w:tc>
          <w:tcPr>
            <w:tcW w:w="280" w:type="dxa"/>
            <w:vAlign w:val="bottom"/>
            <w:shd w:val="clear" w:color="auto" w:fill="CCCCCC"/>
          </w:tcPr>
          <w:p>
            <w:pPr>
              <w:spacing w:after="0"/>
              <w:rPr>
                <w:sz w:val="18"/>
                <w:szCs w:val="18"/>
                <w:color w:val="auto"/>
              </w:rPr>
            </w:pPr>
          </w:p>
        </w:tc>
        <w:tc>
          <w:tcPr>
            <w:tcW w:w="1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6"/>
              </w:rPr>
              <w:t>3.12</w:t>
            </w:r>
          </w:p>
        </w:tc>
        <w:tc>
          <w:tcPr>
            <w:tcW w:w="860" w:type="dxa"/>
            <w:vAlign w:val="bottom"/>
            <w:gridSpan w:val="2"/>
            <w:shd w:val="clear" w:color="auto" w:fill="CCCCCC"/>
          </w:tcPr>
          <w:p>
            <w:pPr>
              <w:ind w:left="520"/>
              <w:spacing w:after="0"/>
              <w:rPr>
                <w:sz w:val="20"/>
                <w:szCs w:val="20"/>
                <w:color w:val="auto"/>
              </w:rPr>
            </w:pPr>
            <w:r>
              <w:rPr>
                <w:rFonts w:ascii="Arial" w:cs="Arial" w:eastAsia="Arial" w:hAnsi="Arial"/>
                <w:sz w:val="18"/>
                <w:szCs w:val="18"/>
                <w:color w:val="auto"/>
                <w:w w:val="86"/>
              </w:rPr>
              <w:t>(2.9)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Total fuel consumption (gallons)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3,947</w:t>
            </w:r>
          </w:p>
        </w:tc>
        <w:tc>
          <w:tcPr>
            <w:tcW w:w="11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Salaries and related costs increased $310 million, or 3.6%, in 2014 as compared to 2013 primarily due to higher pay rates driven by collective bargaining agreements, increased medical and dental costs and costs associated with crew shortages and new crew rest rules, partially offset by lower post-employment benefit costs.</w:t>
      </w:r>
    </w:p>
    <w:p>
      <w:pPr>
        <w:spacing w:after="0" w:line="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Landing fees and other rent increased $184 million, or 8.8%, in 2014 as compared to 2013 primarily due to a transition from paying regional carriers for landing fees to paying airports directly. Landing fees also increased due to airport security services and modernization projects at certain airport locations.</w:t>
      </w:r>
    </w:p>
    <w:p>
      <w:pPr>
        <w:spacing w:after="0" w:line="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Aircraft rent decreased $53 million, or 5.7%, in 2014 as compared to 2013 primarily due to aircraft lease expirations and terminations of several Boeing 757-200 aircraft leases resulting from the Company’s purchase of the leased aircraft.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9460" w:type="dxa"/>
            <w:vAlign w:val="bottom"/>
          </w:tcPr>
          <w:p>
            <w:pPr>
              <w:spacing w:after="0"/>
              <w:rPr>
                <w:sz w:val="20"/>
                <w:szCs w:val="20"/>
                <w:color w:val="auto"/>
              </w:rPr>
            </w:pPr>
            <w:r>
              <w:rPr>
                <w:rFonts w:ascii="Arial" w:cs="Arial" w:eastAsia="Arial" w:hAnsi="Arial"/>
                <w:sz w:val="18"/>
                <w:szCs w:val="18"/>
                <w:color w:val="auto"/>
              </w:rPr>
              <w:t>The table below presents special items incurred by UAL during the years ended December 31 (in millions):</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9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4"/>
              </w:rPr>
              <w:t>2014</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r>
      <w:tr>
        <w:trPr>
          <w:trHeight w:val="212"/>
        </w:trPr>
        <w:tc>
          <w:tcPr>
            <w:tcW w:w="946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Severance and benefit costs</w:t>
            </w: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4"/>
              </w:rPr>
              <w:t>$199</w:t>
            </w:r>
          </w:p>
        </w:tc>
        <w:tc>
          <w:tcPr>
            <w:tcW w:w="980" w:type="dxa"/>
            <w:vAlign w:val="bottom"/>
            <w:tcBorders>
              <w:top w:val="single" w:sz="8" w:color="CCCCCC"/>
            </w:tcBorders>
            <w:shd w:val="clear" w:color="auto" w:fill="CCCCCC"/>
          </w:tcPr>
          <w:p>
            <w:pPr>
              <w:spacing w:after="0"/>
              <w:rPr>
                <w:sz w:val="18"/>
                <w:szCs w:val="18"/>
                <w:color w:val="auto"/>
              </w:rPr>
            </w:pP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4"/>
              </w:rPr>
              <w:t>$105</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Impairment of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9460" w:type="dxa"/>
            <w:vAlign w:val="bottom"/>
            <w:shd w:val="clear" w:color="auto" w:fill="CCCCCC"/>
          </w:tcPr>
          <w:p>
            <w:pPr>
              <w:spacing w:after="0"/>
              <w:rPr>
                <w:sz w:val="20"/>
                <w:szCs w:val="20"/>
                <w:color w:val="auto"/>
              </w:rPr>
            </w:pPr>
            <w:r>
              <w:rPr>
                <w:rFonts w:ascii="Arial" w:cs="Arial" w:eastAsia="Arial" w:hAnsi="Arial"/>
                <w:sz w:val="18"/>
                <w:szCs w:val="18"/>
                <w:color w:val="auto"/>
              </w:rPr>
              <w:t>Integration-related costs</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96</w:t>
            </w:r>
          </w:p>
        </w:tc>
        <w:tc>
          <w:tcPr>
            <w:tcW w:w="14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CCCC"/>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Labor agreement costs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9460" w:type="dxa"/>
            <w:vAlign w:val="bottom"/>
            <w:shd w:val="clear" w:color="auto" w:fill="CCCCCC"/>
          </w:tcPr>
          <w:p>
            <w:pPr>
              <w:spacing w:after="0"/>
              <w:rPr>
                <w:sz w:val="20"/>
                <w:szCs w:val="20"/>
                <w:color w:val="auto"/>
              </w:rPr>
            </w:pPr>
            <w:r>
              <w:rPr>
                <w:rFonts w:ascii="Arial" w:cs="Arial" w:eastAsia="Arial" w:hAnsi="Arial"/>
                <w:sz w:val="18"/>
                <w:szCs w:val="18"/>
                <w:color w:val="auto"/>
              </w:rPr>
              <w:t>(Gains) losses on sale of assets and other miscellaneous (gains) losses, net</w:t>
            </w: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99</w:t>
            </w:r>
          </w:p>
        </w:tc>
        <w:tc>
          <w:tcPr>
            <w:tcW w:w="980" w:type="dxa"/>
            <w:vAlign w:val="bottom"/>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CCCC"/>
          </w:tcPr>
          <w:p>
            <w:pPr>
              <w:spacing w:after="0"/>
              <w:rPr>
                <w:sz w:val="18"/>
                <w:szCs w:val="18"/>
                <w:color w:val="auto"/>
              </w:rPr>
            </w:pPr>
          </w:p>
        </w:tc>
      </w:tr>
      <w:tr>
        <w:trPr>
          <w:trHeight w:val="222"/>
        </w:trPr>
        <w:tc>
          <w:tcPr>
            <w:tcW w:w="9460" w:type="dxa"/>
            <w:vAlign w:val="bottom"/>
          </w:tcPr>
          <w:p>
            <w:pPr>
              <w:ind w:left="220"/>
              <w:spacing w:after="0"/>
              <w:rPr>
                <w:sz w:val="20"/>
                <w:szCs w:val="20"/>
                <w:color w:val="auto"/>
              </w:rPr>
            </w:pPr>
            <w:r>
              <w:rPr>
                <w:rFonts w:ascii="Arial" w:cs="Arial" w:eastAsia="Arial" w:hAnsi="Arial"/>
                <w:sz w:val="18"/>
                <w:szCs w:val="18"/>
                <w:color w:val="auto"/>
              </w:rPr>
              <w:t>Total special charges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443</w:t>
            </w:r>
          </w:p>
        </w:tc>
        <w:tc>
          <w:tcPr>
            <w:tcW w:w="1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w:t>
            </w:r>
          </w:p>
        </w:tc>
        <w:tc>
          <w:tcPr>
            <w:tcW w:w="10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Note 16 to the financial statements included in Part II, Item 8 of this report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1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illustrates the year-over-year dollar and percentage changes in UAL’s nonoperating income (expense) (in millions, except percentage changes):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w w:val="93"/>
              </w:rPr>
              <w:t>Increase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2014</w:t>
            </w:r>
          </w:p>
        </w:tc>
        <w:tc>
          <w:tcPr>
            <w:tcW w:w="96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960" w:type="dxa"/>
            <w:vAlign w:val="bottom"/>
          </w:tcPr>
          <w:p>
            <w:pPr>
              <w:spacing w:after="0"/>
              <w:rPr>
                <w:sz w:val="19"/>
                <w:szCs w:val="19"/>
                <w:color w:val="auto"/>
              </w:rPr>
            </w:pPr>
          </w:p>
        </w:tc>
        <w:tc>
          <w:tcPr>
            <w:tcW w:w="174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w w:val="82"/>
              </w:rPr>
              <w:t>(Decrease)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 Change</w:t>
            </w:r>
          </w:p>
        </w:tc>
      </w:tr>
      <w:tr>
        <w:trPr>
          <w:trHeight w:val="212"/>
        </w:trPr>
        <w:tc>
          <w:tcPr>
            <w:tcW w:w="568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(735)</w:t>
            </w:r>
          </w:p>
        </w:tc>
        <w:tc>
          <w:tcPr>
            <w:tcW w:w="960" w:type="dxa"/>
            <w:vAlign w:val="bottom"/>
            <w:tcBorders>
              <w:top w:val="single" w:sz="8" w:color="CCCCCC"/>
            </w:tcBorders>
            <w:shd w:val="clear" w:color="auto" w:fill="CCCCCC"/>
          </w:tcPr>
          <w:p>
            <w:pPr>
              <w:spacing w:after="0"/>
              <w:rPr>
                <w:sz w:val="18"/>
                <w:szCs w:val="18"/>
                <w:color w:val="auto"/>
              </w:rPr>
            </w:pPr>
          </w:p>
        </w:tc>
        <w:tc>
          <w:tcPr>
            <w:tcW w:w="5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$(783)</w:t>
            </w:r>
          </w:p>
        </w:tc>
        <w:tc>
          <w:tcPr>
            <w:tcW w:w="960" w:type="dxa"/>
            <w:vAlign w:val="bottom"/>
            <w:tcBorders>
              <w:top w:val="single" w:sz="8" w:color="CCCCCC"/>
            </w:tcBorders>
            <w:shd w:val="clear" w:color="auto" w:fill="CCCCCC"/>
          </w:tcPr>
          <w:p>
            <w:pPr>
              <w:spacing w:after="0"/>
              <w:rPr>
                <w:sz w:val="18"/>
                <w:szCs w:val="18"/>
                <w:color w:val="auto"/>
              </w:rPr>
            </w:pPr>
          </w:p>
        </w:tc>
        <w:tc>
          <w:tcPr>
            <w:tcW w:w="260" w:type="dxa"/>
            <w:vAlign w:val="bottom"/>
            <w:tcBorders>
              <w:top w:val="single" w:sz="8" w:color="auto"/>
            </w:tcBorders>
            <w:shd w:val="clear" w:color="auto" w:fill="CCCCCC"/>
          </w:tcPr>
          <w:p>
            <w:pPr>
              <w:jc w:val="right"/>
              <w:ind w:right="5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(48)</w:t>
            </w:r>
          </w:p>
        </w:tc>
        <w:tc>
          <w:tcPr>
            <w:tcW w:w="960" w:type="dxa"/>
            <w:vAlign w:val="bottom"/>
            <w:tcBorders>
              <w:top w:val="single" w:sz="8" w:color="CCCCCC"/>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capitalized</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6"/>
        </w:trPr>
        <w:tc>
          <w:tcPr>
            <w:tcW w:w="5680" w:type="dxa"/>
            <w:vAlign w:val="bottom"/>
            <w:shd w:val="clear" w:color="auto" w:fill="CCCCC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w:t>
            </w:r>
          </w:p>
        </w:tc>
        <w:tc>
          <w:tcPr>
            <w:tcW w:w="96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w:t>
            </w:r>
          </w:p>
        </w:tc>
        <w:tc>
          <w:tcPr>
            <w:tcW w:w="96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CCC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Miscellaneous, net</w:t>
            </w:r>
          </w:p>
        </w:tc>
        <w:tc>
          <w:tcPr>
            <w:tcW w:w="14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(584)</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960"/>
              <w:spacing w:after="0"/>
              <w:rPr>
                <w:sz w:val="20"/>
                <w:szCs w:val="20"/>
                <w:color w:val="auto"/>
              </w:rPr>
            </w:pPr>
            <w:r>
              <w:rPr>
                <w:rFonts w:ascii="Arial" w:cs="Arial" w:eastAsia="Arial" w:hAnsi="Arial"/>
                <w:sz w:val="18"/>
                <w:szCs w:val="18"/>
                <w:color w:val="auto"/>
              </w:rPr>
              <w:t>(587)</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r>
      <w:tr>
        <w:trPr>
          <w:trHeight w:val="27"/>
        </w:trPr>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CCCC"/>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1460" w:type="dxa"/>
            <w:vAlign w:val="bottom"/>
            <w:gridSpan w:val="2"/>
            <w:shd w:val="clear" w:color="auto" w:fill="CCCCCC"/>
          </w:tcPr>
          <w:p>
            <w:pPr>
              <w:jc w:val="right"/>
              <w:ind w:right="960"/>
              <w:spacing w:after="0"/>
              <w:rPr>
                <w:sz w:val="20"/>
                <w:szCs w:val="20"/>
                <w:color w:val="auto"/>
              </w:rPr>
            </w:pPr>
            <w:r>
              <w:rPr>
                <w:rFonts w:ascii="Arial" w:cs="Arial" w:eastAsia="Arial" w:hAnsi="Arial"/>
                <w:sz w:val="18"/>
                <w:szCs w:val="18"/>
                <w:color w:val="auto"/>
                <w:w w:val="84"/>
              </w:rPr>
              <w:t>(1,245)</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(710)</w:t>
            </w:r>
          </w:p>
        </w:tc>
        <w:tc>
          <w:tcPr>
            <w:tcW w:w="1220" w:type="dxa"/>
            <w:vAlign w:val="bottom"/>
            <w:gridSpan w:val="2"/>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535</w:t>
            </w:r>
          </w:p>
        </w:tc>
        <w:tc>
          <w:tcPr>
            <w:tcW w:w="96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CCCC"/>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decrease in interest expense of $48 million, or 6.1%, in 2014 as compared to 2013 was primarily due to the Company’s extinguishment of certain of its debt instruments and the refinancing of certain of its debt instruments at lower interest rates.</w:t>
      </w:r>
    </w:p>
    <w:p>
      <w:pPr>
        <w:spacing w:after="0" w:line="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2014, Miscellaneous, net included a MTM loss of $462 million from fuel derivatives not qualifying for hedge accounting as compared to a gain of $79 million in 2013. Miscellaneous, net also included foreign currency losses of $41 million and $29 million in 2014 and 2013, respectively. 2014 Miscellaneous, net includes a $64 million debt extinguishment charge related to the retirement of the $248 million 6% Convertible Junior Subordinated Debentures due 2030.</w:t>
      </w:r>
    </w:p>
    <w:p>
      <w:pPr>
        <w:spacing w:after="0" w:line="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United’s nonoperating expense also included a net gain of $19 million associated with marking to market the fair value of derivative assets and liabilities related to agreements that provide for United’s convertible debt to be settled with UAL common stock as compared to a net gain of $70 million in 2013. These net gains and related derivatives are reflected only in the United stand-alone financial statements as they are eliminated at the consolidated level. See Note 9 to the financial statements included in Part II, Item 8 of this report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December 31, 2015, the Company had $5.2 billion in unrestricted cash, cash equivalents and short-term investments, an increase of $0.8 billion from December 31, 2014. The Company had its entire commitment capacity of $1.35 billion under the Credit Agreement available for letters of credit or borrowings as of December 31, 2015. As of December 31, 2015, the Company had $206 million of restricted cash and cash equivalents, which is primarily collateral for performance bonds, letters of credit and estimated future workers’ compensation claims. We may be required to post significant additional cash collateral to provide security for obligations. Restricted cash and cash equivalents at December 31, 2014 totaled $320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8" w:name="page39"/>
    <w:bookmarkEnd w:id="38"/>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is the case with many of our principal competitors, we have a high proportion of debt compared to capital. We have a significant amount of fixed obligations, including debt, aircraft leases and financings, leases of airport property and other facilities and pension funding obligations. At December 31, 2015, the Company had approximately $11.8 billion of debt and capital lease obligations, including $1.4 billion that are due within the next 12 months. In addition, we have substantial noncancelable commitments for capital expenditures, including the acquisition of new aircraft and related spare engines. As of December 31, 2015, our current liabilities exceeded our current assets by approximately $4.6 billion. However, approximately $5.9 billion of our current liabilities are related to our Advance ticket sales and Frequent flyer deferred revenue, both of which largely represent revenue to be recognized for travel in the near future and not actual cash outlays. The deficit in working capital does not have an adverse impact to our cash flows, liquidity or operations. The Company made principal payments of debt and capital lease obligations totaling $2.3 billion in 2015.</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continue to evaluate opportunities to prepay its debt, including open market repurchases, to reduce its indebtedness and related interest.</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2016, the Company expects between $2.7 billion and $2.9 billion of gross capital expenditures. See Notes 11 and 15 to the financial statements included in Part II, Item 8 of this report for additional information on commitments.</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2015, a substantial portion of the Company’s assets, principally aircraft, route authorities and loyalty program intangible assets, was pledged under various loan and other agreements. See Note 11 to the financial statements included in Part II, Item 8 of this report for additional information on assets provided as collateral by the Company.</w:t>
      </w:r>
    </w:p>
    <w:p>
      <w:pPr>
        <w:spacing w:after="0" w:line="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access to the capital markets improved in recent years as evidenced by our financing transactions, we cannot give any assurances that we will be able to obtain additional financing or otherwise access the capital markets in the future on acceptable terms, or at all. We must sustain our profitability and/or access the capital markets to meet our significant long-term debt and capital lease obligations and future commitments for capital expenditures, including the acquisition of aircraft and related spare engines.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sources and uses of cash from 2013 through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flow provided by operations for the year ended December 31, 2015 was $6.0 billion compared to $2.6 billion in the same period in 2014. The $3.4 billion increase is primarily attributable to an increase of $3.1 billion in income before income taxes and a $0.4 billion increase in non-cash items for the year ended December 31, 2015 as compared to the same period in 2014. Working capital changes reduced cash flow from operations by $0.1 billion year-over-year in 2015 as compared to 2014. The following were significant working capital items in 2015: Cash flow increased by $0.2 billion from the return of hedge collateral net of the impact of changes in fuel derivative positions. Cash flow from other liabilities, including accrued wages, decreased $0.2 billion, which included $0.8 billion in pension contributions offset by $0.7 billion in profit sharing accruals to be paid in 2016. Frequent flyer deferred revenue and advanced purchase of miles decreased $0.2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Cash flow provided by operations for the year ended December 31, 2014 was $2.6 billion compared to $1.4 billion in the same period in 2013. The $1.2 billion increase was primarily attributable to an increase of $0.6 billion in income before income taxes and $0.6 billion of changes in working capital items year-over-year in 2014 as compared to 2013. The following were significant working capital items in 2014: Cash flow from advance ticket sales increased by $0.3 billion. Accounts receivable decreased by $0.2 billion mainly due to the timing of settlements with airline partners for interline billing. Cash flow from other liabilities, including accrued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39" w:name="page40"/>
    <w:bookmarkEnd w:id="39"/>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wages, decreased $0.2 billion, which included $0.5 billion in pension contributions offset by $0.2 billion in profit sharing accruals. In 2014, cash flow decreased by $0.1 billion from the posting of fuel hedge collateral, net of changes in fuel derivative positions. Accounts payable decreased by $0.3 billion primarily due to the timing of settlements with airline partners for interline billing along with changes in various accruals.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capital expenditures were $2.7 billion and $2.0 billion in 2015 and 2014, respectively. The Company’s capital expenditures for both years were primarily attributable to the purchase of aircraft, facility and fleet-related costs. In 2015, the Company announced a strategic partnership with Azul Linhas Aereas Brasileiras S.A. (“Azul”). Through a wholly-owned subsidiary, the Company invested $100 million for an economic stake of approximately five percent in Azul, Brazil’s largest carrier by cities served, which provides a range of customer benefits including codesharing of flights, joint loyalty program participation and expanded connection opportunities on routes between the U.S. and Brazil, a key market for United, in addition to other points in North and South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Company’s capital expenditures were $2.0 billion and $2.2 billion in 2014 and 2013, respectively. The Company’s capital expenditures for both years were primarily attributable to the purchase of aircraft, facility and fleet-related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2015 were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Repurchases</w:t>
      </w:r>
    </w:p>
    <w:p>
      <w:pPr>
        <w:spacing w:after="0" w:line="117" w:lineRule="exact"/>
        <w:rPr>
          <w:sz w:val="20"/>
          <w:szCs w:val="20"/>
          <w:color w:val="auto"/>
        </w:rPr>
      </w:pPr>
    </w:p>
    <w:p>
      <w:pPr>
        <w:ind w:left="240" w:right="540"/>
        <w:spacing w:after="0" w:line="306" w:lineRule="auto"/>
        <w:rPr>
          <w:sz w:val="20"/>
          <w:szCs w:val="20"/>
          <w:color w:val="auto"/>
        </w:rPr>
      </w:pPr>
      <w:r>
        <w:rPr>
          <w:rFonts w:ascii="Arial" w:cs="Arial" w:eastAsia="Arial" w:hAnsi="Arial"/>
          <w:sz w:val="16"/>
          <w:szCs w:val="16"/>
          <w:color w:val="auto"/>
        </w:rPr>
        <w:t>The Company used $1.2 billion of cash to purchase 21 million shares of its common stock during 2015 under its share repurchase programs. As of December 31, 2015, the Company has $2.4 billion remaining to spend under its share repurchase program. See Part II, Item 5, “Market for Registrant’s Common Equity, Related Stockholder Matters and Issuer Purchases of Equity Securities” of this report for additional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Issuances</w:t>
      </w:r>
    </w:p>
    <w:p>
      <w:pPr>
        <w:spacing w:after="0" w:line="117"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color w:val="auto"/>
        </w:rPr>
        <w:t>During 2015, United issued $1.4 billion of debt related to enhanced equipment trust certificate (“EETC”) offerings to finance aircraft. United has received and recorded all of the proceeds from its pass-through trusts as debt as of December 31, 2015.</w:t>
      </w:r>
    </w:p>
    <w:p>
      <w:pPr>
        <w:spacing w:after="0" w:line="78"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In 2015, United borrowed approximately $590 million aggregate principal amount from various financial institutions to finance the purchase of several aircraft delivered in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Capital Lease Principal Payments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year ended December 31, 2015, the Company made debt and capital lease principal payments of $2.3 billion, including the following prepayments:</w:t>
      </w:r>
    </w:p>
    <w:p>
      <w:pPr>
        <w:spacing w:after="0" w:line="86" w:lineRule="exact"/>
        <w:rPr>
          <w:sz w:val="20"/>
          <w:szCs w:val="20"/>
          <w:color w:val="auto"/>
        </w:rPr>
      </w:pP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UAL used cash to repurchase all $321 million par value 2026 Notes.</w:t>
      </w:r>
    </w:p>
    <w:p>
      <w:pPr>
        <w:spacing w:after="0" w:line="63" w:lineRule="exact"/>
        <w:rPr>
          <w:rFonts w:ascii="Arial" w:cs="Arial" w:eastAsia="Arial" w:hAnsi="Arial"/>
          <w:sz w:val="18"/>
          <w:szCs w:val="18"/>
          <w:color w:val="auto"/>
        </w:rPr>
      </w:pP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UAL used cash to repurchase all $311 million par value 2028 Notes.</w:t>
      </w:r>
    </w:p>
    <w:p>
      <w:pPr>
        <w:spacing w:after="0" w:line="63" w:lineRule="exact"/>
        <w:rPr>
          <w:rFonts w:ascii="Arial" w:cs="Arial" w:eastAsia="Arial" w:hAnsi="Arial"/>
          <w:sz w:val="18"/>
          <w:szCs w:val="18"/>
          <w:color w:val="auto"/>
        </w:rPr>
      </w:pPr>
    </w:p>
    <w:p>
      <w:pPr>
        <w:ind w:left="800" w:hanging="454"/>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UAL used cash to prepay, at par, $300 million principal amount of its $500 million term loan due September 2021 under the Credit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Activities Not Affecting Cash</w:t>
      </w:r>
    </w:p>
    <w:p>
      <w:pPr>
        <w:spacing w:after="0" w:line="117"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color w:val="auto"/>
        </w:rPr>
        <w:t>The holders of substantially all of the remaining $202 million principal amount of United’s 4.5% Convertible Notes due 2015 exercised their conversion option resulting in the issuance of 11 million shares of UAL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2014 were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Repurchases</w:t>
      </w:r>
    </w:p>
    <w:p>
      <w:pPr>
        <w:spacing w:after="0" w:line="117" w:lineRule="exact"/>
        <w:rPr>
          <w:sz w:val="20"/>
          <w:szCs w:val="20"/>
          <w:color w:val="auto"/>
        </w:rPr>
      </w:pPr>
    </w:p>
    <w:p>
      <w:pPr>
        <w:ind w:left="240" w:right="240"/>
        <w:spacing w:after="0" w:line="332" w:lineRule="auto"/>
        <w:rPr>
          <w:sz w:val="20"/>
          <w:szCs w:val="20"/>
          <w:color w:val="auto"/>
        </w:rPr>
      </w:pPr>
      <w:r>
        <w:rPr>
          <w:rFonts w:ascii="Arial" w:cs="Arial" w:eastAsia="Arial" w:hAnsi="Arial"/>
          <w:sz w:val="16"/>
          <w:szCs w:val="16"/>
          <w:color w:val="auto"/>
        </w:rPr>
        <w:t>The Company used $320 million of cash to purchase approximately 7 million shares of its common stock under the 2014 Program. See Part II, Item 5, “Market for Registrant’s Common Equity, Related Stockholder Matters and Issuer Purchases of Equity Securities” of this report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Issuances</w:t>
      </w:r>
    </w:p>
    <w:p>
      <w:pPr>
        <w:spacing w:after="0" w:line="117"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color w:val="auto"/>
        </w:rPr>
        <w:t>During 2014, United issued debt related to three separate EETC offerings to finance new aircraft deliveries, bringing the total issued at year end 2014 pursuant to these three EETC offerings to $2.0 billion. Including the EETC offering in 2013, United recorded $1.8 billion of proceeds as debt during 2014.</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United borrowed a $500 million term loan under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Capital Lease Principal Payments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the Company made debt and capital lease principal payments of $2.6 billion, including the following prepayments:</w:t>
      </w:r>
    </w:p>
    <w:p>
      <w:pPr>
        <w:spacing w:after="0" w:line="8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UAL retired, at par, $400 million principal balance of its 8% Notes due 2024.</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 used cash to purchase approximately $276 million principal amount of convertible notes and retired the notes.</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 retired, at par, the entire $800 million principal balance of its 6.75%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 Not Affecting Cash</w:t>
      </w:r>
    </w:p>
    <w:p>
      <w:pPr>
        <w:spacing w:after="0" w:line="117"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color w:val="auto"/>
        </w:rPr>
        <w:t>UAL amended its revolving credit facility under the Credit Agreement increasing the capacity from $1.0 billion to $1.35 billion and establishing the maturity date for $1.315 billion in lender commitments as January 2, 2019.</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UAL issued approximately 17 million shares in exchange for, or conversion of, $260 million of convertible notes and retired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2013 were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Issuances</w:t>
      </w:r>
    </w:p>
    <w:p>
      <w:pPr>
        <w:spacing w:after="0" w:line="117"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color w:val="auto"/>
        </w:rPr>
        <w:t>During 2013, United issued debt related to three separate EETC offerings to finance new aircraft deliveries, bringing the total issued at year end 2013 pursuant to these three EETC offerings to $1.5 billion. Including the EETC offerings in 2012, United recorded $900 million of proceeds as debt during 2013.</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UAL issued $600 million unsecured Senior Notes.</w:t>
      </w:r>
    </w:p>
    <w:p>
      <w:pPr>
        <w:spacing w:after="0" w:line="117" w:lineRule="exact"/>
        <w:rPr>
          <w:sz w:val="20"/>
          <w:szCs w:val="20"/>
          <w:color w:val="auto"/>
        </w:rPr>
      </w:pPr>
    </w:p>
    <w:p>
      <w:pPr>
        <w:ind w:left="240" w:right="200"/>
        <w:spacing w:after="0" w:line="332" w:lineRule="auto"/>
        <w:rPr>
          <w:sz w:val="20"/>
          <w:szCs w:val="20"/>
          <w:color w:val="auto"/>
        </w:rPr>
      </w:pPr>
      <w:r>
        <w:rPr>
          <w:rFonts w:ascii="Arial" w:cs="Arial" w:eastAsia="Arial" w:hAnsi="Arial"/>
          <w:sz w:val="16"/>
          <w:szCs w:val="16"/>
          <w:color w:val="auto"/>
        </w:rPr>
        <w:t>United and UAL entered into the Credit Agreement as the borrower and guarantor, respectively. The Company’s Credit Agreement originally consisted of a $900 million term loan due April 1, 2019 and a $1.0 billion revolving credit facility available for drawing until April 1, 2018.</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 and Capital Lease Principal Payments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year ended December 31, 2013, the Company made debt and capital lease principal payments of $2.3 billion, including the following prepayments:</w:t>
      </w:r>
    </w:p>
    <w:p>
      <w:pPr>
        <w:spacing w:after="0" w:line="86" w:lineRule="exact"/>
        <w:rPr>
          <w:sz w:val="20"/>
          <w:szCs w:val="20"/>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used $900 million from the Credit Agreement, together with approximately $300 million of cash to retire the entire principal balance of a $1.2 billion term loan due 2014 that was outstanding under United’s Amended and Restated Revolving Credit, Term Loan and Guaranty Agreement, dated as of February 2, 2007.</w:t>
      </w:r>
    </w:p>
    <w:p>
      <w:pPr>
        <w:spacing w:after="0" w:line="32"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United redeemed all of the $400 million aggregate principal amount of its 9.875% Senior Secured Notes due 2013 and $200 million aggregate principal amount of 12.0% Senior Second Lien Notes due 2013.</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United redeemed $303 million aggregate principal amount of EETC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 Not Affecting Cash</w:t>
      </w:r>
    </w:p>
    <w:p>
      <w:pPr>
        <w:spacing w:after="0" w:line="117"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color w:val="auto"/>
        </w:rPr>
        <w:t>UAL issued approximately 28 million shares of UAL common stock pursuant to agreements that UAL entered into with certain of its securityholders in exchange for approximately $240 million in aggregate principal amount of UAL’s outstanding 6% Convertible Senior Notes held by the holders of these notes. The Company retired the 6% Convertible Senior Notes acquired in the exchange.</w:t>
      </w:r>
    </w:p>
    <w:p>
      <w:pPr>
        <w:spacing w:after="0" w:line="8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For additional information regarding these Liquidity and Capital Resource matters, see Notes 3, 11, 13 and 14 to the financial statements included in Part II, Item 8 of this report. For information regarding non-cash investing and financing activities, see the Company’s statements of consolidated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As of the filing date of this report, UAL and United had the following corporate credit ratings:</w:t>
      </w:r>
    </w:p>
    <w:p>
      <w:pPr>
        <w:spacing w:after="0" w:line="131" w:lineRule="exact"/>
        <w:rPr>
          <w:sz w:val="20"/>
          <w:szCs w:val="20"/>
          <w:color w:val="auto"/>
        </w:rPr>
      </w:pPr>
    </w:p>
    <w:tbl>
      <w:tblPr>
        <w:tblLayout w:type="fixed"/>
        <w:tblInd w:w="1760" w:type="dxa"/>
        <w:tblCellMar>
          <w:top w:w="0" w:type="dxa"/>
          <w:left w:w="0" w:type="dxa"/>
          <w:bottom w:w="0" w:type="dxa"/>
          <w:right w:w="0" w:type="dxa"/>
        </w:tblCellMar>
      </w:tblPr>
      <w:tr>
        <w:trPr>
          <w:trHeight w:val="223"/>
        </w:trPr>
        <w:tc>
          <w:tcPr>
            <w:tcW w:w="54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S&amp;P</w:t>
            </w:r>
          </w:p>
        </w:tc>
        <w:tc>
          <w:tcPr>
            <w:tcW w:w="2080" w:type="dxa"/>
            <w:vAlign w:val="bottom"/>
            <w:gridSpan w:val="2"/>
          </w:tcPr>
          <w:p>
            <w:pPr>
              <w:spacing w:after="0"/>
              <w:rPr>
                <w:sz w:val="20"/>
                <w:szCs w:val="20"/>
                <w:color w:val="auto"/>
              </w:rPr>
            </w:pPr>
            <w:r>
              <w:rPr>
                <w:rFonts w:ascii="Arial" w:cs="Arial" w:eastAsia="Arial" w:hAnsi="Arial"/>
                <w:sz w:val="18"/>
                <w:szCs w:val="18"/>
                <w:color w:val="auto"/>
              </w:rPr>
              <w:t>Moody’s</w:t>
            </w:r>
          </w:p>
        </w:tc>
        <w:tc>
          <w:tcPr>
            <w:tcW w:w="360" w:type="dxa"/>
            <w:vAlign w:val="bottom"/>
          </w:tcPr>
          <w:p>
            <w:pPr>
              <w:jc w:val="center"/>
              <w:spacing w:after="0"/>
              <w:rPr>
                <w:sz w:val="20"/>
                <w:szCs w:val="20"/>
                <w:color w:val="auto"/>
              </w:rPr>
            </w:pPr>
            <w:r>
              <w:rPr>
                <w:rFonts w:ascii="Arial" w:cs="Arial" w:eastAsia="Arial" w:hAnsi="Arial"/>
                <w:sz w:val="18"/>
                <w:szCs w:val="18"/>
                <w:color w:val="auto"/>
                <w:w w:val="92"/>
              </w:rPr>
              <w:t>Fitch</w:t>
            </w:r>
          </w:p>
        </w:tc>
      </w:tr>
      <w:tr>
        <w:trPr>
          <w:trHeight w:val="211"/>
        </w:trPr>
        <w:tc>
          <w:tcPr>
            <w:tcW w:w="5440" w:type="dxa"/>
            <w:vAlign w:val="bottom"/>
            <w:tcBorders>
              <w:top w:val="single" w:sz="8" w:color="CCCCCC"/>
            </w:tcBorders>
            <w:shd w:val="clear" w:color="auto" w:fill="CCCCCC"/>
          </w:tcPr>
          <w:p>
            <w:pPr>
              <w:ind w:left="1440"/>
              <w:spacing w:after="0"/>
              <w:rPr>
                <w:sz w:val="20"/>
                <w:szCs w:val="20"/>
                <w:color w:val="auto"/>
              </w:rPr>
            </w:pPr>
            <w:r>
              <w:rPr>
                <w:rFonts w:ascii="Arial" w:cs="Arial" w:eastAsia="Arial" w:hAnsi="Arial"/>
                <w:sz w:val="18"/>
                <w:szCs w:val="18"/>
                <w:color w:val="auto"/>
              </w:rPr>
              <w:t>UAL</w:t>
            </w:r>
          </w:p>
        </w:tc>
        <w:tc>
          <w:tcPr>
            <w:tcW w:w="340" w:type="dxa"/>
            <w:vAlign w:val="bottom"/>
            <w:tcBorders>
              <w:top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9"/>
              </w:rPr>
              <w:t>BB-</w:t>
            </w:r>
          </w:p>
        </w:tc>
        <w:tc>
          <w:tcPr>
            <w:tcW w:w="1440" w:type="dxa"/>
            <w:vAlign w:val="bottom"/>
            <w:tcBorders>
              <w:top w:val="single" w:sz="8" w:color="CCCCCC"/>
            </w:tcBorders>
            <w:shd w:val="clear" w:color="auto" w:fill="CCCCCC"/>
          </w:tcPr>
          <w:p>
            <w:pPr>
              <w:spacing w:after="0"/>
              <w:rPr>
                <w:sz w:val="18"/>
                <w:szCs w:val="18"/>
                <w:color w:val="auto"/>
              </w:rPr>
            </w:pPr>
          </w:p>
        </w:tc>
        <w:tc>
          <w:tcPr>
            <w:tcW w:w="64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7"/>
              </w:rPr>
              <w:t>Ba3</w:t>
            </w:r>
          </w:p>
        </w:tc>
        <w:tc>
          <w:tcPr>
            <w:tcW w:w="1440" w:type="dxa"/>
            <w:vAlign w:val="bottom"/>
            <w:tcBorders>
              <w:top w:val="single" w:sz="8" w:color="CCCCCC"/>
            </w:tcBorders>
            <w:shd w:val="clear" w:color="auto" w:fill="CCCCCC"/>
          </w:tcPr>
          <w:p>
            <w:pPr>
              <w:spacing w:after="0"/>
              <w:rPr>
                <w:sz w:val="18"/>
                <w:szCs w:val="18"/>
                <w:color w:val="auto"/>
              </w:rPr>
            </w:pPr>
          </w:p>
        </w:tc>
        <w:tc>
          <w:tcPr>
            <w:tcW w:w="36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BB-</w:t>
            </w:r>
          </w:p>
        </w:tc>
      </w:tr>
      <w:tr>
        <w:trPr>
          <w:trHeight w:val="216"/>
        </w:trPr>
        <w:tc>
          <w:tcPr>
            <w:tcW w:w="54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United</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BB-</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BB-</w:t>
            </w:r>
          </w:p>
        </w:tc>
      </w:tr>
    </w:tbl>
    <w:p>
      <w:pPr>
        <w:spacing w:after="0" w:line="97"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*The credit agency does not issue corporate credit ratings for subsidiary entities.</w:t>
      </w:r>
    </w:p>
    <w:p>
      <w:pPr>
        <w:spacing w:after="0" w:line="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These credit ratings are below investment grade levels. Downgrades from these rating levels, among other things, could restrict the availability or increase the cost of future financing for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CCCC"/>
          </w:tcPr>
          <w:p>
            <w:pPr>
              <w:spacing w:after="0"/>
              <w:rPr>
                <w:sz w:val="20"/>
                <w:szCs w:val="20"/>
                <w:color w:val="auto"/>
              </w:rPr>
            </w:pPr>
            <w:r>
              <w:rPr>
                <w:rFonts w:ascii="Arial" w:cs="Arial" w:eastAsia="Arial" w:hAnsi="Arial"/>
                <w:sz w:val="18"/>
                <w:szCs w:val="18"/>
                <w:color w:val="auto"/>
              </w:rPr>
              <w:t>Pension and other postretirement plans</w:t>
            </w:r>
          </w:p>
        </w:tc>
        <w:tc>
          <w:tcPr>
            <w:tcW w:w="4160" w:type="dxa"/>
            <w:vAlign w:val="bottom"/>
            <w:shd w:val="clear" w:color="auto" w:fill="CCCCCC"/>
          </w:tcPr>
          <w:p>
            <w:pPr>
              <w:ind w:left="3420"/>
              <w:spacing w:after="0"/>
              <w:rPr>
                <w:sz w:val="20"/>
                <w:szCs w:val="20"/>
                <w:color w:val="auto"/>
              </w:rPr>
            </w:pPr>
            <w:r>
              <w:rPr>
                <w:rFonts w:ascii="Arial" w:cs="Arial" w:eastAsia="Arial" w:hAnsi="Arial"/>
                <w:sz w:val="18"/>
                <w:szCs w:val="18"/>
                <w:color w:val="auto"/>
              </w:rPr>
              <w:t>Note 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Hedging activities</w:t>
            </w:r>
          </w:p>
        </w:tc>
        <w:tc>
          <w:tcPr>
            <w:tcW w:w="4160" w:type="dxa"/>
            <w:vAlign w:val="bottom"/>
          </w:tcPr>
          <w:p>
            <w:pPr>
              <w:ind w:left="3420"/>
              <w:spacing w:after="0"/>
              <w:rPr>
                <w:sz w:val="20"/>
                <w:szCs w:val="20"/>
                <w:color w:val="auto"/>
              </w:rPr>
            </w:pPr>
            <w:r>
              <w:rPr>
                <w:rFonts w:ascii="Arial" w:cs="Arial" w:eastAsia="Arial" w:hAnsi="Arial"/>
                <w:sz w:val="18"/>
                <w:szCs w:val="18"/>
                <w:color w:val="auto"/>
              </w:rPr>
              <w:t>Note 10</w:t>
            </w:r>
          </w:p>
        </w:tc>
      </w:tr>
      <w:tr>
        <w:trPr>
          <w:trHeight w:val="216"/>
        </w:trPr>
        <w:tc>
          <w:tcPr>
            <w:tcW w:w="6340" w:type="dxa"/>
            <w:vAlign w:val="bottom"/>
            <w:shd w:val="clear" w:color="auto" w:fill="CCCCCC"/>
          </w:tcPr>
          <w:p>
            <w:pPr>
              <w:spacing w:after="0"/>
              <w:rPr>
                <w:sz w:val="20"/>
                <w:szCs w:val="20"/>
                <w:color w:val="auto"/>
              </w:rPr>
            </w:pPr>
            <w:r>
              <w:rPr>
                <w:rFonts w:ascii="Arial" w:cs="Arial" w:eastAsia="Arial" w:hAnsi="Arial"/>
                <w:sz w:val="18"/>
                <w:szCs w:val="18"/>
                <w:color w:val="auto"/>
              </w:rPr>
              <w:t>Long-term debt and debt covenants</w:t>
            </w:r>
          </w:p>
        </w:tc>
        <w:tc>
          <w:tcPr>
            <w:tcW w:w="4160" w:type="dxa"/>
            <w:vAlign w:val="bottom"/>
            <w:shd w:val="clear" w:color="auto" w:fill="CCCCCC"/>
          </w:tcPr>
          <w:p>
            <w:pPr>
              <w:ind w:left="3420"/>
              <w:spacing w:after="0"/>
              <w:rPr>
                <w:sz w:val="20"/>
                <w:szCs w:val="20"/>
                <w:color w:val="auto"/>
              </w:rPr>
            </w:pPr>
            <w:r>
              <w:rPr>
                <w:rFonts w:ascii="Arial" w:cs="Arial" w:eastAsia="Arial" w:hAnsi="Arial"/>
                <w:sz w:val="18"/>
                <w:szCs w:val="18"/>
                <w:color w:val="auto"/>
              </w:rPr>
              <w:t>Note 11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Leases and capacity purchase agreements</w:t>
            </w:r>
          </w:p>
        </w:tc>
        <w:tc>
          <w:tcPr>
            <w:tcW w:w="4160" w:type="dxa"/>
            <w:vAlign w:val="bottom"/>
          </w:tcPr>
          <w:p>
            <w:pPr>
              <w:ind w:left="3420"/>
              <w:spacing w:after="0"/>
              <w:rPr>
                <w:sz w:val="20"/>
                <w:szCs w:val="20"/>
                <w:color w:val="auto"/>
              </w:rPr>
            </w:pPr>
            <w:r>
              <w:rPr>
                <w:rFonts w:ascii="Arial" w:cs="Arial" w:eastAsia="Arial" w:hAnsi="Arial"/>
                <w:sz w:val="18"/>
                <w:szCs w:val="18"/>
                <w:color w:val="auto"/>
              </w:rPr>
              <w:t>Note 13</w:t>
            </w:r>
          </w:p>
        </w:tc>
      </w:tr>
      <w:tr>
        <w:trPr>
          <w:trHeight w:val="216"/>
        </w:trPr>
        <w:tc>
          <w:tcPr>
            <w:tcW w:w="634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Commitments and contingencies</w:t>
            </w:r>
          </w:p>
        </w:tc>
        <w:tc>
          <w:tcPr>
            <w:tcW w:w="4160" w:type="dxa"/>
            <w:vAlign w:val="bottom"/>
            <w:tcBorders>
              <w:bottom w:val="single" w:sz="8" w:color="auto"/>
            </w:tcBorders>
            <w:shd w:val="clear" w:color="auto" w:fill="CCCCCC"/>
          </w:tcPr>
          <w:p>
            <w:pPr>
              <w:ind w:left="3420"/>
              <w:spacing w:after="0"/>
              <w:rPr>
                <w:sz w:val="20"/>
                <w:szCs w:val="20"/>
                <w:color w:val="auto"/>
              </w:rPr>
            </w:pPr>
            <w:r>
              <w:rPr>
                <w:rFonts w:ascii="Arial" w:cs="Arial" w:eastAsia="Arial" w:hAnsi="Arial"/>
                <w:sz w:val="18"/>
                <w:szCs w:val="18"/>
                <w:color w:val="auto"/>
              </w:rPr>
              <w:t>Note 15</w:t>
            </w:r>
          </w:p>
        </w:tc>
      </w:tr>
    </w:tbl>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The Company’s business is capital intensive, requiring significant amounts of capital to fund the acquisition of assets, particularly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In the past, the Company has funded the acquisition of aircraft through outright purchase, by issuing debt, by entering into capital or operating leases, or through vendor financings. The Company also often enters into long-term lease commitments with airports to ensure access to terminal, cargo, maintenance and other required facilities.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provides a summary of the Company’s material contractual obligations as of December 31, 2015 (in billions):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b w:val="1"/>
                <w:bCs w:val="1"/>
                <w:color w:val="auto"/>
              </w:rPr>
              <w:t>After</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4"/>
              </w:rPr>
              <w:t>2016</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14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2"/>
        </w:trPr>
        <w:tc>
          <w:tcPr>
            <w:tcW w:w="4420" w:type="dxa"/>
            <w:vAlign w:val="bottom"/>
            <w:tcBorders>
              <w:top w:val="single" w:sz="8" w:color="CCCCCC"/>
            </w:tcBorders>
            <w:gridSpan w:val="2"/>
            <w:shd w:val="clear" w:color="auto" w:fill="CCCCCC"/>
          </w:tcPr>
          <w:p>
            <w:pPr>
              <w:spacing w:after="0" w:line="205" w:lineRule="exact"/>
              <w:rPr>
                <w:sz w:val="20"/>
                <w:szCs w:val="20"/>
                <w:color w:val="auto"/>
              </w:rPr>
            </w:pPr>
            <w:r>
              <w:rPr>
                <w:rFonts w:ascii="Arial" w:cs="Arial" w:eastAsia="Arial" w:hAnsi="Arial"/>
                <w:sz w:val="18"/>
                <w:szCs w:val="18"/>
                <w:color w:val="auto"/>
              </w:rPr>
              <w:t>Long-term debt (a)</w:t>
            </w:r>
          </w:p>
        </w:tc>
        <w:tc>
          <w:tcPr>
            <w:tcW w:w="48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$1.2</w:t>
            </w:r>
          </w:p>
        </w:tc>
        <w:tc>
          <w:tcPr>
            <w:tcW w:w="560" w:type="dxa"/>
            <w:vAlign w:val="bottom"/>
            <w:tcBorders>
              <w:top w:val="single" w:sz="8" w:color="CCCCCC"/>
            </w:tcBorders>
            <w:shd w:val="clear" w:color="auto" w:fill="CCCCCC"/>
          </w:tcPr>
          <w:p>
            <w:pPr>
              <w:spacing w:after="0"/>
              <w:rPr>
                <w:sz w:val="18"/>
                <w:szCs w:val="18"/>
                <w:color w:val="auto"/>
              </w:rPr>
            </w:pPr>
          </w:p>
        </w:tc>
        <w:tc>
          <w:tcPr>
            <w:tcW w:w="48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$0.8</w:t>
            </w:r>
          </w:p>
        </w:tc>
        <w:tc>
          <w:tcPr>
            <w:tcW w:w="560" w:type="dxa"/>
            <w:vAlign w:val="bottom"/>
            <w:tcBorders>
              <w:top w:val="single" w:sz="8" w:color="CCCCCC"/>
            </w:tcBorders>
            <w:shd w:val="clear" w:color="auto" w:fill="CCCCCC"/>
          </w:tcPr>
          <w:p>
            <w:pPr>
              <w:spacing w:after="0"/>
              <w:rPr>
                <w:sz w:val="18"/>
                <w:szCs w:val="18"/>
                <w:color w:val="auto"/>
              </w:rPr>
            </w:pPr>
          </w:p>
        </w:tc>
        <w:tc>
          <w:tcPr>
            <w:tcW w:w="48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$1.4</w:t>
            </w:r>
          </w:p>
        </w:tc>
        <w:tc>
          <w:tcPr>
            <w:tcW w:w="560" w:type="dxa"/>
            <w:vAlign w:val="bottom"/>
            <w:tcBorders>
              <w:top w:val="single" w:sz="8" w:color="CCCCCC"/>
            </w:tcBorders>
            <w:shd w:val="clear" w:color="auto" w:fill="CCCCCC"/>
          </w:tcPr>
          <w:p>
            <w:pPr>
              <w:spacing w:after="0"/>
              <w:rPr>
                <w:sz w:val="18"/>
                <w:szCs w:val="18"/>
                <w:color w:val="auto"/>
              </w:rPr>
            </w:pPr>
          </w:p>
        </w:tc>
        <w:tc>
          <w:tcPr>
            <w:tcW w:w="48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$1.8</w:t>
            </w:r>
          </w:p>
        </w:tc>
        <w:tc>
          <w:tcPr>
            <w:tcW w:w="560" w:type="dxa"/>
            <w:vAlign w:val="bottom"/>
            <w:tcBorders>
              <w:top w:val="single" w:sz="8" w:color="CCCCCC"/>
            </w:tcBorders>
            <w:shd w:val="clear" w:color="auto" w:fill="CCCCCC"/>
          </w:tcPr>
          <w:p>
            <w:pPr>
              <w:spacing w:after="0"/>
              <w:rPr>
                <w:sz w:val="18"/>
                <w:szCs w:val="18"/>
                <w:color w:val="auto"/>
              </w:rPr>
            </w:pPr>
          </w:p>
        </w:tc>
        <w:tc>
          <w:tcPr>
            <w:tcW w:w="48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$0.9</w:t>
            </w:r>
          </w:p>
        </w:tc>
        <w:tc>
          <w:tcPr>
            <w:tcW w:w="56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4.9</w:t>
            </w:r>
          </w:p>
        </w:tc>
        <w:tc>
          <w:tcPr>
            <w:tcW w:w="540" w:type="dxa"/>
            <w:vAlign w:val="bottom"/>
            <w:tcBorders>
              <w:top w:val="single" w:sz="8" w:color="CCCCCC"/>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CCCC"/>
            </w:tcBorders>
            <w:shd w:val="clear" w:color="auto" w:fill="CCCCCC"/>
          </w:tcPr>
          <w:p>
            <w:pPr>
              <w:spacing w:after="0"/>
              <w:rPr>
                <w:sz w:val="18"/>
                <w:szCs w:val="18"/>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Capital lease obligations—principal portion</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16"/>
        </w:trPr>
        <w:tc>
          <w:tcPr>
            <w:tcW w:w="4420" w:type="dxa"/>
            <w:vAlign w:val="bottom"/>
            <w:gridSpan w:val="2"/>
            <w:shd w:val="clear" w:color="auto" w:fill="CCCCCC"/>
          </w:tcPr>
          <w:p>
            <w:pPr>
              <w:ind w:left="220"/>
              <w:spacing w:after="0"/>
              <w:rPr>
                <w:sz w:val="20"/>
                <w:szCs w:val="20"/>
                <w:color w:val="auto"/>
              </w:rPr>
            </w:pPr>
            <w:r>
              <w:rPr>
                <w:rFonts w:ascii="Arial" w:cs="Arial" w:eastAsia="Arial" w:hAnsi="Arial"/>
                <w:sz w:val="18"/>
                <w:szCs w:val="18"/>
                <w:color w:val="auto"/>
              </w:rPr>
              <w:t>Total debt and capital lease obligations</w:t>
            </w: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0.9</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0.9</w:t>
            </w:r>
          </w:p>
        </w:tc>
        <w:tc>
          <w:tcPr>
            <w:tcW w:w="5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CCCC"/>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Interest on debt and capital lease obligations (b)</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0.5</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44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Aircraft operating lease obligations</w:t>
            </w: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0.9</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CCCC"/>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Regional CPAs (c)</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4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Other operating lease obligations</w:t>
            </w: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0.9</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0.9</w:t>
            </w:r>
          </w:p>
        </w:tc>
        <w:tc>
          <w:tcPr>
            <w:tcW w:w="5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6.7</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CCCC"/>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Postretirement obligations (d)</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44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Pension obligations (e)</w:t>
            </w: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spacing w:after="0"/>
              <w:rPr>
                <w:sz w:val="18"/>
                <w:szCs w:val="18"/>
                <w:color w:val="auto"/>
              </w:rPr>
            </w:pP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spacing w:after="0"/>
              <w:rPr>
                <w:sz w:val="18"/>
                <w:szCs w:val="18"/>
                <w:color w:val="auto"/>
              </w:rPr>
            </w:pP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spacing w:after="0"/>
              <w:rPr>
                <w:sz w:val="18"/>
                <w:szCs w:val="18"/>
                <w:color w:val="auto"/>
              </w:rPr>
            </w:pP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CCCC"/>
          </w:tcPr>
          <w:p>
            <w:pPr>
              <w:spacing w:after="0"/>
              <w:rPr>
                <w:sz w:val="18"/>
                <w:szCs w:val="18"/>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Capital purchase obligations (f)</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r>
      <w:tr>
        <w:trPr>
          <w:trHeight w:val="216"/>
        </w:trPr>
        <w:tc>
          <w:tcPr>
            <w:tcW w:w="4420" w:type="dxa"/>
            <w:vAlign w:val="bottom"/>
            <w:gridSpan w:val="2"/>
            <w:shd w:val="clear" w:color="auto" w:fill="CCCCCC"/>
          </w:tcPr>
          <w:p>
            <w:pPr>
              <w:ind w:left="220"/>
              <w:spacing w:after="0"/>
              <w:rPr>
                <w:sz w:val="20"/>
                <w:szCs w:val="20"/>
                <w:color w:val="auto"/>
              </w:rPr>
            </w:pPr>
            <w:r>
              <w:rPr>
                <w:rFonts w:ascii="Arial" w:cs="Arial" w:eastAsia="Arial" w:hAnsi="Arial"/>
                <w:sz w:val="18"/>
                <w:szCs w:val="18"/>
                <w:color w:val="auto"/>
              </w:rPr>
              <w:t>Total contractual obligations</w:t>
            </w:r>
          </w:p>
        </w:tc>
        <w:tc>
          <w:tcPr>
            <w:tcW w:w="480" w:type="dxa"/>
            <w:vAlign w:val="bottom"/>
            <w:shd w:val="clear" w:color="auto" w:fill="CCCCCC"/>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w:t>
            </w:r>
          </w:p>
        </w:tc>
        <w:tc>
          <w:tcPr>
            <w:tcW w:w="104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w:t>
            </w:r>
          </w:p>
        </w:tc>
        <w:tc>
          <w:tcPr>
            <w:tcW w:w="740" w:type="dxa"/>
            <w:vAlign w:val="bottom"/>
            <w:gridSpan w:val="2"/>
            <w:shd w:val="clear" w:color="auto" w:fill="CCCCCC"/>
          </w:tcPr>
          <w:p>
            <w:pPr>
              <w:ind w:left="6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w w:val="79"/>
              </w:rPr>
              <w:t>30.6</w:t>
            </w: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73.9</w:t>
            </w:r>
          </w:p>
        </w:tc>
        <w:tc>
          <w:tcPr>
            <w:tcW w:w="100" w:type="dxa"/>
            <w:vAlign w:val="bottom"/>
            <w:shd w:val="clear" w:color="auto" w:fill="CCCCCC"/>
          </w:tcPr>
          <w:p>
            <w:pPr>
              <w:spacing w:after="0"/>
              <w:rPr>
                <w:sz w:val="18"/>
                <w:szCs w:val="18"/>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right="340" w:hanging="332"/>
        <w:spacing w:after="0" w:line="265"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Long-term debt presented in the Company’s financial statements is net of $145 million of debt discount, premiums and debt issuance costs which are being amortized over the debt terms. Contractual payments are not net of the debt discount, premiums and debt issuance costs. Contractual long-term debt includes $20 million of non-cash obligations as these debt payments are made directly to the creditor by a company that leases one aircraft from United. The creditor’s only recourse to United is repossession of the aircraft.</w:t>
      </w:r>
    </w:p>
    <w:p>
      <w:pPr>
        <w:ind w:left="340" w:right="1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interest portion of capital lease obligations of $71 million in 2016, $55 million in 2017, $45 million in 2018, $39 million in 2019, $37 million in 2020 and $309 million thereafter. Future interest payments on variable rate debt are estimated using estimated future variable rates based on a yield curve.</w:t>
      </w:r>
    </w:p>
    <w:p>
      <w:pPr>
        <w:ind w:left="340" w:right="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our estimates of future minimum noncancelable commitments under our CPAs and does not include the portion of the underlying obligations for aircraft and facility rent that is disclosed as part of aircraft and nonaircraft operating leases. Amounts also exclude a portion of United’s capital lease obligation recorded for certain of its CPAs. See Note 13 to the financial statements included in Part II, Item 8 of this report for the significant assumptions used to estimate the payments.</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represent postretirement benefit payments, net of subsidy receipts, through 2025. Benefit payments approximate plan contributions as plans are substantially unfunded.</w:t>
      </w:r>
    </w:p>
    <w:p>
      <w:pPr>
        <w:ind w:left="340" w:right="160" w:hanging="332"/>
        <w:spacing w:after="0" w:line="25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estimate of the minimum funding requirements as determined by government regulations for United’s material pension plans. Amounts are subject to change based on numerous assumptions, including the performance of assets in the plan and bond rates. See Critical Accounting Policies, below, for a discussion of our current year assumptions regarding United’s pension plans.</w:t>
      </w:r>
    </w:p>
    <w:p>
      <w:pPr>
        <w:ind w:left="340" w:right="20" w:hanging="332"/>
        <w:spacing w:after="0" w:line="22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contractual commitments for firm order aircraft and spare engines only and noncancelable commitments to purchase goods and services, primarily information technology support. In January 2016, UAL entered into a purchase agreement amendment with Boeing for a firm narrowbody aircraft order of 40 Boeing 737NG aircraft and the table above is adjusted to include that impact. See Note 15 to the financial statements included in Part II, Item 8 of this report for a discussion of our purchase commitments.</w:t>
      </w:r>
    </w:p>
    <w:p>
      <w:pPr>
        <w:spacing w:after="0" w:line="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An off-balance sheet arrangement is any transaction, agreement or other contractual arrangement involving an unconsolidated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or that engages in leasing, hedging or research and development arrangements. The Company’s primary off-balance sheet arrangements include operating leases, which are summarized in the contractual obligations table in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above, and certain municipal bond obligations, as discussed below.</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of December 31, 2015, United had cash collateralized $70 million of letters of credit. United also had $437 million of performance bonds relating to various real estate, customs and aircraft financing obligations at December 31, 2015. Most of the letters of credit have evergreen clauses and are expected to be renewed on an annual basis and the performance bonds have expiration dates through 2019.</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2015, United is the guarantor of approximately $1.9 billion in aggregate principal amount of tax-exempt special facilities revenue bonds and interest thereon. These bonds, issued by various airport municipalities, are payable solely from rentals paid under long-term agreements with the respective governing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bodies. The leasing arrangements associated with a majority of these obligations are accounted for as operating leases. The leasing arrangements associated with a portion of these obligations are accounted for as capital leases. The annual lease payments for those obligations accounted for as operating leases are included in the operating lease payments in the contractual obligations table above.</w:t>
      </w:r>
    </w:p>
    <w:p>
      <w:pPr>
        <w:spacing w:after="0" w:line="8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EETCs. </w:t>
      </w:r>
      <w:r>
        <w:rPr>
          <w:rFonts w:ascii="Arial" w:cs="Arial" w:eastAsia="Arial" w:hAnsi="Arial"/>
          <w:sz w:val="16"/>
          <w:szCs w:val="16"/>
          <w:color w:val="auto"/>
        </w:rPr>
        <w:t>In November 2015 and August 2014, United completed two separate EETC offerings for a total principal amount of $1.5 billion. United has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all of the proceeds from these offerings as debt as of December 31, 2015. See Notes 11 and 14 to the financial statements included in Part II, Item 8 of this report for additional information on EETC pass-through trusts and variable interest entity consideration.</w:t>
      </w:r>
    </w:p>
    <w:p>
      <w:pPr>
        <w:spacing w:after="0" w:line="5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See Note 15 to the financial statements included in Part II, Item 8 of this report for additional information on increased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related to the Company’s debt.</w:t>
      </w:r>
    </w:p>
    <w:p>
      <w:pPr>
        <w:spacing w:after="0" w:line="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Fuel Consortia. </w:t>
      </w:r>
      <w:r>
        <w:rPr>
          <w:rFonts w:ascii="Arial" w:cs="Arial" w:eastAsia="Arial" w:hAnsi="Arial"/>
          <w:sz w:val="16"/>
          <w:szCs w:val="16"/>
          <w:color w:val="auto"/>
        </w:rPr>
        <w:t>United participates in numerous fuel consortia with other air carriers at major airports to reduce the costs of fuel distribution and storage.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2015, approximately $1.3 billion principal amount of such bonds were secured by significant fuel facility leases in which United participates, as to which United and each of the signatory airlines has provided indirect guarantees of the debt. As of December 31, 2015, the Company’s contingent exposure was approximately $224 million principal amount of such bonds based on its recent consortia participation. The Company’s contingent exposure could increase if the participation of other air carriers decreases. The guarantees will expire when the tax-exempt bonds are paid in full, which ranges from 2017 to 2041. The Company did not record a liability at the time these indirect guarantees were made. See Note 15 to the financial statements included in Part II, Item 8 of this report for additional information related to the Company’s fuel consortia.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GAAP, which requires management to make estimates and assumptions that affect the reported amounts in the financial statements. Actual results could differ from those estimates under different assumptions or conditions. The Company has identified the following critical accounting policies that impact the preparation of the financial statements.</w:t>
      </w:r>
    </w:p>
    <w:p>
      <w:pPr>
        <w:spacing w:after="0" w:line="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records passenger ticket sales and tickets sold by other airlines for use on United as passenger revenue when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transportation is provided or upon estimated breakage. The value of unused passenger tickets is included in current liabilities as Advance ticket sales. Tickets sold by other airlines are recorded at the estimated values to be billed to the other airlines. Differences between amounts billed and the actual amounts may be rejected and rebilled or written off if the amount recorded was different from the original estimate. When necessary, the Company records a reserve against our interline billings and payables if historical experience indicates that these amounts are different. Non-refundable tickets generally expire on the date of the intended flight, unless the date is extended by notification from the customer on or before the intended flight date.</w:t>
      </w:r>
    </w:p>
    <w:p>
      <w:pPr>
        <w:spacing w:after="0" w:line="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Fees charged in association with changes or extensions to non-refundable tickets are recorded as other revenue at the time the fee is incurred. The fare on the changed ticket, including any additional collection of fare, is deferred and recognized in accordance with our transportation revenue recognition policy at the time the transportation is provided. Change fees related to non-refundable tickets are considered a separate transaction from the air transportation because they represent a charge for the Company’s additional service to modify a previous sale. Therefore, the pricing of the change fee and the initial customer order are separately determined and represent distinct earnings processes.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records an estimate of breakage revenue on the flight date for tickets that will expire unused. These estimates are based on the evaluation of actual historical results and forecasted trends. Refundable tickets expire after one year from the date of issuance.</w:t>
      </w:r>
    </w:p>
    <w:p>
      <w:pPr>
        <w:spacing w:after="0" w:line="78"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 xml:space="preserve">In May 2014, the Financial Accounting Standards Board (“FASB”) amended the FASB Accounting Standards Codification and created a new Topic 606,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w:t>
      </w:r>
      <w:r>
        <w:rPr>
          <w:rFonts w:ascii="Arial" w:cs="Arial" w:eastAsia="Arial" w:hAnsi="Arial"/>
          <w:sz w:val="15"/>
          <w:szCs w:val="15"/>
          <w:color w:val="auto"/>
        </w:rPr>
        <w:t>. This amendment prescribes that an entity should recognize revenue to depict the transfer of promised goods or services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customers in an amount that reflects the consideration to which the entity expects to be entitled in exchange for those goods or services. The amendment supersedes the revenue recognition requirements in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and most industry-specific guidance throughout the Industry Topics of the Codification. The amendment will become effective for the Company’s annual and interim reporting periods beginning after December 15, 2017. Under the new standard, certain airline ancillary fees directly related to passenger revenue tickets, such as airline change fees and baggage fees, are likely to no longer be considered distinct performance obligations separate from the passenger travel component. In addition, the change fees which were previously recognized when received, will likely be recognized when transportation is provided. The Company is evaluating other impacts on its consolidated financial statements.</w:t>
      </w:r>
    </w:p>
    <w:p>
      <w:pPr>
        <w:spacing w:after="0" w:line="5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 xml:space="preserve">Frequent Flyer Accounting. </w:t>
      </w:r>
      <w:r>
        <w:rPr>
          <w:rFonts w:ascii="Arial" w:cs="Arial" w:eastAsia="Arial" w:hAnsi="Arial"/>
          <w:sz w:val="16"/>
          <w:szCs w:val="16"/>
          <w:color w:val="auto"/>
        </w:rPr>
        <w:t>The Company’s MileagePlus program is designed to increase customer loyalty. Program participants earn miles by flying on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certain other participating airlines. Program participants can also earn miles through purchases from other non-airline partners that participate in the Company’s loyalty program. We sell miles to these partners, which include credit card issuers, retail merchants, hotels, car rental companies and our participating airline partners. Miles can be redeemed for free (other than taxes and government imposed fees), discounted or upgraded air travel and non-travel awards. The Company records its obligation for future award redemptions using a deferred revenue model.</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case of the sale of air services, the Company recognizes a portion of the ticket sales as revenue when the air transportation occurs and defers a portion of the ticket sale representing the value of the related miles as a multiple-deliverable revenue arrangement. The miles are recorded in Frequent flyer deferred revenue on the Company’s consolidated balance sheet and recognized into revenue when the transportation is provided.</w:t>
      </w:r>
    </w:p>
    <w:p>
      <w:pPr>
        <w:spacing w:after="0" w:line="5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determines the estimated selling price of air transportation and miles as if each element is sold on a separate basis. The total consideration from each ticket sale is then allocated to each of these elements individually on a pro rata basis.</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estimated selling price of miles is based on an equivalent ticket value less fulfillment discount, which incorporates the expected redemption of miles, as the best estimate of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a fulfillment discount that considers a number of factors, including redemption patterns of various customer groups.</w:t>
      </w:r>
    </w:p>
    <w:p>
      <w:pPr>
        <w:spacing w:after="0" w:line="8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United has a significant contract to sell MileagePlus miles to its co-branded credit card partner, Chase. United identified the following significant revenue elements in the Co-Brand Agreement: the air transportation element represented by the value of the mile (generally resulting from its redemption for future air transportation and whose fair value is described above); use of the United brand and access to MileagePlus member lists; advertising; and other travel related benefits.</w:t>
      </w:r>
    </w:p>
    <w:p>
      <w:pPr>
        <w:spacing w:after="0" w:line="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fair value of the elements is determined using management’s estimated selling price of each element.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multiple elements to be delivered. We also evaluate volumes on an annual basis, which may result in a change in the allocation of estimated selling price on a prospective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records passenger revenue related to the air transportation element when the transportation is delivered. The other elements are generally recognized as Other operating revenue when earned.</w:t>
      </w:r>
    </w:p>
    <w:p>
      <w:pPr>
        <w:spacing w:after="0" w:line="7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Company accounts for miles sold and awarded that will never be redeemed by program members, which we refer to as breakage. The Company reviews its breakage estimates annually based upon the latest available information regarding redemption and expiration patterns. Miles expire after 18 months of member account inactivity. The Company’s estimate of the expected expiration of miles requires significant management judgment. Current and future changes to expiration assumptions or to the expiration policy, or to program rules and program redemption opportunities, may result in material changes to the deferred revenue balance as well as recognized revenues from the programs.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The following table summarizes information related to the Company’s Frequent flyer deferred revenue liability:</w:t>
            </w: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CCCC"/>
          </w:tcPr>
          <w:p>
            <w:pPr>
              <w:spacing w:after="0"/>
              <w:rPr>
                <w:sz w:val="20"/>
                <w:szCs w:val="20"/>
                <w:color w:val="auto"/>
              </w:rPr>
            </w:pPr>
            <w:r>
              <w:rPr>
                <w:rFonts w:ascii="Arial" w:cs="Arial" w:eastAsia="Arial" w:hAnsi="Arial"/>
                <w:sz w:val="18"/>
                <w:szCs w:val="18"/>
                <w:color w:val="auto"/>
              </w:rPr>
              <w:t>Frequent flyer deferred revenue at December 31, 2015 (in millions)</w:t>
            </w:r>
          </w:p>
        </w:tc>
        <w:tc>
          <w:tcPr>
            <w:tcW w:w="1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w w:val="84"/>
              </w:rPr>
              <w:t>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 of miles earned expected to expire</w:t>
            </w:r>
          </w:p>
        </w:tc>
        <w:tc>
          <w:tcPr>
            <w:tcW w:w="15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CCCC"/>
          </w:tcPr>
          <w:p>
            <w:pPr>
              <w:spacing w:after="0"/>
              <w:rPr>
                <w:sz w:val="20"/>
                <w:szCs w:val="20"/>
                <w:color w:val="auto"/>
              </w:rPr>
            </w:pPr>
            <w:r>
              <w:rPr>
                <w:rFonts w:ascii="Arial" w:cs="Arial" w:eastAsia="Arial" w:hAnsi="Arial"/>
                <w:sz w:val="18"/>
                <w:szCs w:val="18"/>
                <w:color w:val="auto"/>
              </w:rPr>
              <w:t>Impact of 1% change in outstanding miles or weighted average ticket value on deferred revenue (in millions)</w:t>
            </w:r>
          </w:p>
        </w:tc>
        <w:tc>
          <w:tcPr>
            <w:tcW w:w="1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Effective March 1, 2015, the Company modified its MileagePlus program for most tickets from a model in which members earned redeemable miles based on distance traveled to one based on ticket price (including base fare and carrier imposed surcharges). Members now earn between five and eleven miles per dollar spent based on their MileagePlus status. The updated program enhances the rewards for customers who spend more with United and gives them improved mileage-earning opportunities. This modification had no material impact to the Frequent flyer deferred revenue on the Company’s consolidated balance sheet.</w:t>
      </w:r>
    </w:p>
    <w:p>
      <w:pPr>
        <w:spacing w:after="0" w:line="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Long-Lived Assets. </w:t>
      </w:r>
      <w:r>
        <w:rPr>
          <w:rFonts w:ascii="Arial" w:cs="Arial" w:eastAsia="Arial" w:hAnsi="Arial"/>
          <w:sz w:val="18"/>
          <w:szCs w:val="18"/>
          <w:color w:val="auto"/>
        </w:rPr>
        <w:t>The net book value of operating property and equipment for the Company was $22 billion and $19 billion at December 31, 2015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respectively. The assets’ recorded value is impacted by a number of accounting policy elections, including the estimation of useful lives and residual values and, when necessary, the recognition of asset impairment charges.</w:t>
      </w:r>
    </w:p>
    <w:p>
      <w:pPr>
        <w:spacing w:after="0" w:line="8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Company records assets acquired, including aircraft, at acquisition cost. Depreciable life is determined through economic analysis, such as reviewing existing fleet plans, obtaining appraisals and comparing estimated lives to other airlines that operate similar fleets. As aircraft technology has improved, useful life has increased and the Company has generally estimated the lives of those aircraft to be 30 years. Residual values are estimated based on historical experience with regard to the sale of both aircraft and spare parts and are established in conjunction with the estimated useful lives of the related fleets. Residual values are based on when the aircraft are acquired and typically reflect asset values that have not reached the end of their physical life. Both depreciable lives and residual values are revised periodically as facts and circumstances arise to recognize changes in the Company’s fleet plan and other relevant information. A one-year increase in the average depreciable life of the Company’s flight equipment would reduce annual depreciation expense on flight equipment by approximately $50 million.</w:t>
      </w:r>
    </w:p>
    <w:p>
      <w:pPr>
        <w:spacing w:after="0" w:line="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evaluates the carrying value of long-lived assets and intangible assets subject to amortization whenever events or changes in circumstances indicate that an impairment may exist. For purposes of this testing, the Company has generally identified the aircraft fleet type as the lowest level of identifiable cash flows for purposes of testing aircraft for impairment. An impairment charge is recognized when the asset’s carrying value exceeds its net undiscounted future cash flows and its fair market value. The amount of the charge is the difference between the asset’s carrying value and fair market value.</w:t>
      </w:r>
    </w:p>
    <w:p>
      <w:pPr>
        <w:spacing w:after="0" w:line="59"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 xml:space="preserve">Defined Benefit Plan Accounting. </w:t>
      </w:r>
      <w:r>
        <w:rPr>
          <w:rFonts w:ascii="Arial" w:cs="Arial" w:eastAsia="Arial" w:hAnsi="Arial"/>
          <w:sz w:val="15"/>
          <w:szCs w:val="15"/>
          <w:color w:val="auto"/>
        </w:rPr>
        <w:t>We sponsor defined benefit pension plans for eligible employees and retirees. The most critical assumptions impacting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defined benefit pension plan obligations and expenses are the weighted average discount rate and the expected long-term rate of return on the plan assets.</w:t>
      </w:r>
    </w:p>
    <w:p>
      <w:pPr>
        <w:spacing w:after="0" w:line="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United’s pension plans’ under-funded status was $1.5 billion at December 31, 2015. Funding requirements for tax-qualified defined benefit pension plans are determined by government regulations. In 2016, we anticipate contributing at least $400 million to our pension plans. The fair value of the plans’ assets was $3.0 billion at December 31, 2015.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right="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calculating pension expense for 2016, the Company assumed that its plans’ assets would generate a long-term rate of return of approximately 7.0%. The expected long-term rate of return assumption was developed based on historical experience and input from the trustee managing the plans’ assets. The expected long-term rate of return on plan assets is based on a target allocation of assets, which is based on a goal of earning the highest rate of return while maintaining risk at acceptable levels. Our projected long-term rate of return reflects the active management of our plans’ assets. The plans strive to have assets sufficiently diversified so that adverse or unexpected results from one security class will not have an unduly detrimental impact on the entire portfolio. Plan fiduciaries regularly review actual asset allocation and the pension plans’ investments are periodically rebalanced to the targeted allocation when considered appropriate.</w:t>
      </w:r>
    </w:p>
    <w:p>
      <w:pPr>
        <w:spacing w:after="0" w:line="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defined benefit pension plans’ assets consist of return generating investments and risk mitigating investments which are held through direct ownership or through interests in common collective trusts. Return generating investments include primarily equity securities, fixed-income securities and alternative investments (e.g. private equity and hedge funds). Risk mitigating investments include primarily U.S. government and investment grade corporate fixed-income securities. The allocation of assets was as follows at December 31, 2015: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w w:val="93"/>
              </w:rPr>
              <w:t>Expected Long-Term</w:t>
            </w:r>
          </w:p>
        </w:tc>
      </w:tr>
      <w:tr>
        <w:trPr>
          <w:trHeight w:val="223"/>
        </w:trPr>
        <w:tc>
          <w:tcPr>
            <w:tcW w:w="7380" w:type="dxa"/>
            <w:vAlign w:val="bottom"/>
          </w:tcPr>
          <w:p>
            <w:pPr>
              <w:spacing w:after="0"/>
              <w:rPr>
                <w:sz w:val="19"/>
                <w:szCs w:val="19"/>
                <w:color w:val="auto"/>
              </w:rPr>
            </w:pPr>
          </w:p>
        </w:tc>
        <w:tc>
          <w:tcPr>
            <w:tcW w:w="2440" w:type="dxa"/>
            <w:vAlign w:val="bottom"/>
            <w:gridSpan w:val="2"/>
          </w:tcPr>
          <w:p>
            <w:pPr>
              <w:jc w:val="right"/>
              <w:ind w:right="1320"/>
              <w:spacing w:after="0"/>
              <w:rPr>
                <w:sz w:val="20"/>
                <w:szCs w:val="20"/>
                <w:color w:val="auto"/>
              </w:rPr>
            </w:pPr>
            <w:r>
              <w:rPr>
                <w:rFonts w:ascii="Arial" w:cs="Arial" w:eastAsia="Arial" w:hAnsi="Arial"/>
                <w:sz w:val="18"/>
                <w:szCs w:val="18"/>
                <w:color w:val="auto"/>
                <w:w w:val="86"/>
              </w:rPr>
              <w:t>Percent of Total</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Rate of Return</w:t>
            </w:r>
          </w:p>
        </w:tc>
      </w:tr>
      <w:tr>
        <w:trPr>
          <w:trHeight w:val="211"/>
        </w:trPr>
        <w:tc>
          <w:tcPr>
            <w:tcW w:w="7380" w:type="dxa"/>
            <w:vAlign w:val="bottom"/>
            <w:tcBorders>
              <w:top w:val="single" w:sz="8" w:color="CCCCCC"/>
            </w:tcBorders>
            <w:shd w:val="clear" w:color="auto" w:fill="CCCCCC"/>
          </w:tcPr>
          <w:p>
            <w:pPr>
              <w:ind w:left="100"/>
              <w:spacing w:after="0" w:line="203" w:lineRule="exact"/>
              <w:rPr>
                <w:sz w:val="20"/>
                <w:szCs w:val="20"/>
                <w:color w:val="auto"/>
              </w:rPr>
            </w:pPr>
            <w:r>
              <w:rPr>
                <w:rFonts w:ascii="Arial" w:cs="Arial" w:eastAsia="Arial" w:hAnsi="Arial"/>
                <w:sz w:val="18"/>
                <w:szCs w:val="18"/>
                <w:color w:val="auto"/>
              </w:rPr>
              <w:t>Equity securities</w:t>
            </w:r>
          </w:p>
        </w:tc>
        <w:tc>
          <w:tcPr>
            <w:tcW w:w="11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38 %</w:t>
            </w:r>
          </w:p>
        </w:tc>
        <w:tc>
          <w:tcPr>
            <w:tcW w:w="1320" w:type="dxa"/>
            <w:vAlign w:val="bottom"/>
            <w:tcBorders>
              <w:top w:val="single" w:sz="8" w:color="CCCCCC"/>
            </w:tcBorders>
            <w:shd w:val="clear" w:color="auto" w:fill="CCCCCC"/>
          </w:tcPr>
          <w:p>
            <w:pPr>
              <w:spacing w:after="0"/>
              <w:rPr>
                <w:sz w:val="18"/>
                <w:szCs w:val="18"/>
                <w:color w:val="auto"/>
              </w:rPr>
            </w:pPr>
          </w:p>
        </w:tc>
        <w:tc>
          <w:tcPr>
            <w:tcW w:w="1500" w:type="dxa"/>
            <w:vAlign w:val="bottom"/>
            <w:tcBorders>
              <w:top w:val="single" w:sz="8" w:color="auto"/>
            </w:tcBorders>
            <w:shd w:val="clear" w:color="auto" w:fill="CCCCCC"/>
          </w:tcPr>
          <w:p>
            <w:pPr>
              <w:ind w:left="1060"/>
              <w:spacing w:after="0"/>
              <w:rPr>
                <w:sz w:val="20"/>
                <w:szCs w:val="20"/>
                <w:color w:val="auto"/>
              </w:rPr>
            </w:pPr>
            <w:r>
              <w:rPr>
                <w:rFonts w:ascii="Arial" w:cs="Arial" w:eastAsia="Arial" w:hAnsi="Arial"/>
                <w:sz w:val="18"/>
                <w:szCs w:val="18"/>
                <w:color w:val="auto"/>
                <w:w w:val="91"/>
              </w:rPr>
              <w:t>9.5 %</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7380" w:type="dxa"/>
            <w:vAlign w:val="bottom"/>
          </w:tcPr>
          <w:p>
            <w:pPr>
              <w:ind w:left="100"/>
              <w:spacing w:after="0"/>
              <w:rPr>
                <w:sz w:val="20"/>
                <w:szCs w:val="20"/>
                <w:color w:val="auto"/>
              </w:rPr>
            </w:pPr>
            <w:r>
              <w:rPr>
                <w:rFonts w:ascii="Arial" w:cs="Arial" w:eastAsia="Arial" w:hAnsi="Arial"/>
                <w:sz w:val="18"/>
                <w:szCs w:val="18"/>
                <w:color w:val="auto"/>
              </w:rPr>
              <w:t>Fixed-income securities</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1320" w:type="dxa"/>
            <w:vAlign w:val="bottom"/>
          </w:tcPr>
          <w:p>
            <w:pPr>
              <w:spacing w:after="0"/>
              <w:rPr>
                <w:sz w:val="18"/>
                <w:szCs w:val="18"/>
                <w:color w:val="auto"/>
              </w:rPr>
            </w:pPr>
          </w:p>
        </w:tc>
        <w:tc>
          <w:tcPr>
            <w:tcW w:w="1500" w:type="dxa"/>
            <w:vAlign w:val="bottom"/>
          </w:tcPr>
          <w:p>
            <w:pPr>
              <w:ind w:left="10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7380" w:type="dxa"/>
            <w:vAlign w:val="bottom"/>
            <w:shd w:val="clear" w:color="auto" w:fill="CCCCCC"/>
          </w:tcPr>
          <w:p>
            <w:pPr>
              <w:ind w:left="80"/>
              <w:spacing w:after="0"/>
              <w:rPr>
                <w:sz w:val="20"/>
                <w:szCs w:val="20"/>
                <w:color w:val="auto"/>
              </w:rPr>
            </w:pPr>
            <w:r>
              <w:rPr>
                <w:rFonts w:ascii="Arial" w:cs="Arial" w:eastAsia="Arial" w:hAnsi="Arial"/>
                <w:sz w:val="18"/>
                <w:szCs w:val="18"/>
                <w:color w:val="auto"/>
              </w:rPr>
              <w:t>Alternatives</w:t>
            </w:r>
          </w:p>
        </w:tc>
        <w:tc>
          <w:tcPr>
            <w:tcW w:w="112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18</w:t>
            </w:r>
          </w:p>
        </w:tc>
        <w:tc>
          <w:tcPr>
            <w:tcW w:w="1320" w:type="dxa"/>
            <w:vAlign w:val="bottom"/>
            <w:shd w:val="clear" w:color="auto" w:fill="CCCCCC"/>
          </w:tcPr>
          <w:p>
            <w:pPr>
              <w:spacing w:after="0"/>
              <w:rPr>
                <w:sz w:val="18"/>
                <w:szCs w:val="18"/>
                <w:color w:val="auto"/>
              </w:rPr>
            </w:pPr>
          </w:p>
        </w:tc>
        <w:tc>
          <w:tcPr>
            <w:tcW w:w="1500" w:type="dxa"/>
            <w:vAlign w:val="bottom"/>
            <w:shd w:val="clear" w:color="auto" w:fill="CCCCCC"/>
          </w:tcPr>
          <w:p>
            <w:pPr>
              <w:ind w:left="10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CCCC"/>
          </w:tcPr>
          <w:p>
            <w:pPr>
              <w:spacing w:after="0"/>
              <w:rPr>
                <w:sz w:val="18"/>
                <w:szCs w:val="18"/>
                <w:color w:val="auto"/>
              </w:rPr>
            </w:pPr>
          </w:p>
        </w:tc>
      </w:tr>
      <w:tr>
        <w:trPr>
          <w:trHeight w:val="222"/>
        </w:trPr>
        <w:tc>
          <w:tcPr>
            <w:tcW w:w="7380" w:type="dxa"/>
            <w:vAlign w:val="bottom"/>
          </w:tcPr>
          <w:p>
            <w:pPr>
              <w:ind w:left="10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1320" w:type="dxa"/>
            <w:vAlign w:val="bottom"/>
          </w:tcPr>
          <w:p>
            <w:pPr>
              <w:spacing w:after="0"/>
              <w:rPr>
                <w:sz w:val="19"/>
                <w:szCs w:val="19"/>
                <w:color w:val="auto"/>
              </w:rPr>
            </w:pPr>
          </w:p>
        </w:tc>
        <w:tc>
          <w:tcPr>
            <w:tcW w:w="1500" w:type="dxa"/>
            <w:vAlign w:val="bottom"/>
          </w:tcPr>
          <w:p>
            <w:pPr>
              <w:ind w:left="10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bl>
    <w:p>
      <w:pPr>
        <w:spacing w:after="0" w:line="9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Pension expense increases as the expected rate of return on plan assets decreases. Lowering the expected long-term rate of return on plan assets by 50 basis points (from 7.0% to 6.5%) would increase estimated 2016 pension expense by approximately $15 million.</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Future pension obligations for United’s plans were discounted using a weighted average rate of 4.58% at December 31, 2015. The Company selected the discount rate for substantially all of its plans by using a hypothetical portfolio of high quality bonds at December 31, 2015 that would provide the necessary cash flows to match the projected benefit payments.</w:t>
      </w:r>
    </w:p>
    <w:p>
      <w:pPr>
        <w:spacing w:after="0" w:line="8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pension liability and future pension expense both increase as the discount rate is reduced. Lowering the discount rate by 50 basis points (from 4.58% to 4.08%) would increase the pension liability at December 31, 2015 by approximately $477 million and increase the estimated 2016 pension expense by approximately $55 million.</w:t>
      </w:r>
    </w:p>
    <w:p>
      <w:pPr>
        <w:spacing w:after="0" w:line="8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Future changes in plan asset returns, plan provisions, assumed discount rates, pension funding law and various other factors related to the participants in our pension plans will impact our future pension expense and liabilities. We cannot predict with certainty what these factors will be in the future.</w:t>
      </w:r>
    </w:p>
    <w:p>
      <w:pPr>
        <w:spacing w:after="0" w:line="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Actuarial gains or losses are triggered by changes in assumptions or experience that differ from the original assumptions. Under the applicable accounting standards for defined benefit pension plans, those gains and losses are not required to be recognized currently as pension benefit expense, but instead may be deferred as part of accumulated other comprehensive income and amortized into expense over the average remaining service life of the covered active employees. All gains and losses in accumulated other comprehensive income are amortized to expense over the remaining years of service of the covered active employees. At December 31, 2015 and 2014, the Company had unrecognized actuarial losses for pension benefit plans of $844 million and $982 million, respectively, recorded in accumulated other comprehensive income.</w:t>
      </w:r>
    </w:p>
    <w:p>
      <w:pPr>
        <w:spacing w:after="0" w:line="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Other Postretirement Benefit Plan Accounting. </w:t>
      </w:r>
      <w:r>
        <w:rPr>
          <w:rFonts w:ascii="Arial" w:cs="Arial" w:eastAsia="Arial" w:hAnsi="Arial"/>
          <w:sz w:val="18"/>
          <w:szCs w:val="18"/>
          <w:color w:val="auto"/>
        </w:rPr>
        <w:t>United’s postretirement plan provides certain health care benefits, primarily in the United States, to retirees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dependents, as well as certain life insurance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7" w:name="page48"/>
    <w:bookmarkEnd w:id="47"/>
    <w:p>
      <w:pPr>
        <w:ind w:right="4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to certain retirees reflected as “Other Benefits.” United also has retiree medical programs that permit retirees who meet certain age and service requirements to continue medical coverage between retirement and Medicare eligibility. Eligible employees are required to pay a portion of the costs of their retiree medical benefits, which in some cases may be offset by accumulated unused sick time at the time of their retirement. Plan benefits are subject to co-payments, deductibles, and other limits as described in the plans.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accounts for other postretirement benefits by recognizing the difference between plan assets and obligations, or the plan’s funded status, in its financial statements. Other postretirement benefit expense is recognized on an accrual basis over employees’ approximate service periods and is generally calculated independently of funding decisions or requirements. United has not been required to pre-fund its plan obligations, which has resulted in a significant net obligation, as discussed below. The Company’s benefit obligation was $2.0 billion and $2.1 billion for the other postretirement benefit plans at December 31, 2015 and 2014, respectively.</w:t>
      </w:r>
    </w:p>
    <w:p>
      <w:pPr>
        <w:spacing w:after="0" w:line="8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calculation of other postretirement benefit expense and obligations requires the use of a number of assumptions, including the assumed discount rate for measuring future payment obligations and the health care cost trend rate. The Company determines the appropriate discount rate for each of the plans based on current rates on high quality corporate bonds that would generate the cash flow necessary to pay plan benefits when due. The Company’s weighted average discount rate to determine its benefit obligations as of December 31, 2015 was 4.49%, as compared to 4.07% for December 31, 2014. The health care cost trend rate assumed for 2015 was 7.00%, declining to 5.0% in 2023, as compared to assumed trend rate for 2016 of 6.75%, declining to 5.0% in 2023. A 1% increase in assumed health care trend rates would increase the Company’s total service and interest cost for the year ended December 31, 2015 by $13 million; whereas, a 1% decrease in assumed health care trend rates would decrease the Company’s total service and interest cost for the year ended December 31, 2015 by $11 million. A one percentage point decrease in the weighted average discount rate would increase the Company’s postretirement benefit liability by approximately $227 million and increase the estimated 2015 benefits expense by approximately $12 million.</w:t>
      </w:r>
    </w:p>
    <w:p>
      <w:pPr>
        <w:spacing w:after="0" w:line="6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Actuarial gains or losses are triggered by changes in assumptions or experience that differ from the original assumptions and prior service credits result from a retroactive reduction in benefits due under the plans. Under the applicable accounting standards for postretirement welfare benefit plans, actuarial gains and losses and prior service credits are not required to be recognized currently, but instead may be deferred as part of accumulated other comprehensive income and amortized into expense over the average remaining service life of the covered active employees or the average life expectancy of inactive participants. At December 31, 2015 and 2014, the Company had unrecognized actuarial gains for postretirement welfare benefit plans of $236 million and $233 million, respectively, recorded in accumulated other comprehensive income.</w:t>
      </w:r>
    </w:p>
    <w:p>
      <w:pPr>
        <w:spacing w:after="0" w:line="6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Company’s income tax benefit was $3.1 billion for the year ended December 31, 2015. A discrete tax benefit of $3.1 billion for the reduction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U.S. net federal and state deferred tax asset valuation allowance was included in the income tax benefit for the year ended December 31, 2015.</w:t>
      </w:r>
    </w:p>
    <w:p>
      <w:pPr>
        <w:spacing w:after="0" w:line="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2015, after considering all positive and negative evidence and the four sources of taxable income, the Company concluded that its deferred income tax assets are more likely than not to be realized. In evaluating the likelihood of utilizing the Company’s net federal and state deferred tax assets, the significant relevant factors that the Company considered are: (1) its recent history and forecasted profitability; (2) growth in the U.S. and global economies; and (3) future impact of taxable temporary differences. Although the Company was not in a three-year cumulative loss position at December 31, 2014, management concluded that the low level of cumulative pre-tax income, coupled with the Company’s history of operating losses resulted in a determination that a valuation allowance was still necessary. We considered past profitability and future expectations of profitability to determine whether it is more likely than not that we will generate sufficient taxable income to realize our net deferred tax assets. Management placed significant weight on past performance (i.e., losses or near break-even results in 2009 to 2013) as it is more objectively verifiable than projections of future taxable income. However, during 2015, the Company’s pre-tax profit of $4.2 billion benefited from lower oil prices and improved efficiency that resulted in significant taxable income. Additionally, based upon current projection of future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the Company evaluated the NOLs expiration periods and change in ownership limitations under Section 382 of the Internal Revenue Code of 1986, as amended, and determined the NOLs would be realized before expiring beginning in 2025. Therefore, the Company released almost all of its valuation allowance in 2015, resulting in a $3.1 billion benefit in its provision for income taxes. The valuation allowance recorded in accumulated other comprehensive income (loss) (“AOCI”) in prior years was released through the income statement and resulted in remaining debits within AOCI of $285 million and $180 million related to pension and derivatives, respectively, which will not be recognized into income tax expense until either the plans are exited or the Company no longer has any outstanding derivatives.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has retained a valuation allowance of $48 million against certain state and local NOLs and credit carryforwards at the end of 2015. The Company expects these NOLs and credits will expire unused due to limited carryforward periods. The ability to utilize these state NOLs and credits will be evaluated on a quarterly basis to determine if there are any significant events or any prudent and feasible tax planning strategies that would affect the Company’s ability to realize these deferred tax assets.</w:t>
      </w:r>
    </w:p>
    <w:p>
      <w:pPr>
        <w:spacing w:after="0" w:line="8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a net deferred tax asset totaling $2.0 billion as of December 31, 2015 that relates primarily to its federal and state NOL carryforwards. The federal and state NOL carryforwards relate to prior years’ NOLs, which may be used to reduce tax liabilities in future years. These tax benefits are mostly attributable to federal pre-tax NOL carryforwards of $8.0 billion for UAL. If not utilized, these federal pre-tax NOLs will expire as follows (in billions): $2.1 in 2025, $2.0 in 2026, $1.4 in 2027 and $2.5 after 2028. In addition, the majority of tax benefits of the state net operating losses of $103 million for UAL will expire over a five to 20-year period. Additionally, the Company has $232 million of alternative minimum tax credit carryforwards which do not expire.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Certain statements throughout Part II, Item 7, Management’s Discussion and Analysis of Financial Condition and Results of Operations, and elsewhere in this report are forward-looking and thus reflect the Company’s current expectations and beliefs with respect to certain current and future events and financial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“believes,” “forecast,” “guidance,” “outlook,” “goals” and similar expressions are intended to identify forward-looking statements.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Additionally, forward-looking statements include statements which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its ability to comply with the terms of its various financing arrangements; the costs and availability of financing; its ability to maintain adequate liquidity; its ability to execute its operational plans and revenue-generating initiatives, including optimizing its revenue; its ability to control its costs, including realizing benefits from its resource optimization efforts, cost reduction initiatives and fleet replacement programs; its ability to utilize its net operating losses; its ability to attract and retain customers; demand for transportation in the markets in which it operates; an outbreak of a disease that affects travel demand or travel behavior; demand for travel and the impact that global economic conditions have on customer travel patterns; excessive taxation and the inability to offset future taxable income; general economic conditions (including interest rates, foreign currency exchange rates, investment or credit market conditions, crude oil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49" w:name="page50"/>
    <w:bookmarkEnd w:id="4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prices, costs of aircraft fuel and energy refining capacity in relevant markets); economic and political instability and other risks of doing business globally; its ability to cost-effectively hedge against increases in the price of aircraft fuel; any potential realized or unrealized gains or losses related to fuel or currency hedging programs; the effects of any hostilities, act of war or terrorist attack; the ability of other air carriers with whom the Company has alliances or partnerships to provide the services contemplated by the respective arrangements with such carriers; disruptions to its regional network; the costs and availability of aviation and other insurance; industry consolidation or changes in airline alliances; competitive pressures on pricing and demand; its capacity decisions and the capacity decisions of its competitors; U.S. or foreign governmental legislation, regulation and other actions (including open skies agreements and environmental regulations); the impact of regulatory, investigative and legal proceedings and legal compliance risks; the impact of any management changes; our CEO’s health prognosis and return to work on a full-time basis; labor costs; its ability to maintain satisfactory labor relations and the results of the collective bargaining agreement process with its union groups; any disruptions to operations due to any potential actions by its labor groups; weather conditions; and other risks and uncertainties set forth under Part I, Item 1A., Risk Factors, of this report, as well as other risks and uncertainties set forth from time to time in the reports the Company files with the SEC.</w:t>
      </w:r>
    </w:p>
    <w:p>
      <w:pPr>
        <w:spacing w:after="0" w:line="17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Interest Rates. </w:t>
      </w:r>
      <w:r>
        <w:rPr>
          <w:rFonts w:ascii="Arial" w:cs="Arial" w:eastAsia="Arial" w:hAnsi="Arial"/>
          <w:sz w:val="18"/>
          <w:szCs w:val="18"/>
          <w:color w:val="auto"/>
        </w:rPr>
        <w:t>Our net income (loss) is affected by fluctuations in interest rates (e.g. interest expense on variable rate debt and interest income earned on short-term investments). The Company’s policy is to manage interest rate risk through a combination of fixed and variable rate debt. The following table summarizes information related to the Company’s interest rate market risk at December 31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Variable rate debt</w:t>
            </w: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96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gridSpan w:val="4"/>
            <w:shd w:val="clear" w:color="auto" w:fill="CCCCCC"/>
          </w:tcPr>
          <w:p>
            <w:pPr>
              <w:ind w:left="100"/>
              <w:spacing w:after="0"/>
              <w:rPr>
                <w:sz w:val="20"/>
                <w:szCs w:val="20"/>
                <w:color w:val="auto"/>
              </w:rPr>
            </w:pPr>
            <w:r>
              <w:rPr>
                <w:rFonts w:ascii="Arial" w:cs="Arial" w:eastAsia="Arial" w:hAnsi="Arial"/>
                <w:sz w:val="18"/>
                <w:szCs w:val="18"/>
                <w:color w:val="auto"/>
              </w:rPr>
              <w:t>Carrying value of variable rate debt at December 31</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0"/>
              </w:rPr>
              <w:t>$2,345</w:t>
            </w:r>
          </w:p>
        </w:tc>
        <w:tc>
          <w:tcPr>
            <w:tcW w:w="300" w:type="dxa"/>
            <w:vAlign w:val="bottom"/>
            <w:shd w:val="clear" w:color="auto" w:fill="CCCCCC"/>
          </w:tcPr>
          <w:p>
            <w:pPr>
              <w:spacing w:after="0"/>
              <w:rPr>
                <w:sz w:val="18"/>
                <w:szCs w:val="18"/>
                <w:color w:val="auto"/>
              </w:rPr>
            </w:pPr>
          </w:p>
        </w:tc>
        <w:tc>
          <w:tcPr>
            <w:tcW w:w="880" w:type="dxa"/>
            <w:vAlign w:val="bottom"/>
            <w:gridSpan w:val="2"/>
            <w:shd w:val="clear" w:color="auto" w:fill="CCCCCC"/>
          </w:tcPr>
          <w:p>
            <w:pPr>
              <w:jc w:val="right"/>
              <w:ind w:right="52"/>
              <w:spacing w:after="0"/>
              <w:rPr>
                <w:sz w:val="20"/>
                <w:szCs w:val="20"/>
                <w:color w:val="auto"/>
              </w:rPr>
            </w:pPr>
            <w:r>
              <w:rPr>
                <w:rFonts w:ascii="Arial" w:cs="Arial" w:eastAsia="Arial" w:hAnsi="Arial"/>
                <w:sz w:val="18"/>
                <w:szCs w:val="18"/>
                <w:color w:val="auto"/>
                <w:w w:val="87"/>
              </w:rPr>
              <w:t>$2,495 (a)</w:t>
            </w:r>
          </w:p>
        </w:tc>
        <w:tc>
          <w:tcPr>
            <w:tcW w:w="0" w:type="dxa"/>
            <w:vAlign w:val="bottom"/>
          </w:tcPr>
          <w:p>
            <w:pPr>
              <w:spacing w:after="0"/>
              <w:rPr>
                <w:sz w:val="1"/>
                <w:szCs w:val="1"/>
                <w:color w:val="auto"/>
              </w:rPr>
            </w:pPr>
          </w:p>
        </w:tc>
      </w:tr>
      <w:tr>
        <w:trPr>
          <w:trHeight w:val="216"/>
        </w:trPr>
        <w:tc>
          <w:tcPr>
            <w:tcW w:w="9660" w:type="dxa"/>
            <w:vAlign w:val="bottom"/>
            <w:gridSpan w:val="4"/>
          </w:tcPr>
          <w:p>
            <w:pPr>
              <w:ind w:left="100"/>
              <w:spacing w:after="0"/>
              <w:rPr>
                <w:sz w:val="20"/>
                <w:szCs w:val="20"/>
                <w:color w:val="auto"/>
              </w:rPr>
            </w:pPr>
            <w:r>
              <w:rPr>
                <w:rFonts w:ascii="Arial" w:cs="Arial" w:eastAsia="Arial" w:hAnsi="Arial"/>
                <w:sz w:val="18"/>
                <w:szCs w:val="18"/>
                <w:color w:val="auto"/>
              </w:rPr>
              <w:t>Impact of 100 basis point increase on projected interest expense for the following year</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660" w:type="dxa"/>
            <w:vAlign w:val="bottom"/>
            <w:gridSpan w:val="4"/>
            <w:shd w:val="clear" w:color="auto" w:fill="CCCCCC"/>
          </w:tcPr>
          <w:p>
            <w:pPr>
              <w:ind w:left="100"/>
              <w:spacing w:after="0" w:line="176" w:lineRule="exact"/>
              <w:rPr>
                <w:sz w:val="20"/>
                <w:szCs w:val="20"/>
                <w:color w:val="auto"/>
              </w:rPr>
            </w:pPr>
            <w:r>
              <w:rPr>
                <w:rFonts w:ascii="Arial" w:cs="Arial" w:eastAsia="Arial" w:hAnsi="Arial"/>
                <w:sz w:val="18"/>
                <w:szCs w:val="18"/>
                <w:b w:val="1"/>
                <w:bCs w:val="1"/>
                <w:color w:val="auto"/>
              </w:rPr>
              <w:t>Fixed rate debt</w:t>
            </w:r>
          </w:p>
        </w:tc>
        <w:tc>
          <w:tcPr>
            <w:tcW w:w="580" w:type="dxa"/>
            <w:vAlign w:val="bottom"/>
            <w:shd w:val="clear" w:color="auto" w:fill="CCCCCC"/>
          </w:tcPr>
          <w:p>
            <w:pPr>
              <w:spacing w:after="0"/>
              <w:rPr>
                <w:sz w:val="15"/>
                <w:szCs w:val="15"/>
                <w:color w:val="auto"/>
              </w:rPr>
            </w:pPr>
          </w:p>
        </w:tc>
        <w:tc>
          <w:tcPr>
            <w:tcW w:w="300" w:type="dxa"/>
            <w:vAlign w:val="bottom"/>
            <w:shd w:val="clear" w:color="auto" w:fill="CCCCCC"/>
          </w:tcPr>
          <w:p>
            <w:pPr>
              <w:spacing w:after="0"/>
              <w:rPr>
                <w:sz w:val="15"/>
                <w:szCs w:val="15"/>
                <w:color w:val="auto"/>
              </w:rPr>
            </w:pPr>
          </w:p>
        </w:tc>
        <w:tc>
          <w:tcPr>
            <w:tcW w:w="540" w:type="dxa"/>
            <w:vAlign w:val="bottom"/>
            <w:shd w:val="clear" w:color="auto" w:fill="CCCCCC"/>
          </w:tcPr>
          <w:p>
            <w:pPr>
              <w:spacing w:after="0"/>
              <w:rPr>
                <w:sz w:val="15"/>
                <w:szCs w:val="15"/>
                <w:color w:val="auto"/>
              </w:rPr>
            </w:pPr>
          </w:p>
        </w:tc>
        <w:tc>
          <w:tcPr>
            <w:tcW w:w="34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CCCCCC"/>
            </w:tcBorders>
            <w:shd w:val="clear" w:color="auto" w:fill="CCCCCC"/>
          </w:tcPr>
          <w:p>
            <w:pPr>
              <w:spacing w:after="0" w:line="20" w:lineRule="exact"/>
              <w:rPr>
                <w:sz w:val="1"/>
                <w:szCs w:val="1"/>
                <w:color w:val="auto"/>
              </w:rPr>
            </w:pPr>
          </w:p>
        </w:tc>
        <w:tc>
          <w:tcPr>
            <w:tcW w:w="1140" w:type="dxa"/>
            <w:vAlign w:val="bottom"/>
            <w:tcBorders>
              <w:top w:val="single" w:sz="8" w:color="auto"/>
            </w:tcBorders>
            <w:shd w:val="clear" w:color="auto" w:fill="CCCCCC"/>
          </w:tcPr>
          <w:p>
            <w:pPr>
              <w:spacing w:after="0" w:line="20" w:lineRule="exact"/>
              <w:rPr>
                <w:sz w:val="1"/>
                <w:szCs w:val="1"/>
                <w:color w:val="auto"/>
              </w:rPr>
            </w:pPr>
          </w:p>
        </w:tc>
        <w:tc>
          <w:tcPr>
            <w:tcW w:w="220" w:type="dxa"/>
            <w:vAlign w:val="bottom"/>
            <w:tcBorders>
              <w:top w:val="single" w:sz="8" w:color="CCCCCC"/>
            </w:tcBorders>
            <w:shd w:val="clear" w:color="auto" w:fill="CCCCCC"/>
          </w:tcPr>
          <w:p>
            <w:pPr>
              <w:spacing w:after="0" w:line="20" w:lineRule="exact"/>
              <w:rPr>
                <w:sz w:val="1"/>
                <w:szCs w:val="1"/>
                <w:color w:val="auto"/>
              </w:rPr>
            </w:pPr>
          </w:p>
        </w:tc>
        <w:tc>
          <w:tcPr>
            <w:tcW w:w="8200" w:type="dxa"/>
            <w:vAlign w:val="bottom"/>
            <w:tcBorders>
              <w:top w:val="single" w:sz="8" w:color="CCCCCC"/>
            </w:tcBorders>
            <w:shd w:val="clear" w:color="auto" w:fill="CCCCCC"/>
          </w:tcPr>
          <w:p>
            <w:pPr>
              <w:spacing w:after="0" w:line="20" w:lineRule="exact"/>
              <w:rPr>
                <w:sz w:val="1"/>
                <w:szCs w:val="1"/>
                <w:color w:val="auto"/>
              </w:rPr>
            </w:pPr>
          </w:p>
        </w:tc>
        <w:tc>
          <w:tcPr>
            <w:tcW w:w="580" w:type="dxa"/>
            <w:vAlign w:val="bottom"/>
            <w:tcBorders>
              <w:top w:val="single" w:sz="8" w:color="CCCCCC"/>
            </w:tcBorders>
            <w:shd w:val="clear" w:color="auto" w:fill="CCCCCC"/>
          </w:tcPr>
          <w:p>
            <w:pPr>
              <w:spacing w:after="0" w:line="20" w:lineRule="exact"/>
              <w:rPr>
                <w:sz w:val="1"/>
                <w:szCs w:val="1"/>
                <w:color w:val="auto"/>
              </w:rPr>
            </w:pPr>
          </w:p>
        </w:tc>
        <w:tc>
          <w:tcPr>
            <w:tcW w:w="300" w:type="dxa"/>
            <w:vAlign w:val="bottom"/>
            <w:tcBorders>
              <w:top w:val="single" w:sz="8" w:color="CCCCCC"/>
            </w:tcBorders>
            <w:shd w:val="clear" w:color="auto" w:fill="CCCCCC"/>
          </w:tcPr>
          <w:p>
            <w:pPr>
              <w:spacing w:after="0" w:line="20" w:lineRule="exact"/>
              <w:rPr>
                <w:sz w:val="1"/>
                <w:szCs w:val="1"/>
                <w:color w:val="auto"/>
              </w:rPr>
            </w:pPr>
          </w:p>
        </w:tc>
        <w:tc>
          <w:tcPr>
            <w:tcW w:w="540" w:type="dxa"/>
            <w:vAlign w:val="bottom"/>
            <w:tcBorders>
              <w:top w:val="single" w:sz="8" w:color="CCCCCC"/>
            </w:tcBorders>
            <w:shd w:val="clear" w:color="auto" w:fill="CCCCCC"/>
          </w:tcPr>
          <w:p>
            <w:pPr>
              <w:spacing w:after="0" w:line="20" w:lineRule="exact"/>
              <w:rPr>
                <w:sz w:val="1"/>
                <w:szCs w:val="1"/>
                <w:color w:val="auto"/>
              </w:rPr>
            </w:pPr>
          </w:p>
        </w:tc>
        <w:tc>
          <w:tcPr>
            <w:tcW w:w="340" w:type="dxa"/>
            <w:vAlign w:val="bottom"/>
            <w:tcBorders>
              <w:top w:val="single" w:sz="8" w:color="CCCCCC"/>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gridSpan w:val="4"/>
          </w:tcPr>
          <w:p>
            <w:pPr>
              <w:ind w:left="100"/>
              <w:spacing w:after="0"/>
              <w:rPr>
                <w:sz w:val="20"/>
                <w:szCs w:val="20"/>
                <w:color w:val="auto"/>
              </w:rPr>
            </w:pPr>
            <w:r>
              <w:rPr>
                <w:rFonts w:ascii="Arial" w:cs="Arial" w:eastAsia="Arial" w:hAnsi="Arial"/>
                <w:sz w:val="18"/>
                <w:szCs w:val="18"/>
                <w:color w:val="auto"/>
              </w:rPr>
              <w:t>Carrying value of fixed rate debt at December 31</w:t>
            </w:r>
          </w:p>
        </w:tc>
        <w:tc>
          <w:tcPr>
            <w:tcW w:w="580" w:type="dxa"/>
            <w:vAlign w:val="bottom"/>
          </w:tcPr>
          <w:p>
            <w:pPr>
              <w:jc w:val="right"/>
              <w:spacing w:after="0"/>
              <w:rPr>
                <w:sz w:val="20"/>
                <w:szCs w:val="20"/>
                <w:color w:val="auto"/>
              </w:rPr>
            </w:pPr>
            <w:r>
              <w:rPr>
                <w:rFonts w:ascii="Arial" w:cs="Arial" w:eastAsia="Arial" w:hAnsi="Arial"/>
                <w:sz w:val="18"/>
                <w:szCs w:val="18"/>
                <w:color w:val="auto"/>
              </w:rPr>
              <w:t>8,552</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8,771</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r>
        <w:trPr>
          <w:trHeight w:val="216"/>
        </w:trPr>
        <w:tc>
          <w:tcPr>
            <w:tcW w:w="9660" w:type="dxa"/>
            <w:vAlign w:val="bottom"/>
            <w:gridSpan w:val="4"/>
            <w:shd w:val="clear" w:color="auto" w:fill="CCCCCC"/>
          </w:tcPr>
          <w:p>
            <w:pPr>
              <w:ind w:left="100"/>
              <w:spacing w:after="0"/>
              <w:rPr>
                <w:sz w:val="20"/>
                <w:szCs w:val="20"/>
                <w:color w:val="auto"/>
              </w:rPr>
            </w:pPr>
            <w:r>
              <w:rPr>
                <w:rFonts w:ascii="Arial" w:cs="Arial" w:eastAsia="Arial" w:hAnsi="Arial"/>
                <w:sz w:val="18"/>
                <w:szCs w:val="18"/>
                <w:color w:val="auto"/>
              </w:rPr>
              <w:t>Fair value of fixed rate debt at December 31</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9,022</w:t>
            </w:r>
          </w:p>
        </w:tc>
        <w:tc>
          <w:tcPr>
            <w:tcW w:w="30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9,971</w:t>
            </w:r>
          </w:p>
        </w:tc>
        <w:tc>
          <w:tcPr>
            <w:tcW w:w="34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4"/>
          </w:tcPr>
          <w:p>
            <w:pPr>
              <w:ind w:left="100"/>
              <w:spacing w:after="0"/>
              <w:rPr>
                <w:sz w:val="20"/>
                <w:szCs w:val="20"/>
                <w:color w:val="auto"/>
              </w:rPr>
            </w:pPr>
            <w:r>
              <w:rPr>
                <w:rFonts w:ascii="Arial" w:cs="Arial" w:eastAsia="Arial" w:hAnsi="Arial"/>
                <w:sz w:val="18"/>
                <w:szCs w:val="18"/>
                <w:color w:val="auto"/>
              </w:rPr>
              <w:t>Impact of 100 basis point increase in market rates on fair value</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540" w:type="dxa"/>
            <w:vAlign w:val="bottom"/>
          </w:tcPr>
          <w:p>
            <w:pPr>
              <w:jc w:val="right"/>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right="200" w:firstLine="8"/>
        <w:spacing w:after="0" w:line="239" w:lineRule="auto"/>
        <w:tabs>
          <w:tab w:leader="none" w:pos="184" w:val="left"/>
        </w:tabs>
        <w:numPr>
          <w:ilvl w:val="0"/>
          <w:numId w:val="14"/>
        </w:numPr>
        <w:rPr>
          <w:rFonts w:ascii="Arial" w:cs="Arial" w:eastAsia="Arial" w:hAnsi="Arial"/>
          <w:sz w:val="14"/>
          <w:szCs w:val="14"/>
          <w:color w:val="auto"/>
        </w:rPr>
      </w:pPr>
      <w:r>
        <w:rPr>
          <w:rFonts w:ascii="Arial" w:cs="Arial" w:eastAsia="Arial" w:hAnsi="Arial"/>
          <w:sz w:val="14"/>
          <w:szCs w:val="14"/>
          <w:color w:val="auto"/>
        </w:rPr>
        <w:t>2014 amount differs from the amount reported in the Company’s Form 10-K for the fiscal year ended December 31, 2014 due to the adoption of an accounting standard update in 2015. See Note 1(t) to the financial statements included in Part II, Item 8 of this report for additional information.</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change in market interest rates would also impact interest income earned on our cash, cash equivalents and short-term investments. Assuming our cash, cash equivalents and short-term investments remain at their average 2015 levels, a 100 basis point increase in interest rates would result in a corresponding increase in the Company’s interest income of approximately $54 million during 2016.</w:t>
      </w:r>
    </w:p>
    <w:p>
      <w:pPr>
        <w:spacing w:after="0" w:line="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Commodity Price Risk (Aircraft Fuel). </w:t>
      </w:r>
      <w:r>
        <w:rPr>
          <w:rFonts w:ascii="Arial" w:cs="Arial" w:eastAsia="Arial" w:hAnsi="Arial"/>
          <w:sz w:val="18"/>
          <w:szCs w:val="18"/>
          <w:color w:val="auto"/>
        </w:rPr>
        <w:t>The price level of aircraft fuel can significantly affect the Company’s operations, results of operations, financial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liquidity.</w:t>
      </w:r>
    </w:p>
    <w:p>
      <w:pPr>
        <w:spacing w:after="0" w:line="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protect against increases in the prices of aircraft fuel, the Company may hedge a portion of its future fuel requirements. The Company may restructure hedges in response to market conditions prior to their original settlement dates which may result in changes in hedge coverage levels and the potential recognition of gains or losses on such hedge contracts. The Company generally uses financial hedge instruments including fixed-price swaps, purchased call options, and commonly used combinations using put and call options including collars (a sold put option combined with a purchased call option), three-ways (a collar with a higher strike sold call option) and four-way collars (a collar with a higher strike sold call option and a lower strike purchased put option). These hedge instruments are generally based on aircraft fuel or closely related commodities including diesel fuel and crude oil.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prices of the underlying commodity drop and stay below specified floor prices in some hedge contracts such as fixed-price swaps and collars, the Company may incur losses. However, the negative impact of these losses would be significantly outweighed by the benefit of lower aircraft fuel cost since the Company typically hedges only a portion of its future fuel requirements. In addition, the Company continually monitors its portfolio of hedge contracts and may take actions to curtail or limit its losses from such hedge contracts if market conditions change.</w:t>
      </w:r>
    </w:p>
    <w:p>
      <w:pPr>
        <w:spacing w:after="0" w:line="5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If fuel prices decline significantly from the levels existing at the time we enter into a hedge contract, we may be required to post collateral (margin) with our hedge counterparties. The Company frequently monitors this margin risk and assesses the potential of depositing additional collateral with each of its counterparties. At times, when the fair market value of the Company’s hedge contracts is net positive to the Company, it is exposed to the event of non-performance by the counterparty to the hedge contract. The Company periodically monitors the credit worthiness of its counterparties, requires its counterparties to post collateral above certain thresholds and generally limits its exposure to any single counterparty.</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may adjust its hedging program based on changes in market conditions. The following table summarizes information related to the Company’s cost of fuel and hedging (in millions, except percentages):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gridSpan w:val="4"/>
          </w:tcPr>
          <w:p>
            <w:pPr>
              <w:spacing w:after="0"/>
              <w:rPr>
                <w:sz w:val="20"/>
                <w:szCs w:val="20"/>
                <w:color w:val="auto"/>
              </w:rPr>
            </w:pPr>
            <w:r>
              <w:rPr>
                <w:rFonts w:ascii="Arial" w:cs="Arial" w:eastAsia="Arial" w:hAnsi="Arial"/>
                <w:sz w:val="18"/>
                <w:szCs w:val="18"/>
                <w:b w:val="1"/>
                <w:bCs w:val="1"/>
                <w:color w:val="auto"/>
              </w:rPr>
              <w:t>Fuel Costs</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In 2015, fuel cost as a percent of total operating expenses (a)</w:t>
            </w:r>
          </w:p>
        </w:tc>
        <w:tc>
          <w:tcPr>
            <w:tcW w:w="420" w:type="dxa"/>
            <w:vAlign w:val="bottom"/>
            <w:shd w:val="clear" w:color="auto" w:fill="CCCCCC"/>
          </w:tcPr>
          <w:p>
            <w:pPr>
              <w:spacing w:after="0"/>
              <w:rPr>
                <w:sz w:val="18"/>
                <w:szCs w:val="18"/>
                <w:color w:val="auto"/>
              </w:rPr>
            </w:pPr>
          </w:p>
        </w:tc>
        <w:tc>
          <w:tcPr>
            <w:tcW w:w="50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80" w:type="dxa"/>
            <w:vAlign w:val="bottom"/>
            <w:gridSpan w:val="3"/>
          </w:tcPr>
          <w:p>
            <w:pPr>
              <w:spacing w:after="0" w:line="201" w:lineRule="exact"/>
              <w:rPr>
                <w:sz w:val="20"/>
                <w:szCs w:val="20"/>
                <w:color w:val="auto"/>
              </w:rPr>
            </w:pPr>
            <w:r>
              <w:rPr>
                <w:rFonts w:ascii="Arial" w:cs="Arial" w:eastAsia="Arial" w:hAnsi="Arial"/>
                <w:sz w:val="18"/>
                <w:szCs w:val="18"/>
                <w:color w:val="auto"/>
              </w:rPr>
              <w:t>Impact of $1 increase in price per barrel of aircraft fuel on annual fuel expense (b)</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0"/>
        </w:trPr>
        <w:tc>
          <w:tcPr>
            <w:tcW w:w="10500" w:type="dxa"/>
            <w:vAlign w:val="bottom"/>
            <w:gridSpan w:val="4"/>
          </w:tcPr>
          <w:p>
            <w:pPr>
              <w:spacing w:after="0" w:line="190" w:lineRule="exact"/>
              <w:rPr>
                <w:sz w:val="20"/>
                <w:szCs w:val="20"/>
                <w:color w:val="auto"/>
              </w:rPr>
            </w:pPr>
            <w:r>
              <w:rPr>
                <w:rFonts w:ascii="Arial" w:cs="Arial" w:eastAsia="Arial" w:hAnsi="Arial"/>
                <w:sz w:val="18"/>
                <w:szCs w:val="18"/>
                <w:b w:val="1"/>
                <w:bCs w:val="1"/>
                <w:color w:val="auto"/>
              </w:rPr>
              <w:t>Fuel Hedges</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Liability fair value at December 31, 2015 (c)</w:t>
            </w:r>
          </w:p>
        </w:tc>
        <w:tc>
          <w:tcPr>
            <w:tcW w:w="4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1"/>
              </w:rPr>
              <w:t>Increase in fuel hedge liability that would result from a concurrent 10% decrease in forward prices of the underlying commodities of fuel hedges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80" w:type="dxa"/>
            <w:vAlign w:val="bottom"/>
            <w:gridSpan w:val="3"/>
          </w:tcPr>
          <w:p>
            <w:pPr>
              <w:ind w:left="200"/>
              <w:spacing w:after="0"/>
              <w:rPr>
                <w:sz w:val="20"/>
                <w:szCs w:val="20"/>
                <w:color w:val="auto"/>
              </w:rPr>
            </w:pPr>
            <w:r>
              <w:rPr>
                <w:rFonts w:ascii="Arial" w:cs="Arial" w:eastAsia="Arial" w:hAnsi="Arial"/>
                <w:sz w:val="18"/>
                <w:szCs w:val="18"/>
                <w:color w:val="auto"/>
              </w:rPr>
              <w:t>(d)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Collateral deposited with fuel hedge counterparties as of December 31, 2015</w:t>
            </w:r>
          </w:p>
        </w:tc>
        <w:tc>
          <w:tcPr>
            <w:tcW w:w="4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5"/>
              </w:rPr>
              <w:t>Additional collateral the Company would be required to deposit with fuel hedge counterparties upon a concurrent 10% decrease in forward</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80" w:type="dxa"/>
            <w:vAlign w:val="bottom"/>
            <w:gridSpan w:val="3"/>
          </w:tcPr>
          <w:p>
            <w:pPr>
              <w:ind w:left="200"/>
              <w:spacing w:after="0"/>
              <w:rPr>
                <w:sz w:val="20"/>
                <w:szCs w:val="20"/>
                <w:color w:val="auto"/>
              </w:rPr>
            </w:pPr>
            <w:r>
              <w:rPr>
                <w:rFonts w:ascii="Arial" w:cs="Arial" w:eastAsia="Arial" w:hAnsi="Arial"/>
                <w:sz w:val="18"/>
                <w:szCs w:val="18"/>
                <w:color w:val="auto"/>
              </w:rPr>
              <w:t>prices of the underlying commodities of fuel hedges (e)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3030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related taxes and fuel hedge impacts and excludes special charges. In 2014, the Company’s fuel cost was 32% of total operating expenses.</w:t>
      </w:r>
    </w:p>
    <w:p>
      <w:pPr>
        <w:spacing w:after="0" w:line="14"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2016 projected fuel consumption. Does not include the impact of fuel hedges.</w:t>
      </w:r>
    </w:p>
    <w:p>
      <w:pPr>
        <w:spacing w:after="0" w:line="14"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2014, the net fair value of the Company’s fuel hedges was a liability of $717 million.</w:t>
      </w:r>
    </w:p>
    <w:p>
      <w:pPr>
        <w:spacing w:after="0" w:line="14"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fuel hedge positions at December 31, 2015.</w:t>
      </w:r>
    </w:p>
    <w:p>
      <w:pPr>
        <w:spacing w:after="0" w:line="14" w:lineRule="exact"/>
        <w:rPr>
          <w:rFonts w:ascii="Arial" w:cs="Arial" w:eastAsia="Arial" w:hAnsi="Arial"/>
          <w:sz w:val="14"/>
          <w:szCs w:val="14"/>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Assumes instantaneous change in prices.</w:t>
      </w:r>
    </w:p>
    <w:p>
      <w:pPr>
        <w:spacing w:after="0" w:line="9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As of December 31, 2015, the Company had hedged approximately 17% of its projected fuel requirements (652 million gallons) for 2016, with commonly used financial hedge instruments based on aircraft fuel or crude oil. As of December 31, 2015, the Company had fuel hedges expiring through December 2016.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fuel hedge portfolio is comprised of many individual hedge contracts (primarily option contracts) on multiple underlying commodities and entered into at various points in time, resulting in a wide range of strike prices with several hedge counterparties. The table below provides a view of the economic impact of the hedge portfolio on the Company’s 2016 fuel costs given significant moves (up to +/-30%) in market fuel prices from December 31, 2015 (in millions).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080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9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5"/>
              </w:rPr>
              <w:t>(Increase) decrease</w:t>
            </w:r>
          </w:p>
        </w:tc>
        <w:tc>
          <w:tcPr>
            <w:tcW w:w="25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2320" w:type="dxa"/>
            <w:vAlign w:val="bottom"/>
          </w:tcPr>
          <w:p>
            <w:pPr>
              <w:jc w:val="right"/>
              <w:ind w:right="392"/>
              <w:spacing w:after="0"/>
              <w:rPr>
                <w:sz w:val="20"/>
                <w:szCs w:val="20"/>
                <w:color w:val="auto"/>
              </w:rPr>
            </w:pPr>
            <w:r>
              <w:rPr>
                <w:rFonts w:ascii="Arial" w:cs="Arial" w:eastAsia="Arial" w:hAnsi="Arial"/>
                <w:sz w:val="18"/>
                <w:szCs w:val="18"/>
                <w:b w:val="1"/>
                <w:bCs w:val="1"/>
                <w:color w:val="auto"/>
              </w:rPr>
              <w:t>Change in market</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5"/>
              </w:rPr>
              <w:t>to unhedged fuel</w:t>
            </w:r>
          </w:p>
        </w:tc>
        <w:tc>
          <w:tcPr>
            <w:tcW w:w="2500" w:type="dxa"/>
            <w:vAlign w:val="bottom"/>
          </w:tcPr>
          <w:p>
            <w:pPr>
              <w:spacing w:after="0"/>
              <w:rPr>
                <w:sz w:val="18"/>
                <w:szCs w:val="18"/>
                <w:color w:val="auto"/>
              </w:rPr>
            </w:pPr>
          </w:p>
        </w:tc>
        <w:tc>
          <w:tcPr>
            <w:tcW w:w="234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Net (increase)</w:t>
            </w:r>
          </w:p>
        </w:tc>
      </w:tr>
      <w:tr>
        <w:trPr>
          <w:trHeight w:val="229"/>
        </w:trPr>
        <w:tc>
          <w:tcPr>
            <w:tcW w:w="2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fuel prices (a)</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cost (b)</w:t>
            </w:r>
          </w:p>
        </w:tc>
        <w:tc>
          <w:tcPr>
            <w:tcW w:w="2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Hedge gain (loss) (c)</w:t>
            </w:r>
          </w:p>
        </w:tc>
        <w:tc>
          <w:tcPr>
            <w:tcW w:w="23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2"/>
              </w:rPr>
              <w:t>decrease to fuel cost</w:t>
            </w:r>
          </w:p>
        </w:tc>
      </w:tr>
      <w:tr>
        <w:trPr>
          <w:trHeight w:val="211"/>
        </w:trPr>
        <w:tc>
          <w:tcPr>
            <w:tcW w:w="2320" w:type="dxa"/>
            <w:vAlign w:val="bottom"/>
            <w:shd w:val="clear" w:color="auto" w:fill="CCCCCC"/>
          </w:tcPr>
          <w:p>
            <w:pPr>
              <w:jc w:val="right"/>
              <w:ind w:right="912"/>
              <w:spacing w:after="0"/>
              <w:rPr>
                <w:sz w:val="20"/>
                <w:szCs w:val="20"/>
                <w:color w:val="auto"/>
              </w:rPr>
            </w:pPr>
            <w:r>
              <w:rPr>
                <w:rFonts w:ascii="Arial" w:cs="Arial" w:eastAsia="Arial" w:hAnsi="Arial"/>
                <w:sz w:val="18"/>
                <w:szCs w:val="18"/>
                <w:color w:val="auto"/>
              </w:rPr>
              <w:t>30%</w:t>
            </w:r>
          </w:p>
        </w:tc>
        <w:tc>
          <w:tcPr>
            <w:tcW w:w="24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9"/>
              </w:rPr>
              <w:t>$(1,351)</w:t>
            </w:r>
          </w:p>
        </w:tc>
        <w:tc>
          <w:tcPr>
            <w:tcW w:w="25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6"/>
              </w:rPr>
              <w:t>$95</w:t>
            </w:r>
          </w:p>
        </w:tc>
        <w:tc>
          <w:tcPr>
            <w:tcW w:w="2340" w:type="dxa"/>
            <w:vAlign w:val="bottom"/>
            <w:shd w:val="clear" w:color="auto" w:fill="CCCCCC"/>
          </w:tcPr>
          <w:p>
            <w:pPr>
              <w:jc w:val="center"/>
              <w:ind w:left="12"/>
              <w:spacing w:after="0"/>
              <w:rPr>
                <w:sz w:val="20"/>
                <w:szCs w:val="20"/>
                <w:color w:val="auto"/>
              </w:rPr>
            </w:pPr>
            <w:r>
              <w:rPr>
                <w:rFonts w:ascii="Arial" w:cs="Arial" w:eastAsia="Arial" w:hAnsi="Arial"/>
                <w:sz w:val="18"/>
                <w:szCs w:val="18"/>
                <w:color w:val="auto"/>
                <w:w w:val="89"/>
              </w:rPr>
              <w:t>$(1,256)</w:t>
            </w:r>
          </w:p>
        </w:tc>
      </w:tr>
      <w:tr>
        <w:trPr>
          <w:trHeight w:val="216"/>
        </w:trPr>
        <w:tc>
          <w:tcPr>
            <w:tcW w:w="2320" w:type="dxa"/>
            <w:vAlign w:val="bottom"/>
          </w:tcPr>
          <w:p>
            <w:pPr>
              <w:jc w:val="right"/>
              <w:ind w:right="912"/>
              <w:spacing w:after="0"/>
              <w:rPr>
                <w:sz w:val="20"/>
                <w:szCs w:val="20"/>
                <w:color w:val="auto"/>
              </w:rPr>
            </w:pPr>
            <w:r>
              <w:rPr>
                <w:rFonts w:ascii="Arial" w:cs="Arial" w:eastAsia="Arial" w:hAnsi="Arial"/>
                <w:sz w:val="18"/>
                <w:szCs w:val="18"/>
                <w:color w:val="auto"/>
              </w:rPr>
              <w:t>20%</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(900)</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340" w:type="dxa"/>
            <w:vAlign w:val="bottom"/>
          </w:tcPr>
          <w:p>
            <w:pPr>
              <w:jc w:val="center"/>
              <w:ind w:left="32"/>
              <w:spacing w:after="0"/>
              <w:rPr>
                <w:sz w:val="20"/>
                <w:szCs w:val="20"/>
                <w:color w:val="auto"/>
              </w:rPr>
            </w:pPr>
            <w:r>
              <w:rPr>
                <w:rFonts w:ascii="Arial" w:cs="Arial" w:eastAsia="Arial" w:hAnsi="Arial"/>
                <w:sz w:val="18"/>
                <w:szCs w:val="18"/>
                <w:color w:val="auto"/>
                <w:w w:val="90"/>
              </w:rPr>
              <w:t>(829)</w:t>
            </w:r>
          </w:p>
        </w:tc>
      </w:tr>
      <w:tr>
        <w:trPr>
          <w:trHeight w:val="216"/>
        </w:trPr>
        <w:tc>
          <w:tcPr>
            <w:tcW w:w="2320" w:type="dxa"/>
            <w:vAlign w:val="bottom"/>
            <w:shd w:val="clear" w:color="auto" w:fill="CCCCCC"/>
          </w:tcPr>
          <w:p>
            <w:pPr>
              <w:jc w:val="right"/>
              <w:ind w:right="912"/>
              <w:spacing w:after="0"/>
              <w:rPr>
                <w:sz w:val="20"/>
                <w:szCs w:val="20"/>
                <w:color w:val="auto"/>
              </w:rPr>
            </w:pPr>
            <w:r>
              <w:rPr>
                <w:rFonts w:ascii="Arial" w:cs="Arial" w:eastAsia="Arial" w:hAnsi="Arial"/>
                <w:sz w:val="18"/>
                <w:szCs w:val="18"/>
                <w:color w:val="auto"/>
              </w:rPr>
              <w:t>10%</w:t>
            </w:r>
          </w:p>
        </w:tc>
        <w:tc>
          <w:tcPr>
            <w:tcW w:w="24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0"/>
              </w:rPr>
              <w:t>(450)</w:t>
            </w:r>
          </w:p>
        </w:tc>
        <w:tc>
          <w:tcPr>
            <w:tcW w:w="25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9"/>
              </w:rPr>
              <w:t>34</w:t>
            </w:r>
          </w:p>
        </w:tc>
        <w:tc>
          <w:tcPr>
            <w:tcW w:w="2340" w:type="dxa"/>
            <w:vAlign w:val="bottom"/>
            <w:shd w:val="clear" w:color="auto" w:fill="CCCCCC"/>
          </w:tcPr>
          <w:p>
            <w:pPr>
              <w:jc w:val="center"/>
              <w:ind w:left="32"/>
              <w:spacing w:after="0"/>
              <w:rPr>
                <w:sz w:val="20"/>
                <w:szCs w:val="20"/>
                <w:color w:val="auto"/>
              </w:rPr>
            </w:pPr>
            <w:r>
              <w:rPr>
                <w:rFonts w:ascii="Arial" w:cs="Arial" w:eastAsia="Arial" w:hAnsi="Arial"/>
                <w:sz w:val="18"/>
                <w:szCs w:val="18"/>
                <w:color w:val="auto"/>
                <w:w w:val="90"/>
              </w:rPr>
              <w:t>(416)</w:t>
            </w:r>
          </w:p>
        </w:tc>
      </w:tr>
      <w:tr>
        <w:trPr>
          <w:trHeight w:val="216"/>
        </w:trPr>
        <w:tc>
          <w:tcPr>
            <w:tcW w:w="2320" w:type="dxa"/>
            <w:vAlign w:val="bottom"/>
          </w:tcPr>
          <w:p>
            <w:pPr>
              <w:jc w:val="right"/>
              <w:ind w:right="852"/>
              <w:spacing w:after="0"/>
              <w:rPr>
                <w:sz w:val="20"/>
                <w:szCs w:val="20"/>
                <w:color w:val="auto"/>
              </w:rPr>
            </w:pPr>
            <w:r>
              <w:rPr>
                <w:rFonts w:ascii="Arial" w:cs="Arial" w:eastAsia="Arial" w:hAnsi="Arial"/>
                <w:sz w:val="18"/>
                <w:szCs w:val="18"/>
                <w:color w:val="auto"/>
              </w:rPr>
              <w:t>(10)%</w:t>
            </w:r>
          </w:p>
        </w:tc>
        <w:tc>
          <w:tcPr>
            <w:tcW w:w="2420" w:type="dxa"/>
            <w:vAlign w:val="bottom"/>
          </w:tcPr>
          <w:p>
            <w:pPr>
              <w:jc w:val="center"/>
              <w:spacing w:after="0"/>
              <w:rPr>
                <w:sz w:val="20"/>
                <w:szCs w:val="20"/>
                <w:color w:val="auto"/>
              </w:rPr>
            </w:pPr>
            <w:r>
              <w:rPr>
                <w:rFonts w:ascii="Arial" w:cs="Arial" w:eastAsia="Arial" w:hAnsi="Arial"/>
                <w:sz w:val="18"/>
                <w:szCs w:val="18"/>
                <w:color w:val="auto"/>
                <w:w w:val="86"/>
              </w:rPr>
              <w:t>450</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2340" w:type="dxa"/>
            <w:vAlign w:val="bottom"/>
          </w:tcPr>
          <w:p>
            <w:pPr>
              <w:jc w:val="center"/>
              <w:ind w:left="12"/>
              <w:spacing w:after="0"/>
              <w:rPr>
                <w:sz w:val="20"/>
                <w:szCs w:val="20"/>
                <w:color w:val="auto"/>
              </w:rPr>
            </w:pPr>
            <w:r>
              <w:rPr>
                <w:rFonts w:ascii="Arial" w:cs="Arial" w:eastAsia="Arial" w:hAnsi="Arial"/>
                <w:sz w:val="18"/>
                <w:szCs w:val="18"/>
                <w:color w:val="auto"/>
                <w:w w:val="93"/>
              </w:rPr>
              <w:t>437</w:t>
            </w:r>
          </w:p>
        </w:tc>
      </w:tr>
      <w:tr>
        <w:trPr>
          <w:trHeight w:val="216"/>
        </w:trPr>
        <w:tc>
          <w:tcPr>
            <w:tcW w:w="2320" w:type="dxa"/>
            <w:vAlign w:val="bottom"/>
            <w:shd w:val="clear" w:color="auto" w:fill="CCCCCC"/>
          </w:tcPr>
          <w:p>
            <w:pPr>
              <w:jc w:val="right"/>
              <w:ind w:right="852"/>
              <w:spacing w:after="0"/>
              <w:rPr>
                <w:sz w:val="20"/>
                <w:szCs w:val="20"/>
                <w:color w:val="auto"/>
              </w:rPr>
            </w:pPr>
            <w:r>
              <w:rPr>
                <w:rFonts w:ascii="Arial" w:cs="Arial" w:eastAsia="Arial" w:hAnsi="Arial"/>
                <w:sz w:val="18"/>
                <w:szCs w:val="18"/>
                <w:color w:val="auto"/>
              </w:rPr>
              <w:t>(20)%</w:t>
            </w:r>
          </w:p>
        </w:tc>
        <w:tc>
          <w:tcPr>
            <w:tcW w:w="24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86"/>
              </w:rPr>
              <w:t>900</w:t>
            </w:r>
          </w:p>
        </w:tc>
        <w:tc>
          <w:tcPr>
            <w:tcW w:w="25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3"/>
              </w:rPr>
              <w:t>(25)</w:t>
            </w:r>
          </w:p>
        </w:tc>
        <w:tc>
          <w:tcPr>
            <w:tcW w:w="2340" w:type="dxa"/>
            <w:vAlign w:val="bottom"/>
            <w:shd w:val="clear" w:color="auto" w:fill="CCCCCC"/>
          </w:tcPr>
          <w:p>
            <w:pPr>
              <w:jc w:val="center"/>
              <w:ind w:left="12"/>
              <w:spacing w:after="0"/>
              <w:rPr>
                <w:sz w:val="20"/>
                <w:szCs w:val="20"/>
                <w:color w:val="auto"/>
              </w:rPr>
            </w:pPr>
            <w:r>
              <w:rPr>
                <w:rFonts w:ascii="Arial" w:cs="Arial" w:eastAsia="Arial" w:hAnsi="Arial"/>
                <w:sz w:val="18"/>
                <w:szCs w:val="18"/>
                <w:color w:val="auto"/>
                <w:w w:val="93"/>
              </w:rPr>
              <w:t>875</w:t>
            </w:r>
          </w:p>
        </w:tc>
      </w:tr>
      <w:tr>
        <w:trPr>
          <w:trHeight w:val="217"/>
        </w:trPr>
        <w:tc>
          <w:tcPr>
            <w:tcW w:w="2320" w:type="dxa"/>
            <w:vAlign w:val="bottom"/>
          </w:tcPr>
          <w:p>
            <w:pPr>
              <w:jc w:val="right"/>
              <w:ind w:right="852"/>
              <w:spacing w:after="0"/>
              <w:rPr>
                <w:sz w:val="20"/>
                <w:szCs w:val="20"/>
                <w:color w:val="auto"/>
              </w:rPr>
            </w:pPr>
            <w:r>
              <w:rPr>
                <w:rFonts w:ascii="Arial" w:cs="Arial" w:eastAsia="Arial" w:hAnsi="Arial"/>
                <w:sz w:val="18"/>
                <w:szCs w:val="18"/>
                <w:color w:val="auto"/>
              </w:rPr>
              <w:t>(30)%</w:t>
            </w: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1,351</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(37)</w:t>
            </w:r>
          </w:p>
        </w:tc>
        <w:tc>
          <w:tcPr>
            <w:tcW w:w="2340" w:type="dxa"/>
            <w:vAlign w:val="bottom"/>
          </w:tcPr>
          <w:p>
            <w:pPr>
              <w:jc w:val="center"/>
              <w:ind w:left="12"/>
              <w:spacing w:after="0"/>
              <w:rPr>
                <w:sz w:val="20"/>
                <w:szCs w:val="20"/>
                <w:color w:val="auto"/>
              </w:rPr>
            </w:pPr>
            <w:r>
              <w:rPr>
                <w:rFonts w:ascii="Arial" w:cs="Arial" w:eastAsia="Arial" w:hAnsi="Arial"/>
                <w:sz w:val="18"/>
                <w:szCs w:val="18"/>
                <w:color w:val="auto"/>
                <w:w w:val="88"/>
              </w:rPr>
              <w:t>1,314</w:t>
            </w:r>
          </w:p>
        </w:tc>
      </w:tr>
    </w:tbl>
    <w:p>
      <w:pPr>
        <w:ind w:left="1200" w:hanging="192"/>
        <w:spacing w:after="0" w:line="221" w:lineRule="auto"/>
        <w:tabs>
          <w:tab w:leader="none" w:pos="12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Projected using equal shifts in spot and forward prices for aircraft fuel and crude oil underlying hedge contracts from December 31, 2015 levels.</w:t>
      </w:r>
    </w:p>
    <w:p>
      <w:pPr>
        <w:ind w:left="1000" w:right="1640" w:firstLine="8"/>
        <w:spacing w:after="0" w:line="221" w:lineRule="auto"/>
        <w:tabs>
          <w:tab w:leader="none" w:pos="1191"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Projection based on a price of $1.14 per gallon, excluding taxes and other delivery costs and estimated consumption of 3.95 billion gallons for the year ending December 31, 2016.</w:t>
      </w:r>
    </w:p>
    <w:p>
      <w:pPr>
        <w:ind w:left="1000" w:right="900" w:firstLine="8"/>
        <w:spacing w:after="0" w:line="230" w:lineRule="auto"/>
        <w:tabs>
          <w:tab w:leader="none" w:pos="11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 in projected cash gain/(loss) on existing fuel derivatives as of December 31, 2015. Includes all fuel derivatives whether or not the fuel derivatives are designated for hedge accounting.</w:t>
      </w:r>
    </w:p>
    <w:p>
      <w:pPr>
        <w:spacing w:after="0" w:line="8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Foreign Currency. </w:t>
      </w:r>
      <w:r>
        <w:rPr>
          <w:rFonts w:ascii="Arial" w:cs="Arial" w:eastAsia="Arial" w:hAnsi="Arial"/>
          <w:sz w:val="16"/>
          <w:szCs w:val="16"/>
          <w:color w:val="auto"/>
        </w:rPr>
        <w:t>The Company generates revenues and incurs expenses in numerous foreign currencies. Changes in foreign currency exchange rates impact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results of operations through changes in the dollar value of foreign currency-denominated operating revenues and expenses. Some of the Company’s more significant foreign currency exposures include the Canadian dollar, Chinese renminbi, European euro, British pound and Japanese yen. At times, the Company uses derivative financial instruments, such as options, collars and forward contracts, to hedge its exposure to foreign currency. At December 31, 2015, the Company had foreign currency derivative contracts in place to hedge European euro denominated sales. The notional amount of the hedges equates to 18% of the Company’s projected European euro denominated net cash inflows for 2016. Net cash relates primarily to passenger ticket sales inflows partially offset by expenses paid in local currencies. At December 31, 2015, the fair value of the Company’s foreign currency derivatives was not material to the Company’s financial statements.</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result of a uniform 10 percent strengthening in the value of the U.S. dollar from December 31, 2015 levels relative to each of the currencies in which the Company has foreign currency exposure would result in a decrease in pre-tax income of approximately $236 million for the year ending December 31, 2016. This sensitivity analysis was prepared based upon projected 2016 foreign currency-denominated revenues and expenses as of December 31, 2015 and reflects the potential benefit of the European euro hedges mentioned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2" w:name="page53"/>
    <w:bookmarkEnd w:id="52"/>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Continental Holdings, Inc.</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United Continental Holdings, Inc. (the “Company”) as of December 31, 2015 and 2014, and the related statements of consolidated operations, comprehensive income (loss), cash flows, and stockholders’ equity for each of the three years in the period ended December 31, 2015. Our audits also included the financial statement schedule listed in the Index at Item 15(a). These financial statements and the financial statement schedule are the responsibility of the Company’s management. Our responsibility is to express an opinion on these financial statements and financial statement schedule based on our audits.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5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2015, based on criteria established in Internal Control - Integrated Framework issued by the Committee of Sponsoring Organizations of the Treadway Commission (2013 Framework) and our report dated February 18, 2016,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Airlines, Inc.</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United Airlines, Inc. (the “Company”) as of December 31, 2015 and 2014, and the related statements of consolidated operations, comprehensive income (loss), cash flows, and stockholder’s equity for each of the three years in the period ended December 31, 2015. Our audits also included the financial statement schedule listed in the Index at Item 15(a). These financial statements and financial statement schedule are the responsibility of the Company’s management. Our responsibility is to express an opinion on these financial statements and financial statement schedule based on our audits.</w:t>
      </w:r>
    </w:p>
    <w:p>
      <w:pPr>
        <w:spacing w:after="0" w:line="8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95"/>
              </w:rPr>
              <w:t>Year Ended December 31,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Passenger—Mainline</w:t>
            </w:r>
          </w:p>
        </w:tc>
        <w:tc>
          <w:tcPr>
            <w:tcW w:w="24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26,333</w:t>
            </w:r>
          </w:p>
        </w:tc>
        <w:tc>
          <w:tcPr>
            <w:tcW w:w="180" w:type="dxa"/>
            <w:vAlign w:val="bottom"/>
            <w:shd w:val="clear" w:color="auto" w:fill="CCCCCC"/>
          </w:tcPr>
          <w:p>
            <w:pPr>
              <w:spacing w:after="0"/>
              <w:rPr>
                <w:sz w:val="18"/>
                <w:szCs w:val="18"/>
                <w:color w:val="auto"/>
              </w:rPr>
            </w:pPr>
          </w:p>
        </w:tc>
        <w:tc>
          <w:tcPr>
            <w:tcW w:w="88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26,785</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25,997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Passenger—Regional</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640"/>
              <w:spacing w:after="0"/>
              <w:rPr>
                <w:sz w:val="20"/>
                <w:szCs w:val="20"/>
                <w:color w:val="auto"/>
              </w:rPr>
            </w:pPr>
            <w:r>
              <w:rPr>
                <w:rFonts w:ascii="Arial" w:cs="Arial" w:eastAsia="Arial" w:hAnsi="Arial"/>
                <w:sz w:val="18"/>
                <w:szCs w:val="18"/>
                <w:color w:val="auto"/>
              </w:rPr>
              <w:t>Total passenger revenue</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32,785</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33,762</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33,122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Cargo</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Other operating revenue</w:t>
            </w: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4,142</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4,201</w:t>
            </w:r>
          </w:p>
        </w:tc>
        <w:tc>
          <w:tcPr>
            <w:tcW w:w="8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37,864</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38,901</w:t>
            </w: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spacing w:after="0"/>
              <w:rPr>
                <w:sz w:val="20"/>
                <w:szCs w:val="20"/>
                <w:color w:val="auto"/>
              </w:rPr>
            </w:pPr>
            <w:r>
              <w:rPr>
                <w:rFonts w:ascii="Arial" w:cs="Arial" w:eastAsia="Arial" w:hAnsi="Arial"/>
                <w:sz w:val="18"/>
                <w:szCs w:val="18"/>
                <w:color w:val="auto"/>
              </w:rPr>
              <w:t>Operating expense:</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Salaries and related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9,713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8,935</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Aircraft fuel</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7,522</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11,675</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12,345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Regional capacity purchase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2,344</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Landing fees and other rent</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2,203</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2,274</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1,679</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Aircraft maintenance materials and outside repairs</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1,779</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Distribution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Aircraft rent</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883</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Special charges (Note 16)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5,078</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5,143</w:t>
            </w:r>
          </w:p>
        </w:tc>
        <w:tc>
          <w:tcPr>
            <w:tcW w:w="8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32,698</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36,528</w:t>
            </w: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5,166</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2,373</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CCCC"/>
          </w:tcPr>
          <w:p>
            <w:pPr>
              <w:spacing w:after="0"/>
              <w:rPr>
                <w:sz w:val="20"/>
                <w:szCs w:val="20"/>
                <w:color w:val="auto"/>
              </w:rPr>
            </w:pPr>
            <w:r>
              <w:rPr>
                <w:rFonts w:ascii="Arial" w:cs="Arial" w:eastAsia="Arial" w:hAnsi="Arial"/>
                <w:sz w:val="18"/>
                <w:szCs w:val="18"/>
                <w:color w:val="auto"/>
              </w:rPr>
              <w:t>Nonoperating income (expense):</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(669)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52</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Miscellaneous, net (Note 16)</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1640" w:type="dxa"/>
            <w:vAlign w:val="bottom"/>
            <w:gridSpan w:val="2"/>
            <w:shd w:val="clear" w:color="auto" w:fill="CCCCCC"/>
          </w:tcPr>
          <w:p>
            <w:pPr>
              <w:jc w:val="right"/>
              <w:ind w:right="840"/>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CCCCCC"/>
          </w:tcPr>
          <w:p>
            <w:pPr>
              <w:spacing w:after="0"/>
              <w:rPr>
                <w:sz w:val="18"/>
                <w:szCs w:val="18"/>
                <w:color w:val="auto"/>
              </w:rPr>
            </w:pPr>
          </w:p>
        </w:tc>
        <w:tc>
          <w:tcPr>
            <w:tcW w:w="8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4,219</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tcBorders>
              <w:top w:val="single" w:sz="8" w:color="auto"/>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1,128</w:t>
            </w:r>
          </w:p>
        </w:tc>
        <w:tc>
          <w:tcPr>
            <w:tcW w:w="840" w:type="dxa"/>
            <w:vAlign w:val="bottom"/>
            <w:shd w:val="clear" w:color="auto" w:fill="CCCCCC"/>
          </w:tcPr>
          <w:p>
            <w:pPr>
              <w:spacing w:after="0"/>
              <w:rPr>
                <w:sz w:val="18"/>
                <w:szCs w:val="18"/>
                <w:color w:val="auto"/>
              </w:rPr>
            </w:pPr>
          </w:p>
        </w:tc>
        <w:tc>
          <w:tcPr>
            <w:tcW w:w="240" w:type="dxa"/>
            <w:vAlign w:val="bottom"/>
            <w:tcBorders>
              <w:top w:val="single" w:sz="8" w:color="auto"/>
            </w:tcBorders>
            <w:shd w:val="clear" w:color="auto" w:fill="CCCCCC"/>
          </w:tcPr>
          <w:p>
            <w:pPr>
              <w:spacing w:after="0"/>
              <w:rPr>
                <w:sz w:val="18"/>
                <w:szCs w:val="18"/>
                <w:color w:val="auto"/>
              </w:rPr>
            </w:pPr>
          </w:p>
        </w:tc>
        <w:tc>
          <w:tcPr>
            <w:tcW w:w="8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CCC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7,340</w:t>
            </w:r>
          </w:p>
        </w:tc>
        <w:tc>
          <w:tcPr>
            <w:tcW w:w="1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1,132</w:t>
            </w:r>
          </w:p>
        </w:tc>
        <w:tc>
          <w:tcPr>
            <w:tcW w:w="84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Earnings per share, basic</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vMerge w:val="continue"/>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19.52</w:t>
            </w:r>
          </w:p>
        </w:tc>
        <w:tc>
          <w:tcPr>
            <w:tcW w:w="180" w:type="dxa"/>
            <w:vAlign w:val="bottom"/>
          </w:tcPr>
          <w:p>
            <w:pPr>
              <w:spacing w:after="0"/>
              <w:rPr>
                <w:sz w:val="18"/>
                <w:szCs w:val="18"/>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84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CCCC"/>
          </w:tcPr>
          <w:p>
            <w:pPr>
              <w:ind w:left="420"/>
              <w:spacing w:after="0"/>
              <w:rPr>
                <w:sz w:val="20"/>
                <w:szCs w:val="20"/>
                <w:color w:val="auto"/>
              </w:rPr>
            </w:pPr>
            <w:r>
              <w:rPr>
                <w:rFonts w:ascii="Arial" w:cs="Arial" w:eastAsia="Arial" w:hAnsi="Arial"/>
                <w:sz w:val="18"/>
                <w:szCs w:val="18"/>
                <w:color w:val="auto"/>
              </w:rPr>
              <w:t>Earnings per share, diluted</w:t>
            </w:r>
          </w:p>
        </w:tc>
        <w:tc>
          <w:tcPr>
            <w:tcW w:w="24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19.47</w:t>
            </w:r>
          </w:p>
        </w:tc>
        <w:tc>
          <w:tcPr>
            <w:tcW w:w="180" w:type="dxa"/>
            <w:vAlign w:val="bottom"/>
            <w:shd w:val="clear" w:color="auto" w:fill="CCCCCC"/>
          </w:tcPr>
          <w:p>
            <w:pPr>
              <w:spacing w:after="0"/>
              <w:rPr>
                <w:sz w:val="18"/>
                <w:szCs w:val="18"/>
                <w:color w:val="auto"/>
              </w:rPr>
            </w:pPr>
          </w:p>
        </w:tc>
        <w:tc>
          <w:tcPr>
            <w:tcW w:w="88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2.93</w:t>
            </w:r>
          </w:p>
        </w:tc>
        <w:tc>
          <w:tcPr>
            <w:tcW w:w="840" w:type="dxa"/>
            <w:vAlign w:val="bottom"/>
            <w:shd w:val="clear" w:color="auto" w:fill="CCCCCC"/>
          </w:tcPr>
          <w:p>
            <w:pPr>
              <w:spacing w:after="0"/>
              <w:rPr>
                <w:sz w:val="18"/>
                <w:szCs w:val="18"/>
                <w:color w:val="auto"/>
              </w:rPr>
            </w:pPr>
          </w:p>
        </w:tc>
        <w:tc>
          <w:tcPr>
            <w:tcW w:w="24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5" w:name="page56"/>
    <w:bookmarkEnd w:id="55"/>
    <w:p>
      <w:pPr>
        <w:jc w:val="center"/>
        <w:ind w:left="260" w:right="2740"/>
        <w:spacing w:after="0" w:line="27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CONTINENTAL HOLDINGS, INC. STATEMENTS OF CONSOLIDATED COMPREHENSIVE INCOME (LOSS)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tcBorders>
              <w:bottom w:val="single" w:sz="8" w:color="CCCC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CCCC"/>
            </w:tcBorders>
          </w:tcPr>
          <w:p>
            <w:pPr>
              <w:spacing w:after="0"/>
              <w:rPr>
                <w:sz w:val="18"/>
                <w:szCs w:val="18"/>
                <w:color w:val="auto"/>
              </w:rPr>
            </w:pPr>
          </w:p>
        </w:tc>
        <w:tc>
          <w:tcPr>
            <w:tcW w:w="660" w:type="dxa"/>
            <w:vAlign w:val="bottom"/>
            <w:tcBorders>
              <w:bottom w:val="single" w:sz="8" w:color="CCCC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CCCC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7,340</w:t>
            </w:r>
          </w:p>
        </w:tc>
        <w:tc>
          <w:tcPr>
            <w:tcW w:w="22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24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1,132</w:t>
            </w:r>
          </w:p>
        </w:tc>
        <w:tc>
          <w:tcPr>
            <w:tcW w:w="900" w:type="dxa"/>
            <w:vAlign w:val="bottom"/>
            <w:shd w:val="clear" w:color="auto" w:fill="CCCCCC"/>
          </w:tcPr>
          <w:p>
            <w:pPr>
              <w:spacing w:after="0"/>
              <w:rPr>
                <w:sz w:val="18"/>
                <w:szCs w:val="18"/>
                <w:color w:val="auto"/>
              </w:rPr>
            </w:pPr>
          </w:p>
        </w:tc>
        <w:tc>
          <w:tcPr>
            <w:tcW w:w="24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CCCC"/>
          </w:tcPr>
          <w:p>
            <w:pPr>
              <w:spacing w:after="0"/>
              <w:rPr>
                <w:sz w:val="20"/>
                <w:szCs w:val="20"/>
                <w:color w:val="auto"/>
              </w:rPr>
            </w:pPr>
            <w:r>
              <w:rPr>
                <w:rFonts w:ascii="Arial" w:cs="Arial" w:eastAsia="Arial" w:hAnsi="Arial"/>
                <w:sz w:val="18"/>
                <w:szCs w:val="18"/>
                <w:color w:val="auto"/>
              </w:rPr>
              <w:t>Other comprehensive income (loss), net change related to:</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90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40"/>
              <w:spacing w:after="0"/>
              <w:rPr>
                <w:sz w:val="20"/>
                <w:szCs w:val="20"/>
                <w:color w:val="auto"/>
              </w:rPr>
            </w:pPr>
            <w:r>
              <w:rPr>
                <w:rFonts w:ascii="Arial" w:cs="Arial" w:eastAsia="Arial" w:hAnsi="Arial"/>
                <w:sz w:val="18"/>
                <w:szCs w:val="18"/>
                <w:color w:val="auto"/>
              </w:rPr>
              <w:t>Employee benefit plans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Fuel derivative financial instruments</w:t>
            </w: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(510)</w:t>
            </w:r>
          </w:p>
        </w:tc>
        <w:tc>
          <w:tcPr>
            <w:tcW w:w="90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40"/>
              <w:spacing w:after="0"/>
              <w:rPr>
                <w:sz w:val="20"/>
                <w:szCs w:val="20"/>
                <w:color w:val="auto"/>
              </w:rPr>
            </w:pPr>
            <w:r>
              <w:rPr>
                <w:rFonts w:ascii="Arial" w:cs="Arial" w:eastAsia="Arial" w:hAnsi="Arial"/>
                <w:sz w:val="18"/>
                <w:szCs w:val="18"/>
                <w:color w:val="auto"/>
              </w:rPr>
              <w:t>Investments and other</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spacing w:after="0"/>
              <w:rPr>
                <w:sz w:val="18"/>
                <w:szCs w:val="18"/>
                <w:color w:val="auto"/>
              </w:rPr>
            </w:pPr>
          </w:p>
        </w:tc>
        <w:tc>
          <w:tcPr>
            <w:tcW w:w="8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CCCC"/>
          </w:tcPr>
          <w:p>
            <w:pPr>
              <w:spacing w:after="0"/>
              <w:rPr>
                <w:sz w:val="18"/>
                <w:szCs w:val="18"/>
                <w:color w:val="auto"/>
              </w:rPr>
            </w:pPr>
          </w:p>
        </w:tc>
        <w:tc>
          <w:tcPr>
            <w:tcW w:w="66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spacing w:after="0"/>
              <w:rPr>
                <w:sz w:val="18"/>
                <w:szCs w:val="18"/>
                <w:color w:val="auto"/>
              </w:rPr>
            </w:pPr>
          </w:p>
        </w:tc>
        <w:tc>
          <w:tcPr>
            <w:tcW w:w="8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(1,687)</w:t>
            </w:r>
          </w:p>
        </w:tc>
        <w:tc>
          <w:tcPr>
            <w:tcW w:w="90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spacing w:after="0"/>
              <w:rPr>
                <w:sz w:val="18"/>
                <w:szCs w:val="18"/>
                <w:color w:val="auto"/>
              </w:rPr>
            </w:pPr>
          </w:p>
        </w:tc>
        <w:tc>
          <w:tcPr>
            <w:tcW w:w="8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Total comprehensive income (loss), net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7,588</w:t>
            </w:r>
          </w:p>
        </w:tc>
        <w:tc>
          <w:tcPr>
            <w:tcW w:w="220" w:type="dxa"/>
            <w:vAlign w:val="bottom"/>
          </w:tcPr>
          <w:p>
            <w:pPr>
              <w:spacing w:after="0"/>
              <w:rPr>
                <w:sz w:val="19"/>
                <w:szCs w:val="19"/>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9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5"/>
          </w:tcPr>
          <w:p>
            <w:pPr>
              <w:ind w:left="240"/>
              <w:spacing w:after="0"/>
              <w:rPr>
                <w:sz w:val="20"/>
                <w:szCs w:val="20"/>
                <w:color w:val="auto"/>
              </w:rPr>
            </w:pPr>
            <w:r>
              <w:rPr>
                <w:rFonts w:ascii="Arial" w:cs="Arial" w:eastAsia="Arial" w:hAnsi="Arial"/>
                <w:sz w:val="18"/>
                <w:szCs w:val="18"/>
                <w:b w:val="1"/>
                <w:bCs w:val="1"/>
                <w:color w:val="auto"/>
              </w:rPr>
              <w:t>At December 31,</w:t>
            </w:r>
          </w:p>
        </w:tc>
      </w:tr>
      <w:tr>
        <w:trPr>
          <w:trHeight w:val="224"/>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197"/>
        </w:trPr>
        <w:tc>
          <w:tcPr>
            <w:tcW w:w="9080" w:type="dxa"/>
            <w:vAlign w:val="bottom"/>
            <w:gridSpan w:val="2"/>
          </w:tcPr>
          <w:p>
            <w:pPr>
              <w:spacing w:after="0" w:line="197"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3,006</w:t>
            </w:r>
          </w:p>
        </w:tc>
        <w:tc>
          <w:tcPr>
            <w:tcW w:w="3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ind w:left="460"/>
              <w:spacing w:after="0"/>
              <w:rPr>
                <w:sz w:val="20"/>
                <w:szCs w:val="20"/>
                <w:color w:val="auto"/>
              </w:rPr>
            </w:pPr>
            <w:r>
              <w:rPr>
                <w:rFonts w:ascii="Arial" w:cs="Arial" w:eastAsia="Arial" w:hAnsi="Arial"/>
                <w:sz w:val="18"/>
                <w:szCs w:val="18"/>
                <w:color w:val="auto"/>
              </w:rPr>
              <w:t>Receivables, less allowance for doubtful accounts (2015—$18; 2014—$22)</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Fuel hedge collateral deposits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60" w:type="dxa"/>
            <w:vAlign w:val="bottom"/>
            <w:shd w:val="clear" w:color="auto" w:fill="CCCCCC"/>
          </w:tcPr>
          <w:p>
            <w:pPr>
              <w:ind w:left="460"/>
              <w:spacing w:after="0"/>
              <w:rPr>
                <w:sz w:val="20"/>
                <w:szCs w:val="20"/>
                <w:color w:val="auto"/>
              </w:rPr>
            </w:pPr>
            <w:r>
              <w:rPr>
                <w:rFonts w:ascii="Arial" w:cs="Arial" w:eastAsia="Arial" w:hAnsi="Arial"/>
                <w:sz w:val="18"/>
                <w:szCs w:val="18"/>
                <w:color w:val="auto"/>
              </w:rPr>
              <w:t>Aircraft fuel, spare parts and supplies, less obsolescence allowance</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9060" w:type="dxa"/>
            <w:vAlign w:val="bottom"/>
            <w:shd w:val="clear" w:color="auto" w:fill="CCCCCC"/>
          </w:tcPr>
          <w:p>
            <w:pPr>
              <w:ind w:left="460"/>
              <w:spacing w:after="0"/>
              <w:rPr>
                <w:sz w:val="20"/>
                <w:szCs w:val="20"/>
                <w:color w:val="auto"/>
              </w:rPr>
            </w:pPr>
            <w:r>
              <w:rPr>
                <w:rFonts w:ascii="Arial" w:cs="Arial" w:eastAsia="Arial" w:hAnsi="Arial"/>
                <w:sz w:val="18"/>
                <w:szCs w:val="18"/>
                <w:color w:val="auto"/>
              </w:rPr>
              <w:t>(2015—$235; 2014—$169)</w:t>
            </w:r>
          </w:p>
        </w:tc>
        <w:tc>
          <w:tcPr>
            <w:tcW w:w="240" w:type="dxa"/>
            <w:vAlign w:val="bottom"/>
            <w:shd w:val="clear" w:color="auto" w:fill="CCCCCC"/>
          </w:tcPr>
          <w:p>
            <w:pPr>
              <w:spacing w:after="0"/>
              <w:rPr>
                <w:sz w:val="20"/>
                <w:szCs w:val="20"/>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CCCC"/>
          </w:tcPr>
          <w:p>
            <w:pPr>
              <w:spacing w:after="0"/>
              <w:rPr>
                <w:sz w:val="20"/>
                <w:szCs w:val="20"/>
                <w:color w:val="auto"/>
              </w:rPr>
            </w:pPr>
          </w:p>
        </w:tc>
        <w:tc>
          <w:tcPr>
            <w:tcW w:w="240" w:type="dxa"/>
            <w:vAlign w:val="bottom"/>
            <w:shd w:val="clear" w:color="auto" w:fill="CCCCCC"/>
          </w:tcPr>
          <w:p>
            <w:pPr>
              <w:spacing w:after="0"/>
              <w:rPr>
                <w:sz w:val="20"/>
                <w:szCs w:val="20"/>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CCCC"/>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7,828</w:t>
            </w:r>
          </w:p>
        </w:tc>
        <w:tc>
          <w:tcPr>
            <w:tcW w:w="1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CCCC"/>
          </w:tcPr>
          <w:p>
            <w:pPr>
              <w:spacing w:after="0"/>
              <w:rPr>
                <w:sz w:val="18"/>
                <w:szCs w:val="18"/>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Operating property and equipment: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Owned—</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Flight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ind w:left="960"/>
              <w:spacing w:after="0"/>
              <w:rPr>
                <w:sz w:val="20"/>
                <w:szCs w:val="20"/>
                <w:color w:val="auto"/>
              </w:rPr>
            </w:pPr>
            <w:r>
              <w:rPr>
                <w:rFonts w:ascii="Arial" w:cs="Arial" w:eastAsia="Arial" w:hAnsi="Arial"/>
                <w:sz w:val="18"/>
                <w:szCs w:val="18"/>
                <w:color w:val="auto"/>
              </w:rPr>
              <w:t>Other property and equipment</w:t>
            </w: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4,542</w:t>
            </w:r>
          </w:p>
        </w:tc>
        <w:tc>
          <w:tcPr>
            <w:tcW w:w="1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CCCC"/>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25,123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CCCC"/>
          </w:tcPr>
          <w:p>
            <w:pPr>
              <w:ind w:left="960"/>
              <w:spacing w:after="0"/>
              <w:rPr>
                <w:sz w:val="20"/>
                <w:szCs w:val="20"/>
                <w:color w:val="auto"/>
              </w:rPr>
            </w:pPr>
            <w:r>
              <w:rPr>
                <w:rFonts w:ascii="Arial" w:cs="Arial" w:eastAsia="Arial" w:hAnsi="Arial"/>
                <w:sz w:val="18"/>
                <w:szCs w:val="18"/>
                <w:color w:val="auto"/>
              </w:rPr>
              <w:t>Less—Accumulated depreciation and amortization</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(8,339)</w:t>
            </w: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92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(7,079)</w:t>
            </w:r>
          </w:p>
        </w:tc>
      </w:tr>
      <w:tr>
        <w:trPr>
          <w:trHeight w:val="230"/>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Purchase deposits for flight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ind w:left="960"/>
              <w:spacing w:after="0"/>
              <w:rPr>
                <w:sz w:val="20"/>
                <w:szCs w:val="20"/>
                <w:color w:val="auto"/>
              </w:rPr>
            </w:pPr>
            <w:r>
              <w:rPr>
                <w:rFonts w:ascii="Arial" w:cs="Arial" w:eastAsia="Arial" w:hAnsi="Arial"/>
                <w:sz w:val="18"/>
                <w:szCs w:val="18"/>
                <w:color w:val="auto"/>
              </w:rPr>
              <w:t>Flight equipment</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Other property and equipment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1,859</w:t>
            </w: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960"/>
              <w:spacing w:after="0"/>
              <w:rPr>
                <w:sz w:val="20"/>
                <w:szCs w:val="20"/>
                <w:color w:val="auto"/>
              </w:rPr>
            </w:pPr>
            <w:r>
              <w:rPr>
                <w:rFonts w:ascii="Arial" w:cs="Arial" w:eastAsia="Arial" w:hAnsi="Arial"/>
                <w:sz w:val="18"/>
                <w:szCs w:val="18"/>
                <w:color w:val="auto"/>
              </w:rPr>
              <w:t>Less—Accumulated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spacing w:after="0"/>
              <w:rPr>
                <w:sz w:val="18"/>
                <w:szCs w:val="18"/>
                <w:color w:val="auto"/>
              </w:rPr>
            </w:pPr>
          </w:p>
        </w:tc>
        <w:tc>
          <w:tcPr>
            <w:tcW w:w="8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CCCC"/>
          </w:tcPr>
          <w:p>
            <w:pPr>
              <w:spacing w:after="0"/>
              <w:rPr>
                <w:sz w:val="18"/>
                <w:szCs w:val="18"/>
                <w:color w:val="auto"/>
              </w:rPr>
            </w:pPr>
          </w:p>
        </w:tc>
        <w:tc>
          <w:tcPr>
            <w:tcW w:w="240" w:type="dxa"/>
            <w:vAlign w:val="bottom"/>
            <w:tcBorders>
              <w:top w:val="single" w:sz="8" w:color="auto"/>
              <w:bottom w:val="single" w:sz="8" w:color="auto"/>
            </w:tcBorders>
            <w:shd w:val="clear" w:color="auto" w:fill="CCCCCC"/>
          </w:tcPr>
          <w:p>
            <w:pPr>
              <w:spacing w:after="0"/>
              <w:rPr>
                <w:sz w:val="18"/>
                <w:szCs w:val="18"/>
                <w:color w:val="auto"/>
              </w:rPr>
            </w:pPr>
          </w:p>
        </w:tc>
        <w:tc>
          <w:tcPr>
            <w:tcW w:w="8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CC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ind w:left="460"/>
              <w:spacing w:after="0"/>
              <w:rPr>
                <w:sz w:val="20"/>
                <w:szCs w:val="20"/>
                <w:color w:val="auto"/>
              </w:rPr>
            </w:pPr>
            <w:r>
              <w:rPr>
                <w:rFonts w:ascii="Arial" w:cs="Arial" w:eastAsia="Arial" w:hAnsi="Arial"/>
                <w:sz w:val="18"/>
                <w:szCs w:val="18"/>
                <w:color w:val="auto"/>
              </w:rPr>
              <w:t>Intangibles, less accumulated amortization (2015—$1,144; 2014—$1,049)</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4,136</w:t>
            </w: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11,453</w:t>
            </w:r>
          </w:p>
        </w:tc>
        <w:tc>
          <w:tcPr>
            <w:tcW w:w="14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CCCC"/>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40,861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At December 31,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2015</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940" w:type="dxa"/>
            <w:vAlign w:val="bottom"/>
            <w:gridSpan w:val="2"/>
          </w:tcPr>
          <w:p>
            <w:pPr>
              <w:spacing w:after="0" w:line="197"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Advance ticket sales</w:t>
            </w: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3,753</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Frequent flyer deferred revenue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2,117</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1,869</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Accrued salaries and benefits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1,224</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Current maturities of capital leases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Fuel derivative instruments</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spacing w:after="0"/>
              <w:rPr>
                <w:sz w:val="18"/>
                <w:szCs w:val="18"/>
                <w:color w:val="auto"/>
              </w:rPr>
            </w:pPr>
          </w:p>
        </w:tc>
        <w:tc>
          <w:tcPr>
            <w:tcW w:w="12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7"/>
              </w:rPr>
              <w:t>12,414</w:t>
            </w:r>
          </w:p>
        </w:tc>
        <w:tc>
          <w:tcPr>
            <w:tcW w:w="1100" w:type="dxa"/>
            <w:vAlign w:val="bottom"/>
            <w:shd w:val="clear" w:color="auto" w:fill="CCCCCC"/>
          </w:tcPr>
          <w:p>
            <w:pPr>
              <w:spacing w:after="0"/>
              <w:rPr>
                <w:sz w:val="18"/>
                <w:szCs w:val="18"/>
                <w:color w:val="auto"/>
              </w:rPr>
            </w:pPr>
          </w:p>
        </w:tc>
        <w:tc>
          <w:tcPr>
            <w:tcW w:w="10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3"/>
              </w:rPr>
              <w:t>12,508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CCCC"/>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9,673</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9,953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Long-term obligations under capital leases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727</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2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540" w:type="dxa"/>
            <w:vAlign w:val="bottom"/>
            <w:shd w:val="clear" w:color="auto" w:fill="CCCCCC"/>
          </w:tcPr>
          <w:p>
            <w:pPr>
              <w:spacing w:after="0"/>
              <w:rPr>
                <w:sz w:val="12"/>
                <w:szCs w:val="12"/>
                <w:color w:val="auto"/>
              </w:rPr>
            </w:pPr>
          </w:p>
        </w:tc>
        <w:tc>
          <w:tcPr>
            <w:tcW w:w="11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liabilities and deferred credits: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Frequent flyer deferred revenue</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2,826</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Postretirement benefit liability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Pension liability</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1,488</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Advanced purchase of miles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CCCC"/>
          </w:tcPr>
          <w:p>
            <w:pPr>
              <w:spacing w:after="0"/>
              <w:rPr>
                <w:sz w:val="18"/>
                <w:szCs w:val="18"/>
                <w:color w:val="auto"/>
              </w:rPr>
            </w:pPr>
          </w:p>
        </w:tc>
        <w:tc>
          <w:tcPr>
            <w:tcW w:w="1640" w:type="dxa"/>
            <w:vAlign w:val="bottom"/>
            <w:gridSpan w:val="2"/>
            <w:shd w:val="clear" w:color="auto" w:fill="CCCCCC"/>
          </w:tcPr>
          <w:p>
            <w:pPr>
              <w:jc w:val="right"/>
              <w:ind w:righ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Lease fair value adjustment, net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1,516</w:t>
            </w:r>
          </w:p>
        </w:tc>
        <w:tc>
          <w:tcPr>
            <w:tcW w:w="1100" w:type="dxa"/>
            <w:vAlign w:val="bottom"/>
            <w:shd w:val="clear" w:color="auto" w:fill="CCCCCC"/>
          </w:tcPr>
          <w:p>
            <w:pPr>
              <w:spacing w:after="0"/>
              <w:rPr>
                <w:sz w:val="18"/>
                <w:szCs w:val="18"/>
                <w:color w:val="auto"/>
              </w:rPr>
            </w:pPr>
          </w:p>
        </w:tc>
        <w:tc>
          <w:tcPr>
            <w:tcW w:w="10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w:t>
            </w: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CCCC"/>
          </w:tcPr>
          <w:p>
            <w:pPr>
              <w:spacing w:after="0"/>
              <w:rPr>
                <w:sz w:val="18"/>
                <w:szCs w:val="18"/>
                <w:color w:val="auto"/>
              </w:rPr>
            </w:pPr>
          </w:p>
        </w:tc>
        <w:tc>
          <w:tcPr>
            <w:tcW w:w="1640" w:type="dxa"/>
            <w:vAlign w:val="bottom"/>
            <w:gridSpan w:val="2"/>
            <w:shd w:val="clear" w:color="auto" w:fill="CCCCCC"/>
          </w:tcPr>
          <w:p>
            <w:pPr>
              <w:jc w:val="right"/>
              <w:ind w:right="1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Common stock at par, $0.01 par value; authorized 1,000,000,000 shares; outstanding 364,609,108 and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374,525,916 shares at December 31, 2015 and 2014, respectively</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Additional capital invested</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7,946</w:t>
            </w:r>
          </w:p>
        </w:tc>
        <w:tc>
          <w:tcPr>
            <w:tcW w:w="11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7,721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3,457</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Stock held in treasury, at cost</w:t>
            </w:r>
          </w:p>
        </w:tc>
        <w:tc>
          <w:tcPr>
            <w:tcW w:w="120" w:type="dxa"/>
            <w:vAlign w:val="bottom"/>
            <w:shd w:val="clear" w:color="auto" w:fill="CCCCCC"/>
          </w:tcPr>
          <w:p>
            <w:pPr>
              <w:spacing w:after="0"/>
              <w:rPr>
                <w:sz w:val="18"/>
                <w:szCs w:val="18"/>
                <w:color w:val="auto"/>
              </w:rPr>
            </w:pPr>
          </w:p>
        </w:tc>
        <w:tc>
          <w:tcPr>
            <w:tcW w:w="1640" w:type="dxa"/>
            <w:vAlign w:val="bottom"/>
            <w:gridSpan w:val="2"/>
            <w:shd w:val="clear" w:color="auto" w:fill="CCCCCC"/>
          </w:tcPr>
          <w:p>
            <w:pPr>
              <w:jc w:val="right"/>
              <w:ind w:right="1100"/>
              <w:spacing w:after="0"/>
              <w:rPr>
                <w:sz w:val="20"/>
                <w:szCs w:val="20"/>
                <w:color w:val="auto"/>
              </w:rPr>
            </w:pPr>
            <w:r>
              <w:rPr>
                <w:rFonts w:ascii="Arial" w:cs="Arial" w:eastAsia="Arial" w:hAnsi="Arial"/>
                <w:sz w:val="18"/>
                <w:szCs w:val="18"/>
                <w:color w:val="auto"/>
                <w:w w:val="91"/>
              </w:rPr>
              <w:t>(1,610)</w:t>
            </w:r>
          </w:p>
        </w:tc>
        <w:tc>
          <w:tcPr>
            <w:tcW w:w="10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640" w:type="dxa"/>
            <w:vAlign w:val="bottom"/>
            <w:gridSpan w:val="2"/>
          </w:tcPr>
          <w:p>
            <w:pPr>
              <w:jc w:val="right"/>
              <w:ind w:right="110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CCCC"/>
          </w:tcPr>
          <w:p>
            <w:pPr>
              <w:spacing w:after="0"/>
              <w:rPr>
                <w:sz w:val="18"/>
                <w:szCs w:val="18"/>
                <w:color w:val="auto"/>
              </w:rPr>
            </w:pPr>
          </w:p>
        </w:tc>
        <w:tc>
          <w:tcPr>
            <w:tcW w:w="120" w:type="dxa"/>
            <w:vAlign w:val="bottom"/>
            <w:tcBorders>
              <w:top w:val="single" w:sz="8" w:color="auto"/>
              <w:bottom w:val="single" w:sz="8" w:color="auto"/>
            </w:tcBorders>
            <w:shd w:val="clear" w:color="auto" w:fill="CCCCCC"/>
          </w:tcPr>
          <w:p>
            <w:pPr>
              <w:spacing w:after="0"/>
              <w:rPr>
                <w:sz w:val="18"/>
                <w:szCs w:val="18"/>
                <w:color w:val="auto"/>
              </w:rPr>
            </w:pPr>
          </w:p>
        </w:tc>
        <w:tc>
          <w:tcPr>
            <w:tcW w:w="54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8,966</w:t>
            </w:r>
          </w:p>
        </w:tc>
        <w:tc>
          <w:tcPr>
            <w:tcW w:w="1100" w:type="dxa"/>
            <w:vAlign w:val="bottom"/>
            <w:shd w:val="clear" w:color="auto" w:fill="CCCCCC"/>
          </w:tcPr>
          <w:p>
            <w:pPr>
              <w:spacing w:after="0"/>
              <w:rPr>
                <w:sz w:val="18"/>
                <w:szCs w:val="18"/>
                <w:color w:val="auto"/>
              </w:rPr>
            </w:pPr>
          </w:p>
        </w:tc>
        <w:tc>
          <w:tcPr>
            <w:tcW w:w="100" w:type="dxa"/>
            <w:vAlign w:val="bottom"/>
            <w:tcBorders>
              <w:top w:val="single" w:sz="8" w:color="auto"/>
              <w:bottom w:val="single" w:sz="8" w:color="auto"/>
            </w:tcBorders>
            <w:shd w:val="clear" w:color="auto" w:fill="CCCCCC"/>
          </w:tcPr>
          <w:p>
            <w:pPr>
              <w:spacing w:after="0"/>
              <w:rPr>
                <w:sz w:val="18"/>
                <w:szCs w:val="18"/>
                <w:color w:val="auto"/>
              </w:rPr>
            </w:pPr>
          </w:p>
        </w:tc>
        <w:tc>
          <w:tcPr>
            <w:tcW w:w="5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40,861</w:t>
            </w:r>
          </w:p>
        </w:tc>
        <w:tc>
          <w:tcPr>
            <w:tcW w:w="1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36,595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5"/>
              </w:rPr>
              <w:t>Year Ended December 31,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20" w:type="dxa"/>
            <w:vAlign w:val="bottom"/>
            <w:vMerge w:val="restart"/>
          </w:tcPr>
          <w:p>
            <w:pPr>
              <w:ind w:left="4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shd w:val="clear" w:color="auto" w:fill="CCCC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7,340</w:t>
            </w:r>
          </w:p>
        </w:tc>
        <w:tc>
          <w:tcPr>
            <w:tcW w:w="180" w:type="dxa"/>
            <w:vAlign w:val="bottom"/>
            <w:shd w:val="clear" w:color="auto" w:fill="CCCCCC"/>
          </w:tcPr>
          <w:p>
            <w:pPr>
              <w:spacing w:after="0"/>
              <w:rPr>
                <w:sz w:val="12"/>
                <w:szCs w:val="12"/>
                <w:color w:val="auto"/>
              </w:rPr>
            </w:pPr>
          </w:p>
        </w:tc>
        <w:tc>
          <w:tcPr>
            <w:tcW w:w="88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1,132</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571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 -</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64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(3,177)</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64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1,819</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1,679</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640"/>
              <w:spacing w:after="0" w:line="149" w:lineRule="exact"/>
              <w:rPr>
                <w:sz w:val="20"/>
                <w:szCs w:val="20"/>
                <w:color w:val="auto"/>
              </w:rPr>
            </w:pPr>
            <w:r>
              <w:rPr>
                <w:rFonts w:ascii="Arial" w:cs="Arial" w:eastAsia="Arial" w:hAnsi="Arial"/>
                <w:sz w:val="14"/>
                <w:szCs w:val="14"/>
                <w:color w:val="auto"/>
              </w:rPr>
              <w:t>Special charges, non-cash portion</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78</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640"/>
              <w:spacing w:after="0" w:line="149" w:lineRule="exact"/>
              <w:rPr>
                <w:sz w:val="20"/>
                <w:szCs w:val="20"/>
                <w:color w:val="auto"/>
              </w:rPr>
            </w:pPr>
            <w:r>
              <w:rPr>
                <w:rFonts w:ascii="Arial" w:cs="Arial" w:eastAsia="Arial" w:hAnsi="Arial"/>
                <w:sz w:val="14"/>
                <w:szCs w:val="14"/>
                <w:color w:val="auto"/>
              </w:rPr>
              <w:t>Other operating activities</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640"/>
              <w:spacing w:after="0" w:line="149" w:lineRule="exact"/>
              <w:rPr>
                <w:sz w:val="20"/>
                <w:szCs w:val="20"/>
                <w:color w:val="auto"/>
              </w:rPr>
            </w:pPr>
            <w:r>
              <w:rPr>
                <w:rFonts w:ascii="Arial" w:cs="Arial" w:eastAsia="Arial" w:hAnsi="Arial"/>
                <w:sz w:val="14"/>
                <w:szCs w:val="14"/>
                <w:color w:val="auto"/>
              </w:rPr>
              <w:t>Changes in operating assets and liabilities -</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760"/>
              <w:spacing w:after="0" w:line="149" w:lineRule="exact"/>
              <w:rPr>
                <w:sz w:val="20"/>
                <w:szCs w:val="20"/>
                <w:color w:val="auto"/>
              </w:rPr>
            </w:pPr>
            <w:r>
              <w:rPr>
                <w:rFonts w:ascii="Arial" w:cs="Arial" w:eastAsia="Arial" w:hAnsi="Arial"/>
                <w:sz w:val="14"/>
                <w:szCs w:val="14"/>
                <w:color w:val="auto"/>
              </w:rPr>
              <w:t>(Increase) decrease in fuel hedge collateral</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(577)</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760"/>
              <w:spacing w:after="0" w:line="149" w:lineRule="exact"/>
              <w:rPr>
                <w:sz w:val="20"/>
                <w:szCs w:val="20"/>
                <w:color w:val="auto"/>
              </w:rPr>
            </w:pPr>
            <w:r>
              <w:rPr>
                <w:rFonts w:ascii="Arial" w:cs="Arial" w:eastAsia="Arial" w:hAnsi="Arial"/>
                <w:sz w:val="14"/>
                <w:szCs w:val="14"/>
                <w:color w:val="auto"/>
              </w:rPr>
              <w:t>Unrealized (gain) loss on fuel derivatives</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436</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760"/>
              <w:spacing w:after="0" w:line="149" w:lineRule="exact"/>
              <w:rPr>
                <w:sz w:val="20"/>
                <w:szCs w:val="20"/>
                <w:color w:val="auto"/>
              </w:rPr>
            </w:pPr>
            <w:r>
              <w:rPr>
                <w:rFonts w:ascii="Arial" w:cs="Arial" w:eastAsia="Arial" w:hAnsi="Arial"/>
                <w:sz w:val="14"/>
                <w:szCs w:val="14"/>
                <w:color w:val="auto"/>
              </w:rPr>
              <w:t>Decrease in other liabilities</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(238)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760"/>
              <w:spacing w:after="0" w:line="149" w:lineRule="exact"/>
              <w:rPr>
                <w:sz w:val="20"/>
                <w:szCs w:val="20"/>
                <w:color w:val="auto"/>
              </w:rPr>
            </w:pPr>
            <w:r>
              <w:rPr>
                <w:rFonts w:ascii="Arial" w:cs="Arial" w:eastAsia="Arial" w:hAnsi="Arial"/>
                <w:sz w:val="14"/>
                <w:szCs w:val="14"/>
                <w:color w:val="auto"/>
              </w:rPr>
              <w:t>Decrease in frequent flyer deferred revenue and advanced purchase of miles</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(200)</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(415)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760"/>
              <w:spacing w:after="0" w:line="149" w:lineRule="exact"/>
              <w:rPr>
                <w:sz w:val="20"/>
                <w:szCs w:val="20"/>
                <w:color w:val="auto"/>
              </w:rPr>
            </w:pPr>
            <w:r>
              <w:rPr>
                <w:rFonts w:ascii="Arial" w:cs="Arial" w:eastAsia="Arial" w:hAnsi="Arial"/>
                <w:sz w:val="14"/>
                <w:szCs w:val="14"/>
                <w:color w:val="auto"/>
              </w:rPr>
              <w:t>(Increase) decrease in other assets</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760"/>
              <w:spacing w:after="0" w:line="149" w:lineRule="exact"/>
              <w:rPr>
                <w:sz w:val="20"/>
                <w:szCs w:val="20"/>
                <w:color w:val="auto"/>
              </w:rPr>
            </w:pPr>
            <w:r>
              <w:rPr>
                <w:rFonts w:ascii="Arial" w:cs="Arial" w:eastAsia="Arial" w:hAnsi="Arial"/>
                <w:sz w:val="14"/>
                <w:szCs w:val="14"/>
                <w:color w:val="auto"/>
              </w:rPr>
              <w:t>Decrease in accounts payable</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(77)</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(251)</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(265)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760"/>
              <w:spacing w:after="0" w:line="149" w:lineRule="exact"/>
              <w:rPr>
                <w:sz w:val="20"/>
                <w:szCs w:val="20"/>
                <w:color w:val="auto"/>
              </w:rPr>
            </w:pPr>
            <w:r>
              <w:rPr>
                <w:rFonts w:ascii="Arial" w:cs="Arial" w:eastAsia="Arial" w:hAnsi="Arial"/>
                <w:sz w:val="14"/>
                <w:szCs w:val="14"/>
                <w:color w:val="auto"/>
              </w:rPr>
              <w:t>Increase in advance ticket sales</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760"/>
              <w:spacing w:after="0" w:line="149" w:lineRule="exact"/>
              <w:rPr>
                <w:sz w:val="20"/>
                <w:szCs w:val="20"/>
                <w:color w:val="auto"/>
              </w:rPr>
            </w:pPr>
            <w:r>
              <w:rPr>
                <w:rFonts w:ascii="Arial" w:cs="Arial" w:eastAsia="Arial" w:hAnsi="Arial"/>
                <w:sz w:val="14"/>
                <w:szCs w:val="14"/>
                <w:color w:val="auto"/>
              </w:rPr>
              <w:t>(Increase) decrease in receivables</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209</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520" w:type="dxa"/>
            <w:vAlign w:val="bottom"/>
          </w:tcPr>
          <w:p>
            <w:pPr>
              <w:ind w:left="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5,992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2,634</w:t>
            </w:r>
          </w:p>
        </w:tc>
        <w:tc>
          <w:tcPr>
            <w:tcW w:w="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Proceeds from sale of short-term and other investments</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2,707</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3,112</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2,827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Purchases of short-term and other investments</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(2,517)</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(3,569)</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94</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w:t>
            </w: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(2,493)</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(2,256)</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(2,022)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20" w:type="dxa"/>
            <w:vAlign w:val="bottom"/>
          </w:tcPr>
          <w:p>
            <w:pPr>
              <w:ind w:left="40"/>
              <w:spacing w:after="0" w:line="155"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Payments of long-term debt</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(2,178)</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(2,503)</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(2,185)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(1,233)</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(312)</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Proceeds from issuance of long-term debt</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1,073</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1,432</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1,423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Principal payments under capital leases</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(127)</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Capitalized financing costs</w:t>
            </w:r>
          </w:p>
        </w:tc>
        <w:tc>
          <w:tcPr>
            <w:tcW w:w="22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(104)</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Proceeds from the exercise of stock options</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(42)</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(2,495)</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(1,596)</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(972)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52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1,004</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(1,218)</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(1,550)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20" w:type="dxa"/>
            <w:vAlign w:val="bottom"/>
          </w:tcPr>
          <w:p>
            <w:pPr>
              <w:ind w:left="40"/>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2,002</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w:t>
            </w: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Cash and cash equivalents at end of year</w:t>
            </w:r>
          </w:p>
        </w:tc>
        <w:tc>
          <w:tcPr>
            <w:tcW w:w="220" w:type="dxa"/>
            <w:vAlign w:val="bottom"/>
            <w:shd w:val="clear" w:color="auto" w:fill="CCCC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3,006</w:t>
            </w:r>
          </w:p>
        </w:tc>
        <w:tc>
          <w:tcPr>
            <w:tcW w:w="180" w:type="dxa"/>
            <w:vAlign w:val="bottom"/>
            <w:shd w:val="clear" w:color="auto" w:fill="CCCCCC"/>
          </w:tcPr>
          <w:p>
            <w:pPr>
              <w:spacing w:after="0"/>
              <w:rPr>
                <w:sz w:val="12"/>
                <w:szCs w:val="12"/>
                <w:color w:val="auto"/>
              </w:rPr>
            </w:pPr>
          </w:p>
        </w:tc>
        <w:tc>
          <w:tcPr>
            <w:tcW w:w="88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2,002</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3,220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color w:val="auto"/>
              </w:rPr>
              <w:t>Investing and Financing Activities Not Affecting Cash:</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Property and equipment acquired through the issuance of debt</w:t>
            </w:r>
          </w:p>
        </w:tc>
        <w:tc>
          <w:tcPr>
            <w:tcW w:w="220" w:type="dxa"/>
            <w:vAlign w:val="bottom"/>
            <w:shd w:val="clear" w:color="auto" w:fill="CCCC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866</w:t>
            </w:r>
          </w:p>
        </w:tc>
        <w:tc>
          <w:tcPr>
            <w:tcW w:w="180" w:type="dxa"/>
            <w:vAlign w:val="bottom"/>
            <w:shd w:val="clear" w:color="auto" w:fill="CCCCCC"/>
          </w:tcPr>
          <w:p>
            <w:pPr>
              <w:spacing w:after="0"/>
              <w:rPr>
                <w:sz w:val="12"/>
                <w:szCs w:val="12"/>
                <w:color w:val="auto"/>
              </w:rPr>
            </w:pPr>
          </w:p>
        </w:tc>
        <w:tc>
          <w:tcPr>
            <w:tcW w:w="88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1,114</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229</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Operating lease conversions to capital lease</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Exchange of convertible notes for common stock</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202</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260</w:t>
            </w: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Airport construction financing</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Cash Paid (Refunded) During the Period for:</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460"/>
              <w:spacing w:after="0" w:line="149" w:lineRule="exact"/>
              <w:rPr>
                <w:sz w:val="20"/>
                <w:szCs w:val="20"/>
                <w:color w:val="auto"/>
              </w:rPr>
            </w:pPr>
            <w:r>
              <w:rPr>
                <w:rFonts w:ascii="Arial" w:cs="Arial" w:eastAsia="Arial" w:hAnsi="Arial"/>
                <w:sz w:val="14"/>
                <w:szCs w:val="14"/>
                <w:color w:val="auto"/>
              </w:rPr>
              <w:t>Interest (net of amounts capitalized)</w:t>
            </w: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748</w:t>
            </w:r>
          </w:p>
        </w:tc>
        <w:tc>
          <w:tcPr>
            <w:tcW w:w="840" w:type="dxa"/>
            <w:vAlign w:val="bottom"/>
          </w:tcPr>
          <w:p>
            <w:pPr>
              <w:spacing w:after="0"/>
              <w:rPr>
                <w:sz w:val="12"/>
                <w:szCs w:val="12"/>
                <w:color w:val="auto"/>
              </w:rPr>
            </w:pPr>
          </w:p>
        </w:tc>
        <w:tc>
          <w:tcPr>
            <w:tcW w:w="2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CCCC"/>
          </w:tcPr>
          <w:p>
            <w:pPr>
              <w:ind w:left="460"/>
              <w:spacing w:after="0" w:line="149" w:lineRule="exact"/>
              <w:rPr>
                <w:sz w:val="20"/>
                <w:szCs w:val="20"/>
                <w:color w:val="auto"/>
              </w:rPr>
            </w:pPr>
            <w:r>
              <w:rPr>
                <w:rFonts w:ascii="Arial" w:cs="Arial" w:eastAsia="Arial" w:hAnsi="Arial"/>
                <w:sz w:val="14"/>
                <w:szCs w:val="14"/>
                <w:color w:val="auto"/>
              </w:rPr>
              <w:t>Income taxes</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1660" w:type="dxa"/>
            <w:vAlign w:val="bottom"/>
            <w:gridSpan w:val="2"/>
            <w:shd w:val="clear" w:color="auto" w:fill="CCCCCC"/>
          </w:tcPr>
          <w:p>
            <w:pPr>
              <w:jc w:val="right"/>
              <w:ind w:right="840"/>
              <w:spacing w:after="0" w:line="149" w:lineRule="exact"/>
              <w:rPr>
                <w:sz w:val="20"/>
                <w:szCs w:val="20"/>
                <w:color w:val="auto"/>
              </w:rPr>
            </w:pPr>
            <w:r>
              <w:rPr>
                <w:rFonts w:ascii="Arial" w:cs="Arial" w:eastAsia="Arial" w:hAnsi="Arial"/>
                <w:sz w:val="14"/>
                <w:szCs w:val="14"/>
                <w:color w:val="auto"/>
              </w:rPr>
              <w:t>(16)</w:t>
            </w:r>
          </w:p>
        </w:tc>
        <w:tc>
          <w:tcPr>
            <w:tcW w:w="220" w:type="dxa"/>
            <w:vAlign w:val="bottom"/>
            <w:shd w:val="clear" w:color="auto" w:fill="CCCCCC"/>
          </w:tcPr>
          <w:p>
            <w:pPr>
              <w:spacing w:after="0"/>
              <w:rPr>
                <w:sz w:val="12"/>
                <w:szCs w:val="12"/>
                <w:color w:val="auto"/>
              </w:rPr>
            </w:pPr>
          </w:p>
        </w:tc>
        <w:tc>
          <w:tcPr>
            <w:tcW w:w="8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CONTINENTAL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w w:val="82"/>
              </w:rPr>
              <w:t>Common</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Retained</w:t>
            </w:r>
          </w:p>
        </w:tc>
        <w:tc>
          <w:tcPr>
            <w:tcW w:w="420" w:type="dxa"/>
            <w:vAlign w:val="bottom"/>
          </w:tcPr>
          <w:p>
            <w:pPr>
              <w:spacing w:after="0"/>
              <w:rPr>
                <w:sz w:val="14"/>
                <w:szCs w:val="14"/>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Earnings</w:t>
            </w: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3"/>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Treasury</w:t>
            </w:r>
          </w:p>
        </w:tc>
        <w:tc>
          <w:tcPr>
            <w:tcW w:w="8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20" w:type="dxa"/>
            <w:vAlign w:val="bottom"/>
          </w:tcPr>
          <w:p>
            <w:pPr>
              <w:spacing w:after="0"/>
              <w:rPr>
                <w:sz w:val="8"/>
                <w:szCs w:val="8"/>
                <w:color w:val="auto"/>
              </w:rPr>
            </w:pPr>
          </w:p>
        </w:tc>
        <w:tc>
          <w:tcPr>
            <w:tcW w:w="1340" w:type="dxa"/>
            <w:vAlign w:val="bottom"/>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Invested</w:t>
            </w:r>
          </w:p>
        </w:tc>
        <w:tc>
          <w:tcPr>
            <w:tcW w:w="10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78"/>
              </w:rPr>
              <w:t>Stock</w:t>
            </w:r>
          </w:p>
        </w:tc>
        <w:tc>
          <w:tcPr>
            <w:tcW w:w="120" w:type="dxa"/>
            <w:vAlign w:val="bottom"/>
          </w:tcPr>
          <w:p>
            <w:pPr>
              <w:spacing w:after="0"/>
              <w:rPr>
                <w:sz w:val="14"/>
                <w:szCs w:val="14"/>
                <w:color w:val="auto"/>
              </w:rPr>
            </w:pP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Deficit)</w:t>
            </w:r>
          </w:p>
        </w:tc>
        <w:tc>
          <w:tcPr>
            <w:tcW w:w="42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500" w:type="dxa"/>
            <w:vAlign w:val="bottom"/>
            <w:tcBorders>
              <w:top w:val="single" w:sz="8" w:color="CCCCCC"/>
            </w:tcBorders>
            <w:shd w:val="clear" w:color="auto" w:fill="CCCCCC"/>
          </w:tcPr>
          <w:p>
            <w:pPr>
              <w:ind w:left="40"/>
              <w:spacing w:after="0" w:line="142" w:lineRule="exact"/>
              <w:rPr>
                <w:sz w:val="20"/>
                <w:szCs w:val="20"/>
                <w:color w:val="auto"/>
              </w:rPr>
            </w:pPr>
            <w:r>
              <w:rPr>
                <w:rFonts w:ascii="Arial" w:cs="Arial" w:eastAsia="Arial" w:hAnsi="Arial"/>
                <w:sz w:val="14"/>
                <w:szCs w:val="14"/>
                <w:color w:val="auto"/>
              </w:rPr>
              <w:t>Balance at December 31, 2012</w:t>
            </w:r>
          </w:p>
        </w:tc>
        <w:tc>
          <w:tcPr>
            <w:tcW w:w="40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332</w:t>
            </w:r>
          </w:p>
        </w:tc>
        <w:tc>
          <w:tcPr>
            <w:tcW w:w="420" w:type="dxa"/>
            <w:vAlign w:val="bottom"/>
            <w:tcBorders>
              <w:top w:val="single" w:sz="8" w:color="CCCCCC"/>
            </w:tcBorders>
            <w:shd w:val="clear" w:color="auto" w:fill="CCCCCC"/>
          </w:tcPr>
          <w:p>
            <w:pPr>
              <w:spacing w:after="0"/>
              <w:rPr>
                <w:sz w:val="12"/>
                <w:szCs w:val="12"/>
                <w:color w:val="auto"/>
              </w:rPr>
            </w:pPr>
          </w:p>
        </w:tc>
        <w:tc>
          <w:tcPr>
            <w:tcW w:w="220" w:type="dxa"/>
            <w:vAlign w:val="bottom"/>
            <w:tcBorders>
              <w:top w:val="single" w:sz="8" w:color="auto"/>
              <w:bottom w:val="single" w:sz="8" w:color="auto"/>
            </w:tcBorders>
            <w:shd w:val="clear" w:color="auto" w:fill="CCCCCC"/>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3</w:t>
            </w:r>
          </w:p>
        </w:tc>
        <w:tc>
          <w:tcPr>
            <w:tcW w:w="420" w:type="dxa"/>
            <w:vAlign w:val="bottom"/>
            <w:tcBorders>
              <w:top w:val="single" w:sz="8" w:color="CCCCCC"/>
            </w:tcBorders>
            <w:shd w:val="clear" w:color="auto" w:fill="CCCCCC"/>
          </w:tcPr>
          <w:p>
            <w:pPr>
              <w:spacing w:after="0"/>
              <w:rPr>
                <w:sz w:val="12"/>
                <w:szCs w:val="12"/>
                <w:color w:val="auto"/>
              </w:rPr>
            </w:pPr>
          </w:p>
        </w:tc>
        <w:tc>
          <w:tcPr>
            <w:tcW w:w="200" w:type="dxa"/>
            <w:vAlign w:val="bottom"/>
            <w:tcBorders>
              <w:top w:val="single" w:sz="8" w:color="auto"/>
              <w:bottom w:val="single" w:sz="8" w:color="auto"/>
            </w:tcBorders>
            <w:shd w:val="clear" w:color="auto" w:fill="CCCCCC"/>
          </w:tcPr>
          <w:p>
            <w:pPr>
              <w:ind w:left="40"/>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7,145</w:t>
            </w:r>
          </w:p>
        </w:tc>
        <w:tc>
          <w:tcPr>
            <w:tcW w:w="440" w:type="dxa"/>
            <w:vAlign w:val="bottom"/>
            <w:tcBorders>
              <w:top w:val="single" w:sz="8" w:color="CCCCCC"/>
            </w:tcBorders>
            <w:shd w:val="clear" w:color="auto" w:fill="CCCCCC"/>
          </w:tcPr>
          <w:p>
            <w:pPr>
              <w:spacing w:after="0"/>
              <w:rPr>
                <w:sz w:val="12"/>
                <w:szCs w:val="12"/>
                <w:color w:val="auto"/>
              </w:rPr>
            </w:pPr>
          </w:p>
        </w:tc>
        <w:tc>
          <w:tcPr>
            <w:tcW w:w="10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(35)</w:t>
            </w:r>
          </w:p>
        </w:tc>
        <w:tc>
          <w:tcPr>
            <w:tcW w:w="440" w:type="dxa"/>
            <w:vAlign w:val="bottom"/>
            <w:tcBorders>
              <w:top w:val="single" w:sz="8" w:color="CCCCCC"/>
            </w:tcBorders>
            <w:shd w:val="clear" w:color="auto" w:fill="CCCCCC"/>
          </w:tcPr>
          <w:p>
            <w:pPr>
              <w:spacing w:after="0"/>
              <w:rPr>
                <w:sz w:val="12"/>
                <w:szCs w:val="12"/>
                <w:color w:val="auto"/>
              </w:rPr>
            </w:pPr>
          </w:p>
        </w:tc>
        <w:tc>
          <w:tcPr>
            <w:tcW w:w="12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(5,586)</w:t>
            </w:r>
          </w:p>
        </w:tc>
        <w:tc>
          <w:tcPr>
            <w:tcW w:w="420" w:type="dxa"/>
            <w:vAlign w:val="bottom"/>
            <w:tcBorders>
              <w:top w:val="single" w:sz="8" w:color="CCCCCC"/>
            </w:tcBorders>
            <w:shd w:val="clear" w:color="auto" w:fill="CCCCCC"/>
          </w:tcPr>
          <w:p>
            <w:pPr>
              <w:spacing w:after="0"/>
              <w:rPr>
                <w:sz w:val="12"/>
                <w:szCs w:val="12"/>
                <w:color w:val="auto"/>
              </w:rPr>
            </w:pPr>
          </w:p>
        </w:tc>
        <w:tc>
          <w:tcPr>
            <w:tcW w:w="200" w:type="dxa"/>
            <w:vAlign w:val="bottom"/>
            <w:tcBorders>
              <w:top w:val="single" w:sz="8" w:color="auto"/>
              <w:bottom w:val="single" w:sz="8" w:color="auto"/>
            </w:tcBorders>
            <w:shd w:val="clear" w:color="auto" w:fill="CCCCCC"/>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(1,046)</w:t>
            </w:r>
          </w:p>
        </w:tc>
        <w:tc>
          <w:tcPr>
            <w:tcW w:w="440" w:type="dxa"/>
            <w:vAlign w:val="bottom"/>
            <w:tcBorders>
              <w:top w:val="single" w:sz="8" w:color="CCCCCC"/>
            </w:tcBorders>
            <w:shd w:val="clear" w:color="auto" w:fill="CCCCCC"/>
          </w:tcPr>
          <w:p>
            <w:pPr>
              <w:spacing w:after="0"/>
              <w:rPr>
                <w:sz w:val="12"/>
                <w:szCs w:val="12"/>
                <w:color w:val="auto"/>
              </w:rPr>
            </w:pPr>
          </w:p>
        </w:tc>
        <w:tc>
          <w:tcPr>
            <w:tcW w:w="10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481</w:t>
            </w:r>
          </w:p>
        </w:tc>
        <w:tc>
          <w:tcPr>
            <w:tcW w:w="6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tcPr>
          <w:p>
            <w:pPr>
              <w:ind w:left="340"/>
              <w:spacing w:after="0" w:line="155" w:lineRule="exact"/>
              <w:rPr>
                <w:sz w:val="20"/>
                <w:szCs w:val="20"/>
                <w:color w:val="auto"/>
              </w:rPr>
            </w:pPr>
            <w:r>
              <w:rPr>
                <w:rFonts w:ascii="Arial" w:cs="Arial" w:eastAsia="Arial" w:hAnsi="Arial"/>
                <w:sz w:val="14"/>
                <w:szCs w:val="14"/>
                <w:color w:val="auto"/>
              </w:rPr>
              <w:t>Net income</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571</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Other comprehensive income</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1,654</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1,654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Convertible debt redemption</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Share-based compensation</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Proceeds from exercise of stock options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0"/>
              <w:spacing w:after="0"/>
              <w:rPr>
                <w:sz w:val="20"/>
                <w:szCs w:val="20"/>
                <w:color w:val="auto"/>
              </w:rPr>
            </w:pPr>
            <w:r>
              <w:rPr>
                <w:rFonts w:ascii="Arial" w:cs="Arial" w:eastAsia="Arial" w:hAnsi="Arial"/>
                <w:sz w:val="14"/>
                <w:szCs w:val="14"/>
                <w:color w:val="auto"/>
              </w:rPr>
              <w:t>Balance at December 31, 2013</w:t>
            </w: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00" w:type="dxa"/>
            <w:vAlign w:val="bottom"/>
            <w:vMerge w:val="continue"/>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362</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7,425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(5,015)</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608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2,984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tcBorders>
              <w:top w:val="single" w:sz="8" w:color="auto"/>
            </w:tcBorders>
            <w:shd w:val="clear" w:color="auto" w:fill="CCCCCC"/>
          </w:tcPr>
          <w:p>
            <w:pPr>
              <w:spacing w:after="0"/>
              <w:rPr>
                <w:sz w:val="12"/>
                <w:szCs w:val="12"/>
                <w:color w:val="auto"/>
              </w:rPr>
            </w:pPr>
          </w:p>
        </w:tc>
        <w:tc>
          <w:tcPr>
            <w:tcW w:w="28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tcBorders>
              <w:top w:val="single" w:sz="8" w:color="auto"/>
            </w:tcBorders>
            <w:shd w:val="clear" w:color="auto" w:fill="CCCCCC"/>
          </w:tcPr>
          <w:p>
            <w:pPr>
              <w:spacing w:after="0"/>
              <w:rPr>
                <w:sz w:val="12"/>
                <w:szCs w:val="12"/>
                <w:color w:val="auto"/>
              </w:rPr>
            </w:pPr>
          </w:p>
        </w:tc>
        <w:tc>
          <w:tcPr>
            <w:tcW w:w="42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spacing w:after="0"/>
              <w:rPr>
                <w:sz w:val="12"/>
                <w:szCs w:val="12"/>
                <w:color w:val="auto"/>
              </w:rPr>
            </w:pPr>
          </w:p>
        </w:tc>
        <w:tc>
          <w:tcPr>
            <w:tcW w:w="100" w:type="dxa"/>
            <w:vAlign w:val="bottom"/>
            <w:tcBorders>
              <w:top w:val="single" w:sz="8" w:color="auto"/>
            </w:tcBorders>
            <w:shd w:val="clear" w:color="auto" w:fill="CCCCCC"/>
          </w:tcPr>
          <w:p>
            <w:pPr>
              <w:spacing w:after="0"/>
              <w:rPr>
                <w:sz w:val="12"/>
                <w:szCs w:val="12"/>
                <w:color w:val="auto"/>
              </w:rPr>
            </w:pPr>
          </w:p>
        </w:tc>
        <w:tc>
          <w:tcPr>
            <w:tcW w:w="42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spacing w:after="0"/>
              <w:rPr>
                <w:sz w:val="12"/>
                <w:szCs w:val="12"/>
                <w:color w:val="auto"/>
              </w:rPr>
            </w:pPr>
          </w:p>
        </w:tc>
        <w:tc>
          <w:tcPr>
            <w:tcW w:w="120" w:type="dxa"/>
            <w:vAlign w:val="bottom"/>
            <w:tcBorders>
              <w:top w:val="single" w:sz="8" w:color="auto"/>
            </w:tcBorders>
            <w:shd w:val="clear" w:color="auto" w:fill="CCCCCC"/>
          </w:tcPr>
          <w:p>
            <w:pPr>
              <w:spacing w:after="0"/>
              <w:rPr>
                <w:sz w:val="12"/>
                <w:szCs w:val="12"/>
                <w:color w:val="auto"/>
              </w:rPr>
            </w:pPr>
          </w:p>
        </w:tc>
        <w:tc>
          <w:tcPr>
            <w:tcW w:w="70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1,132</w:t>
            </w:r>
          </w:p>
        </w:tc>
        <w:tc>
          <w:tcPr>
            <w:tcW w:w="420" w:type="dxa"/>
            <w:vAlign w:val="bottom"/>
            <w:shd w:val="clear" w:color="auto" w:fill="CCCCCC"/>
          </w:tcPr>
          <w:p>
            <w:pPr>
              <w:spacing w:after="0"/>
              <w:rPr>
                <w:sz w:val="12"/>
                <w:szCs w:val="12"/>
                <w:color w:val="auto"/>
              </w:rPr>
            </w:pPr>
          </w:p>
        </w:tc>
        <w:tc>
          <w:tcPr>
            <w:tcW w:w="200" w:type="dxa"/>
            <w:vAlign w:val="bottom"/>
            <w:tcBorders>
              <w:top w:val="single" w:sz="8" w:color="auto"/>
            </w:tcBorders>
            <w:shd w:val="clear" w:color="auto" w:fill="CCCCCC"/>
          </w:tcPr>
          <w:p>
            <w:pPr>
              <w:spacing w:after="0"/>
              <w:rPr>
                <w:sz w:val="12"/>
                <w:szCs w:val="12"/>
                <w:color w:val="auto"/>
              </w:rPr>
            </w:pPr>
          </w:p>
        </w:tc>
        <w:tc>
          <w:tcPr>
            <w:tcW w:w="70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spacing w:after="0"/>
              <w:rPr>
                <w:sz w:val="12"/>
                <w:szCs w:val="12"/>
                <w:color w:val="auto"/>
              </w:rPr>
            </w:pPr>
          </w:p>
        </w:tc>
        <w:tc>
          <w:tcPr>
            <w:tcW w:w="100" w:type="dxa"/>
            <w:vAlign w:val="bottom"/>
            <w:tcBorders>
              <w:top w:val="single" w:sz="8" w:color="auto"/>
            </w:tcBorders>
            <w:shd w:val="clear" w:color="auto" w:fill="CCCCCC"/>
          </w:tcPr>
          <w:p>
            <w:pPr>
              <w:spacing w:after="0"/>
              <w:rPr>
                <w:sz w:val="12"/>
                <w:szCs w:val="12"/>
                <w:color w:val="auto"/>
              </w:rPr>
            </w:pPr>
          </w:p>
        </w:tc>
        <w:tc>
          <w:tcPr>
            <w:tcW w:w="420" w:type="dxa"/>
            <w:vAlign w:val="bottom"/>
            <w:tcBorders>
              <w:top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1,132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Other comprehensive loss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(1,687)</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0"/>
              </w:rPr>
              <w:t>(1,687)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Convertible debt redemption</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17</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260</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260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Repurchase of convertible debt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Share-based compensation</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Proceeds from exercise of stock options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Repurchases of common stock</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rPr>
              <w:t>(320)</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(320)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Other</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Balance at December 31, 2014</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375</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7,721</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rPr>
              <w:t>(367)</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(3,883)</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rPr>
              <w:t>(1,079)</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2,396</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tcPr>
          <w:p>
            <w:pPr>
              <w:ind w:left="340"/>
              <w:spacing w:after="0" w:line="155" w:lineRule="exact"/>
              <w:rPr>
                <w:sz w:val="20"/>
                <w:szCs w:val="20"/>
                <w:color w:val="auto"/>
              </w:rPr>
            </w:pPr>
            <w:r>
              <w:rPr>
                <w:rFonts w:ascii="Arial" w:cs="Arial" w:eastAsia="Arial" w:hAnsi="Arial"/>
                <w:sz w:val="14"/>
                <w:szCs w:val="14"/>
                <w:color w:val="auto"/>
              </w:rPr>
              <w:t>Net income</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7,340</w:t>
            </w:r>
          </w:p>
        </w:tc>
        <w:tc>
          <w:tcPr>
            <w:tcW w:w="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Other comprehensive income</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248</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Convertible debt redemptions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Share-based compensation</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Proceeds from exercise of stock options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CCCC"/>
          </w:tcPr>
          <w:p>
            <w:pPr>
              <w:ind w:left="340"/>
              <w:spacing w:after="0" w:line="149" w:lineRule="exact"/>
              <w:rPr>
                <w:sz w:val="20"/>
                <w:szCs w:val="20"/>
                <w:color w:val="auto"/>
              </w:rPr>
            </w:pPr>
            <w:r>
              <w:rPr>
                <w:rFonts w:ascii="Arial" w:cs="Arial" w:eastAsia="Arial" w:hAnsi="Arial"/>
                <w:sz w:val="14"/>
                <w:szCs w:val="14"/>
                <w:color w:val="auto"/>
              </w:rPr>
              <w:t>Repurchases of common stock</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(21)</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w w:val="90"/>
              </w:rPr>
              <w:t>(1,232)</w:t>
            </w: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140" w:type="dxa"/>
            <w:vAlign w:val="bottom"/>
            <w:gridSpan w:val="2"/>
            <w:shd w:val="clear" w:color="auto" w:fill="CCCCCC"/>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90"/>
              </w:rPr>
              <w:t>(1,232)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ind w:left="340"/>
              <w:spacing w:after="0" w:line="149" w:lineRule="exact"/>
              <w:rPr>
                <w:sz w:val="20"/>
                <w:szCs w:val="20"/>
                <w:color w:val="auto"/>
              </w:rPr>
            </w:pPr>
            <w:r>
              <w:rPr>
                <w:rFonts w:ascii="Arial" w:cs="Arial" w:eastAsia="Arial" w:hAnsi="Arial"/>
                <w:sz w:val="14"/>
                <w:szCs w:val="14"/>
                <w:color w:val="auto"/>
              </w:rPr>
              <w:t>Other</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Balance at December 31, 2015</w:t>
            </w: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365</w:t>
            </w:r>
          </w:p>
        </w:tc>
        <w:tc>
          <w:tcPr>
            <w:tcW w:w="420" w:type="dxa"/>
            <w:vAlign w:val="bottom"/>
            <w:shd w:val="clear" w:color="auto" w:fill="CCCCCC"/>
          </w:tcPr>
          <w:p>
            <w:pPr>
              <w:spacing w:after="0"/>
              <w:rPr>
                <w:sz w:val="12"/>
                <w:szCs w:val="12"/>
                <w:color w:val="auto"/>
              </w:rPr>
            </w:pPr>
          </w:p>
        </w:tc>
        <w:tc>
          <w:tcPr>
            <w:tcW w:w="220" w:type="dxa"/>
            <w:vAlign w:val="bottom"/>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w:t>
            </w:r>
          </w:p>
        </w:tc>
        <w:tc>
          <w:tcPr>
            <w:tcW w:w="420" w:type="dxa"/>
            <w:vAlign w:val="bottom"/>
            <w:shd w:val="clear" w:color="auto" w:fill="CCCCCC"/>
          </w:tcPr>
          <w:p>
            <w:pPr>
              <w:spacing w:after="0"/>
              <w:rPr>
                <w:sz w:val="12"/>
                <w:szCs w:val="12"/>
                <w:color w:val="auto"/>
              </w:rPr>
            </w:pPr>
          </w:p>
        </w:tc>
        <w:tc>
          <w:tcPr>
            <w:tcW w:w="200" w:type="dxa"/>
            <w:vAlign w:val="bottom"/>
            <w:shd w:val="clear" w:color="auto" w:fill="CCCCCC"/>
          </w:tcPr>
          <w:p>
            <w:pPr>
              <w:ind w:lef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7,946</w:t>
            </w: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w w:val="90"/>
              </w:rPr>
              <w:t>(1,610)</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3,457</w:t>
            </w:r>
          </w:p>
        </w:tc>
        <w:tc>
          <w:tcPr>
            <w:tcW w:w="620" w:type="dxa"/>
            <w:vAlign w:val="bottom"/>
            <w:gridSpan w:val="2"/>
            <w:shd w:val="clear" w:color="auto" w:fill="CCCC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CCCC"/>
          </w:tcPr>
          <w:p>
            <w:pPr>
              <w:jc w:val="right"/>
              <w:ind w:right="440"/>
              <w:spacing w:after="0" w:line="149" w:lineRule="exact"/>
              <w:rPr>
                <w:sz w:val="20"/>
                <w:szCs w:val="20"/>
                <w:color w:val="auto"/>
              </w:rPr>
            </w:pPr>
            <w:r>
              <w:rPr>
                <w:rFonts w:ascii="Arial" w:cs="Arial" w:eastAsia="Arial" w:hAnsi="Arial"/>
                <w:sz w:val="14"/>
                <w:szCs w:val="14"/>
                <w:color w:val="auto"/>
              </w:rPr>
              <w:t>(831)</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8,966</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6"/>
              </w:rPr>
              <w:t>Year Ended December 31,</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2015</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2014</w:t>
            </w:r>
          </w:p>
        </w:tc>
        <w:tc>
          <w:tcPr>
            <w:tcW w:w="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Passenger—Mainline</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26,333</w:t>
            </w:r>
          </w:p>
        </w:tc>
        <w:tc>
          <w:tcPr>
            <w:tcW w:w="9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26,785</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25,997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Passenger—Regional</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800"/>
              <w:spacing w:after="0"/>
              <w:rPr>
                <w:sz w:val="20"/>
                <w:szCs w:val="20"/>
                <w:color w:val="auto"/>
              </w:rPr>
            </w:pPr>
            <w:r>
              <w:rPr>
                <w:rFonts w:ascii="Arial" w:cs="Arial" w:eastAsia="Arial" w:hAnsi="Arial"/>
                <w:sz w:val="18"/>
                <w:szCs w:val="18"/>
                <w:color w:val="auto"/>
              </w:rPr>
              <w:t>Total passenger revenue</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32,785</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33,762</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33,122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Other operating revenue</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4,142</w:t>
            </w:r>
          </w:p>
        </w:tc>
        <w:tc>
          <w:tcPr>
            <w:tcW w:w="860" w:type="dxa"/>
            <w:vAlign w:val="bottom"/>
            <w:shd w:val="clear" w:color="auto" w:fill="CCCCCC"/>
          </w:tcPr>
          <w:p>
            <w:pPr>
              <w:spacing w:after="0"/>
              <w:rPr>
                <w:sz w:val="18"/>
                <w:szCs w:val="18"/>
                <w:color w:val="auto"/>
              </w:rPr>
            </w:pPr>
          </w:p>
        </w:tc>
        <w:tc>
          <w:tcPr>
            <w:tcW w:w="12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4,201</w:t>
            </w:r>
          </w:p>
        </w:tc>
        <w:tc>
          <w:tcPr>
            <w:tcW w:w="8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37,864</w:t>
            </w: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38,901</w:t>
            </w: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38,287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spacing w:after="0"/>
              <w:rPr>
                <w:sz w:val="20"/>
                <w:szCs w:val="20"/>
                <w:color w:val="auto"/>
              </w:rPr>
            </w:pPr>
            <w:r>
              <w:rPr>
                <w:rFonts w:ascii="Arial" w:cs="Arial" w:eastAsia="Arial" w:hAnsi="Arial"/>
                <w:sz w:val="18"/>
                <w:szCs w:val="18"/>
                <w:color w:val="auto"/>
              </w:rPr>
              <w:t>Operating expense:</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Salaries and related costs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9,713</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8,935</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Aircraft fuel</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7,522</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11,675</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12,345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Regional capacity purchase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2,290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2,344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Landing fees and other rent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2,203</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2,274</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1,819</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1,679</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Aircraft maintenance materials and outside repairs</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1,651</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1,779</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Distribution expenses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Aircraft rent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754</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883</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Special charges (Note 16)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5,076</w:t>
            </w:r>
          </w:p>
        </w:tc>
        <w:tc>
          <w:tcPr>
            <w:tcW w:w="860" w:type="dxa"/>
            <w:vAlign w:val="bottom"/>
            <w:shd w:val="clear" w:color="auto" w:fill="CCCCCC"/>
          </w:tcPr>
          <w:p>
            <w:pPr>
              <w:spacing w:after="0"/>
              <w:rPr>
                <w:sz w:val="18"/>
                <w:szCs w:val="18"/>
                <w:color w:val="auto"/>
              </w:rPr>
            </w:pPr>
          </w:p>
        </w:tc>
        <w:tc>
          <w:tcPr>
            <w:tcW w:w="12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5,139</w:t>
            </w:r>
          </w:p>
        </w:tc>
        <w:tc>
          <w:tcPr>
            <w:tcW w:w="8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5,193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32,696</w:t>
            </w: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36,524</w:t>
            </w: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37,028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5,168</w:t>
            </w:r>
          </w:p>
        </w:tc>
        <w:tc>
          <w:tcPr>
            <w:tcW w:w="860" w:type="dxa"/>
            <w:vAlign w:val="bottom"/>
            <w:shd w:val="clear" w:color="auto" w:fill="CCCCCC"/>
          </w:tcPr>
          <w:p>
            <w:pPr>
              <w:spacing w:after="0"/>
              <w:rPr>
                <w:sz w:val="18"/>
                <w:szCs w:val="18"/>
                <w:color w:val="auto"/>
              </w:rPr>
            </w:pPr>
          </w:p>
        </w:tc>
        <w:tc>
          <w:tcPr>
            <w:tcW w:w="12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2,377</w:t>
            </w:r>
          </w:p>
        </w:tc>
        <w:tc>
          <w:tcPr>
            <w:tcW w:w="8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CCCC"/>
          </w:tcPr>
          <w:p>
            <w:pPr>
              <w:spacing w:after="0"/>
              <w:rPr>
                <w:sz w:val="20"/>
                <w:szCs w:val="20"/>
                <w:color w:val="auto"/>
              </w:rPr>
            </w:pPr>
            <w:r>
              <w:rPr>
                <w:rFonts w:ascii="Arial" w:cs="Arial" w:eastAsia="Arial" w:hAnsi="Arial"/>
                <w:sz w:val="18"/>
                <w:szCs w:val="18"/>
                <w:color w:val="auto"/>
              </w:rPr>
              <w:t>Nonoperating income (expense):</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Interest capitalized</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49</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52</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ind w:left="520"/>
              <w:spacing w:after="0"/>
              <w:rPr>
                <w:sz w:val="20"/>
                <w:szCs w:val="20"/>
                <w:color w:val="auto"/>
              </w:rPr>
            </w:pPr>
            <w:r>
              <w:rPr>
                <w:rFonts w:ascii="Arial" w:cs="Arial" w:eastAsia="Arial" w:hAnsi="Arial"/>
                <w:sz w:val="18"/>
                <w:szCs w:val="18"/>
                <w:color w:val="auto"/>
              </w:rPr>
              <w:t>Miscellaneous, net (Note 16)</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(351)</w:t>
            </w:r>
          </w:p>
        </w:tc>
        <w:tc>
          <w:tcPr>
            <w:tcW w:w="860" w:type="dxa"/>
            <w:vAlign w:val="bottom"/>
            <w:shd w:val="clear" w:color="auto" w:fill="CCCCCC"/>
          </w:tcPr>
          <w:p>
            <w:pPr>
              <w:spacing w:after="0"/>
              <w:rPr>
                <w:sz w:val="18"/>
                <w:szCs w:val="18"/>
                <w:color w:val="auto"/>
              </w:rPr>
            </w:pPr>
          </w:p>
        </w:tc>
        <w:tc>
          <w:tcPr>
            <w:tcW w:w="12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(599)</w:t>
            </w:r>
          </w:p>
        </w:tc>
        <w:tc>
          <w:tcPr>
            <w:tcW w:w="8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(1,267)</w:t>
            </w: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4,221</w:t>
            </w:r>
          </w:p>
        </w:tc>
        <w:tc>
          <w:tcPr>
            <w:tcW w:w="86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1,110</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(3,080)</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CCCC"/>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7,301</w:t>
            </w:r>
          </w:p>
        </w:tc>
        <w:tc>
          <w:tcPr>
            <w:tcW w:w="9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1,114</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tcBorders>
              <w:bottom w:val="single" w:sz="8" w:color="CCCCCC"/>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1040" w:type="dxa"/>
            <w:vAlign w:val="bottom"/>
            <w:tcBorders>
              <w:bottom w:val="single" w:sz="8" w:color="CCCC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2014</w:t>
            </w:r>
          </w:p>
        </w:tc>
        <w:tc>
          <w:tcPr>
            <w:tcW w:w="1040" w:type="dxa"/>
            <w:vAlign w:val="bottom"/>
            <w:tcBorders>
              <w:bottom w:val="single" w:sz="8" w:color="CCCCCC"/>
            </w:tcBorders>
          </w:tcPr>
          <w:p>
            <w:pPr>
              <w:spacing w:after="0"/>
              <w:rPr>
                <w:sz w:val="18"/>
                <w:szCs w:val="18"/>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4"/>
              </w:rPr>
              <w:t>$7,301</w:t>
            </w:r>
          </w:p>
        </w:tc>
        <w:tc>
          <w:tcPr>
            <w:tcW w:w="104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7"/>
              </w:rPr>
              <w:t>1,114</w:t>
            </w:r>
          </w:p>
        </w:tc>
        <w:tc>
          <w:tcPr>
            <w:tcW w:w="104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CCCC"/>
          </w:tcPr>
          <w:p>
            <w:pPr>
              <w:spacing w:after="0"/>
              <w:rPr>
                <w:sz w:val="20"/>
                <w:szCs w:val="20"/>
                <w:color w:val="auto"/>
              </w:rPr>
            </w:pPr>
            <w:r>
              <w:rPr>
                <w:rFonts w:ascii="Arial" w:cs="Arial" w:eastAsia="Arial" w:hAnsi="Arial"/>
                <w:sz w:val="18"/>
                <w:szCs w:val="18"/>
                <w:color w:val="auto"/>
              </w:rPr>
              <w:t>Other comprehensive income (loss), net change related to:</w:t>
            </w:r>
          </w:p>
        </w:tc>
        <w:tc>
          <w:tcPr>
            <w:tcW w:w="580" w:type="dxa"/>
            <w:vAlign w:val="bottom"/>
            <w:shd w:val="clear" w:color="auto" w:fill="CCCCCC"/>
          </w:tcPr>
          <w:p>
            <w:pPr>
              <w:spacing w:after="0"/>
              <w:rPr>
                <w:sz w:val="18"/>
                <w:szCs w:val="18"/>
                <w:color w:val="auto"/>
              </w:rPr>
            </w:pPr>
          </w:p>
        </w:tc>
        <w:tc>
          <w:tcPr>
            <w:tcW w:w="10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0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40"/>
              <w:spacing w:after="0"/>
              <w:rPr>
                <w:sz w:val="20"/>
                <w:szCs w:val="20"/>
                <w:color w:val="auto"/>
              </w:rPr>
            </w:pPr>
            <w:r>
              <w:rPr>
                <w:rFonts w:ascii="Arial" w:cs="Arial" w:eastAsia="Arial" w:hAnsi="Arial"/>
                <w:sz w:val="18"/>
                <w:szCs w:val="18"/>
                <w:color w:val="auto"/>
                <w:w w:val="84"/>
              </w:rPr>
              <w:t>(1,171)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CCCC"/>
          </w:tcPr>
          <w:p>
            <w:pPr>
              <w:ind w:left="420"/>
              <w:spacing w:after="0"/>
              <w:rPr>
                <w:sz w:val="20"/>
                <w:szCs w:val="20"/>
                <w:color w:val="auto"/>
              </w:rPr>
            </w:pPr>
            <w:r>
              <w:rPr>
                <w:rFonts w:ascii="Arial" w:cs="Arial" w:eastAsia="Arial" w:hAnsi="Arial"/>
                <w:sz w:val="18"/>
                <w:szCs w:val="18"/>
                <w:color w:val="auto"/>
              </w:rPr>
              <w:t>Fuel derivative financial instruments</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182</w:t>
            </w:r>
          </w:p>
        </w:tc>
        <w:tc>
          <w:tcPr>
            <w:tcW w:w="10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540" w:type="dxa"/>
            <w:vAlign w:val="bottom"/>
            <w:gridSpan w:val="2"/>
            <w:shd w:val="clear" w:color="auto" w:fill="CCCCCC"/>
          </w:tcPr>
          <w:p>
            <w:pPr>
              <w:jc w:val="right"/>
              <w:ind w:right="104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Investments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CCCC"/>
          </w:tcPr>
          <w:p>
            <w:pPr>
              <w:ind w:left="4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040"/>
              <w:spacing w:after="0"/>
              <w:rPr>
                <w:sz w:val="20"/>
                <w:szCs w:val="20"/>
                <w:color w:val="auto"/>
              </w:rPr>
            </w:pPr>
            <w:r>
              <w:rPr>
                <w:rFonts w:ascii="Arial" w:cs="Arial" w:eastAsia="Arial" w:hAnsi="Arial"/>
                <w:sz w:val="18"/>
                <w:szCs w:val="18"/>
                <w:color w:val="auto"/>
                <w:w w:val="84"/>
              </w:rPr>
              <w:t>(1,687)</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CCCC"/>
          </w:tcPr>
          <w:p>
            <w:pPr>
              <w:spacing w:after="0"/>
              <w:rPr>
                <w:sz w:val="20"/>
                <w:szCs w:val="20"/>
                <w:color w:val="auto"/>
              </w:rPr>
            </w:pPr>
            <w:r>
              <w:rPr>
                <w:rFonts w:ascii="Arial" w:cs="Arial" w:eastAsia="Arial" w:hAnsi="Arial"/>
                <w:sz w:val="18"/>
                <w:szCs w:val="18"/>
                <w:color w:val="auto"/>
              </w:rPr>
              <w:t>Total comprehensive income (loss), net</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7,549</w:t>
            </w:r>
          </w:p>
        </w:tc>
        <w:tc>
          <w:tcPr>
            <w:tcW w:w="104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CCCC"/>
          </w:tcPr>
          <w:p>
            <w:pPr>
              <w:jc w:val="right"/>
              <w:ind w:right="104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2,315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At December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2015</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8"/>
                <w:szCs w:val="18"/>
                <w:color w:val="auto"/>
              </w:rPr>
            </w:pPr>
          </w:p>
        </w:tc>
      </w:tr>
      <w:tr>
        <w:trPr>
          <w:trHeight w:val="196"/>
        </w:trPr>
        <w:tc>
          <w:tcPr>
            <w:tcW w:w="8920" w:type="dxa"/>
            <w:vAlign w:val="bottom"/>
            <w:gridSpan w:val="2"/>
          </w:tcPr>
          <w:p>
            <w:pPr>
              <w:spacing w:after="0" w:line="196"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3,000</w:t>
            </w:r>
          </w:p>
        </w:tc>
        <w:tc>
          <w:tcPr>
            <w:tcW w:w="12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20"/>
              <w:spacing w:after="0"/>
              <w:rPr>
                <w:sz w:val="20"/>
                <w:szCs w:val="20"/>
                <w:color w:val="auto"/>
              </w:rPr>
            </w:pPr>
            <w:r>
              <w:rPr>
                <w:rFonts w:ascii="Arial" w:cs="Arial" w:eastAsia="Arial" w:hAnsi="Arial"/>
                <w:sz w:val="18"/>
                <w:szCs w:val="18"/>
                <w:color w:val="auto"/>
              </w:rPr>
              <w:t>Receivables, less allowance for doubtful accounts (2015—$18; 2014—$22)</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1,128</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Fuel hedge collateral deposits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20"/>
              <w:spacing w:after="0"/>
              <w:rPr>
                <w:sz w:val="20"/>
                <w:szCs w:val="20"/>
                <w:color w:val="auto"/>
              </w:rPr>
            </w:pPr>
            <w:r>
              <w:rPr>
                <w:rFonts w:ascii="Arial" w:cs="Arial" w:eastAsia="Arial" w:hAnsi="Arial"/>
                <w:sz w:val="18"/>
                <w:szCs w:val="18"/>
                <w:color w:val="auto"/>
              </w:rPr>
              <w:t>Aircraft fuel, spare parts and supplies, less obsolescence allowance (2015—$235; 2014—$169)</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738</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7,869</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CCCC"/>
          </w:tcPr>
          <w:p>
            <w:pPr>
              <w:spacing w:after="0"/>
              <w:rPr>
                <w:sz w:val="18"/>
                <w:szCs w:val="18"/>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Operating property and equipment: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CCCC"/>
          </w:tcPr>
          <w:p>
            <w:pPr>
              <w:ind w:left="520"/>
              <w:spacing w:after="0"/>
              <w:rPr>
                <w:sz w:val="20"/>
                <w:szCs w:val="20"/>
                <w:color w:val="auto"/>
              </w:rPr>
            </w:pPr>
            <w:r>
              <w:rPr>
                <w:rFonts w:ascii="Arial" w:cs="Arial" w:eastAsia="Arial" w:hAnsi="Arial"/>
                <w:sz w:val="18"/>
                <w:szCs w:val="18"/>
                <w:color w:val="auto"/>
              </w:rPr>
              <w:t>Owned—</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1100"/>
              <w:spacing w:after="0"/>
              <w:rPr>
                <w:sz w:val="20"/>
                <w:szCs w:val="20"/>
                <w:color w:val="auto"/>
              </w:rPr>
            </w:pPr>
            <w:r>
              <w:rPr>
                <w:rFonts w:ascii="Arial" w:cs="Arial" w:eastAsia="Arial" w:hAnsi="Arial"/>
                <w:sz w:val="18"/>
                <w:szCs w:val="18"/>
                <w:color w:val="auto"/>
              </w:rPr>
              <w:t>Flight equipment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23,728</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21,107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1100"/>
              <w:spacing w:after="0"/>
              <w:rPr>
                <w:sz w:val="20"/>
                <w:szCs w:val="20"/>
                <w:color w:val="auto"/>
              </w:rPr>
            </w:pPr>
            <w:r>
              <w:rPr>
                <w:rFonts w:ascii="Arial" w:cs="Arial" w:eastAsia="Arial" w:hAnsi="Arial"/>
                <w:sz w:val="18"/>
                <w:szCs w:val="18"/>
                <w:color w:val="auto"/>
              </w:rPr>
              <w:t>Other property and equipment</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4,542</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CCCC"/>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28,270</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25,123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CCCC"/>
          </w:tcPr>
          <w:p>
            <w:pPr>
              <w:ind w:left="1100"/>
              <w:spacing w:after="0"/>
              <w:rPr>
                <w:sz w:val="20"/>
                <w:szCs w:val="20"/>
                <w:color w:val="auto"/>
              </w:rPr>
            </w:pPr>
            <w:r>
              <w:rPr>
                <w:rFonts w:ascii="Arial" w:cs="Arial" w:eastAsia="Arial" w:hAnsi="Arial"/>
                <w:sz w:val="18"/>
                <w:szCs w:val="18"/>
                <w:color w:val="auto"/>
              </w:rPr>
              <w:t>Less—Accumulated depreciation and amortization</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7"/>
              </w:rPr>
              <w:t>(8,339)</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7"/>
              </w:rPr>
              <w:t>(7,079)</w:t>
            </w:r>
          </w:p>
        </w:tc>
        <w:tc>
          <w:tcPr>
            <w:tcW w:w="100" w:type="dxa"/>
            <w:vAlign w:val="bottom"/>
            <w:shd w:val="clear" w:color="auto" w:fill="CCCC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19,931</w:t>
            </w: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18,044</w:t>
            </w:r>
          </w:p>
        </w:tc>
        <w:tc>
          <w:tcPr>
            <w:tcW w:w="10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Purchase deposits for flight equipment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788</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89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Capital leases—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1100"/>
              <w:spacing w:after="0"/>
              <w:rPr>
                <w:sz w:val="20"/>
                <w:szCs w:val="20"/>
                <w:color w:val="auto"/>
              </w:rPr>
            </w:pPr>
            <w:r>
              <w:rPr>
                <w:rFonts w:ascii="Arial" w:cs="Arial" w:eastAsia="Arial" w:hAnsi="Arial"/>
                <w:sz w:val="18"/>
                <w:szCs w:val="18"/>
                <w:color w:val="auto"/>
              </w:rPr>
              <w:t>Flight equipment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1,527</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1100"/>
              <w:spacing w:after="0"/>
              <w:rPr>
                <w:sz w:val="20"/>
                <w:szCs w:val="20"/>
                <w:color w:val="auto"/>
              </w:rPr>
            </w:pPr>
            <w:r>
              <w:rPr>
                <w:rFonts w:ascii="Arial" w:cs="Arial" w:eastAsia="Arial" w:hAnsi="Arial"/>
                <w:sz w:val="18"/>
                <w:szCs w:val="18"/>
                <w:color w:val="auto"/>
              </w:rPr>
              <w:t>Other property and equipment</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1,859</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1100"/>
              <w:spacing w:after="0"/>
              <w:rPr>
                <w:sz w:val="20"/>
                <w:szCs w:val="20"/>
                <w:color w:val="auto"/>
              </w:rPr>
            </w:pPr>
            <w:r>
              <w:rPr>
                <w:rFonts w:ascii="Arial" w:cs="Arial" w:eastAsia="Arial" w:hAnsi="Arial"/>
                <w:sz w:val="18"/>
                <w:szCs w:val="18"/>
                <w:color w:val="auto"/>
              </w:rPr>
              <w:t>Less—Accumulated amortization</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861</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CC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21,580</w:t>
            </w: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19,467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4,523</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20"/>
              <w:spacing w:after="0"/>
              <w:rPr>
                <w:sz w:val="20"/>
                <w:szCs w:val="20"/>
                <w:color w:val="auto"/>
              </w:rPr>
            </w:pPr>
            <w:r>
              <w:rPr>
                <w:rFonts w:ascii="Arial" w:cs="Arial" w:eastAsia="Arial" w:hAnsi="Arial"/>
                <w:sz w:val="18"/>
                <w:szCs w:val="18"/>
                <w:color w:val="auto"/>
              </w:rPr>
              <w:t>Intangibles, less accumulated amortization (2015—$1,144; 2014—$1,049)</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4,136</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204</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3"/>
              </w:rPr>
              <w:t>11,412</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3"/>
              </w:rPr>
              <w:t>10,293</w:t>
            </w:r>
          </w:p>
        </w:tc>
        <w:tc>
          <w:tcPr>
            <w:tcW w:w="100" w:type="dxa"/>
            <w:vAlign w:val="bottom"/>
            <w:shd w:val="clear" w:color="auto" w:fill="CCCCCC"/>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40,861</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37,350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At December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4"/>
              </w:rPr>
              <w:t>2015</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20" w:type="dxa"/>
            <w:vAlign w:val="bottom"/>
            <w:gridSpan w:val="2"/>
          </w:tcPr>
          <w:p>
            <w:pPr>
              <w:spacing w:after="0" w:line="196"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Advance ticket sales</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3,753</w:t>
            </w:r>
          </w:p>
        </w:tc>
        <w:tc>
          <w:tcPr>
            <w:tcW w:w="12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Frequent flyer deferred revenue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2,117</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1,874</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Accrued salaries and benefits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2,350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1,224</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Current maturities of capital leases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Fuel derivative instruments</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3"/>
              </w:rPr>
              <w:t>12,417</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3"/>
              </w:rPr>
              <w:t>12,513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CCCC"/>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9,673</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9,953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Long-term obligations under capital leases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727</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Frequent flyer deferred revenue</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2,826</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Postretirement benefit liability</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1,882</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Pension liability</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1,488</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Advanced purchase of miles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Lease fair value adjustment, net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359</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1,516</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w:t>
            </w: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w w:val="99"/>
              </w:rPr>
              <w:t>Common stock at par, $0.01 par value; authorized 1,000 shares; issued and outstanding 1,000 shares at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December 31, 2015 and 2014</w:t>
            </w:r>
          </w:p>
        </w:tc>
        <w:tc>
          <w:tcPr>
            <w:tcW w:w="140" w:type="dxa"/>
            <w:vAlign w:val="bottom"/>
            <w:shd w:val="clear" w:color="auto" w:fill="CCCCCC"/>
          </w:tcPr>
          <w:p>
            <w:pPr>
              <w:spacing w:after="0"/>
              <w:rPr>
                <w:sz w:val="19"/>
                <w:szCs w:val="19"/>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CCCC"/>
          </w:tcPr>
          <w:p>
            <w:pPr>
              <w:spacing w:after="0"/>
              <w:rPr>
                <w:sz w:val="19"/>
                <w:szCs w:val="19"/>
                <w:color w:val="auto"/>
              </w:rPr>
            </w:pPr>
          </w:p>
        </w:tc>
        <w:tc>
          <w:tcPr>
            <w:tcW w:w="140" w:type="dxa"/>
            <w:vAlign w:val="bottom"/>
            <w:shd w:val="clear" w:color="auto" w:fill="CCCCCC"/>
          </w:tcPr>
          <w:p>
            <w:pPr>
              <w:spacing w:after="0"/>
              <w:rPr>
                <w:sz w:val="19"/>
                <w:szCs w:val="19"/>
                <w:color w:val="auto"/>
              </w:rPr>
            </w:pPr>
          </w:p>
        </w:tc>
        <w:tc>
          <w:tcPr>
            <w:tcW w:w="62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Additional capital invested</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6,138</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Retained earnings (accumulated deficit)</w:t>
            </w: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3,673</w:t>
            </w:r>
          </w:p>
        </w:tc>
        <w:tc>
          <w:tcPr>
            <w:tcW w:w="10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7"/>
              </w:rPr>
              <w:t>(3,628)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(831)</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ind w:left="580"/>
              <w:spacing w:after="0"/>
              <w:rPr>
                <w:sz w:val="20"/>
                <w:szCs w:val="20"/>
                <w:color w:val="auto"/>
              </w:rPr>
            </w:pPr>
            <w:r>
              <w:rPr>
                <w:rFonts w:ascii="Arial" w:cs="Arial" w:eastAsia="Arial" w:hAnsi="Arial"/>
                <w:sz w:val="18"/>
                <w:szCs w:val="18"/>
                <w:color w:val="auto"/>
              </w:rPr>
              <w:t>Receivable from related parties</w:t>
            </w: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0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5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w:t>
            </w: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40,861</w:t>
            </w:r>
          </w:p>
        </w:tc>
        <w:tc>
          <w:tcPr>
            <w:tcW w:w="12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3"/>
              </w:rPr>
              <w:t>37,350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2014</w:t>
            </w:r>
          </w:p>
        </w:tc>
        <w:tc>
          <w:tcPr>
            <w:tcW w:w="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7,301</w:t>
            </w:r>
          </w:p>
        </w:tc>
        <w:tc>
          <w:tcPr>
            <w:tcW w:w="240" w:type="dxa"/>
            <w:vAlign w:val="bottom"/>
            <w:shd w:val="clear" w:color="auto" w:fill="CCCCCC"/>
          </w:tcPr>
          <w:p>
            <w:pPr>
              <w:spacing w:after="0"/>
              <w:rPr>
                <w:sz w:val="12"/>
                <w:szCs w:val="12"/>
                <w:color w:val="auto"/>
              </w:rPr>
            </w:pPr>
          </w:p>
        </w:tc>
        <w:tc>
          <w:tcPr>
            <w:tcW w:w="820" w:type="dxa"/>
            <w:vAlign w:val="bottom"/>
            <w:gridSpan w:val="2"/>
            <w:shd w:val="clear" w:color="auto" w:fill="CCCC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1,114</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654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 -</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62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w w:val="90"/>
              </w:rPr>
              <w:t>(3,136)</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6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1,819</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1,679</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620"/>
              <w:spacing w:after="0" w:line="149" w:lineRule="exact"/>
              <w:rPr>
                <w:sz w:val="20"/>
                <w:szCs w:val="20"/>
                <w:color w:val="auto"/>
              </w:rPr>
            </w:pPr>
            <w:r>
              <w:rPr>
                <w:rFonts w:ascii="Arial" w:cs="Arial" w:eastAsia="Arial" w:hAnsi="Arial"/>
                <w:sz w:val="14"/>
                <w:szCs w:val="14"/>
                <w:color w:val="auto"/>
              </w:rPr>
              <w:t>Special charges, non-cash portion</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247</w:t>
            </w: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78</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620"/>
              <w:spacing w:after="0" w:line="149" w:lineRule="exact"/>
              <w:rPr>
                <w:sz w:val="20"/>
                <w:szCs w:val="20"/>
                <w:color w:val="auto"/>
              </w:rPr>
            </w:pPr>
            <w:r>
              <w:rPr>
                <w:rFonts w:ascii="Arial" w:cs="Arial" w:eastAsia="Arial" w:hAnsi="Arial"/>
                <w:sz w:val="14"/>
                <w:szCs w:val="14"/>
                <w:color w:val="auto"/>
              </w:rPr>
              <w:t>Other operating activities</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620"/>
              <w:spacing w:after="0" w:line="149" w:lineRule="exact"/>
              <w:rPr>
                <w:sz w:val="20"/>
                <w:szCs w:val="20"/>
                <w:color w:val="auto"/>
              </w:rPr>
            </w:pPr>
            <w:r>
              <w:rPr>
                <w:rFonts w:ascii="Arial" w:cs="Arial" w:eastAsia="Arial" w:hAnsi="Arial"/>
                <w:sz w:val="14"/>
                <w:szCs w:val="14"/>
                <w:color w:val="auto"/>
              </w:rPr>
              <w:t>Changes in operating assets and liabilities -</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740"/>
              <w:spacing w:after="0" w:line="149" w:lineRule="exact"/>
              <w:rPr>
                <w:sz w:val="20"/>
                <w:szCs w:val="20"/>
                <w:color w:val="auto"/>
              </w:rPr>
            </w:pPr>
            <w:r>
              <w:rPr>
                <w:rFonts w:ascii="Arial" w:cs="Arial" w:eastAsia="Arial" w:hAnsi="Arial"/>
                <w:sz w:val="14"/>
                <w:szCs w:val="14"/>
                <w:color w:val="auto"/>
              </w:rPr>
              <w:t>(Increase) decrease in fuel hedge collateral</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(577)</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740"/>
              <w:spacing w:after="0" w:line="149" w:lineRule="exact"/>
              <w:rPr>
                <w:sz w:val="20"/>
                <w:szCs w:val="20"/>
                <w:color w:val="auto"/>
              </w:rPr>
            </w:pPr>
            <w:r>
              <w:rPr>
                <w:rFonts w:ascii="Arial" w:cs="Arial" w:eastAsia="Arial" w:hAnsi="Arial"/>
                <w:sz w:val="14"/>
                <w:szCs w:val="14"/>
                <w:color w:val="auto"/>
              </w:rPr>
              <w:t>Unrealized (gain) loss on fuel derivatives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rPr>
              <w:t>(305)</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436</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740"/>
              <w:spacing w:after="0" w:line="149" w:lineRule="exact"/>
              <w:rPr>
                <w:sz w:val="20"/>
                <w:szCs w:val="20"/>
                <w:color w:val="auto"/>
              </w:rPr>
            </w:pPr>
            <w:r>
              <w:rPr>
                <w:rFonts w:ascii="Arial" w:cs="Arial" w:eastAsia="Arial" w:hAnsi="Arial"/>
                <w:sz w:val="14"/>
                <w:szCs w:val="14"/>
                <w:color w:val="auto"/>
              </w:rPr>
              <w:t>Decrease in other liabilities</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(199)</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(236)</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740"/>
              <w:spacing w:after="0" w:line="149" w:lineRule="exact"/>
              <w:rPr>
                <w:sz w:val="20"/>
                <w:szCs w:val="20"/>
                <w:color w:val="auto"/>
              </w:rPr>
            </w:pPr>
            <w:r>
              <w:rPr>
                <w:rFonts w:ascii="Arial" w:cs="Arial" w:eastAsia="Arial" w:hAnsi="Arial"/>
                <w:sz w:val="14"/>
                <w:szCs w:val="14"/>
                <w:color w:val="auto"/>
              </w:rPr>
              <w:t>Decrease in frequent flyer deferred revenue and advanced purchase of miles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rPr>
              <w:t>(200)</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rPr>
              <w:t>(88)</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(415)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740"/>
              <w:spacing w:after="0" w:line="149" w:lineRule="exact"/>
              <w:rPr>
                <w:sz w:val="20"/>
                <w:szCs w:val="20"/>
                <w:color w:val="auto"/>
              </w:rPr>
            </w:pPr>
            <w:r>
              <w:rPr>
                <w:rFonts w:ascii="Arial" w:cs="Arial" w:eastAsia="Arial" w:hAnsi="Arial"/>
                <w:sz w:val="14"/>
                <w:szCs w:val="14"/>
                <w:color w:val="auto"/>
              </w:rPr>
              <w:t>(Increase) decrease in other assets</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740"/>
              <w:spacing w:after="0" w:line="149" w:lineRule="exact"/>
              <w:rPr>
                <w:sz w:val="20"/>
                <w:szCs w:val="20"/>
                <w:color w:val="auto"/>
              </w:rPr>
            </w:pPr>
            <w:r>
              <w:rPr>
                <w:rFonts w:ascii="Arial" w:cs="Arial" w:eastAsia="Arial" w:hAnsi="Arial"/>
                <w:sz w:val="14"/>
                <w:szCs w:val="14"/>
                <w:color w:val="auto"/>
              </w:rPr>
              <w:t>Decrease in accounts payable</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rPr>
              <w:t>(77)</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rPr>
              <w:t>(251)</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(265)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740"/>
              <w:spacing w:after="0" w:line="149" w:lineRule="exact"/>
              <w:rPr>
                <w:sz w:val="20"/>
                <w:szCs w:val="20"/>
                <w:color w:val="auto"/>
              </w:rPr>
            </w:pPr>
            <w:r>
              <w:rPr>
                <w:rFonts w:ascii="Arial" w:cs="Arial" w:eastAsia="Arial" w:hAnsi="Arial"/>
                <w:sz w:val="14"/>
                <w:szCs w:val="14"/>
                <w:color w:val="auto"/>
              </w:rPr>
              <w:t>Increase in advance ticket sales</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740"/>
              <w:spacing w:after="0" w:line="149" w:lineRule="exact"/>
              <w:rPr>
                <w:sz w:val="20"/>
                <w:szCs w:val="20"/>
                <w:color w:val="auto"/>
              </w:rPr>
            </w:pPr>
            <w:r>
              <w:rPr>
                <w:rFonts w:ascii="Arial" w:cs="Arial" w:eastAsia="Arial" w:hAnsi="Arial"/>
                <w:sz w:val="14"/>
                <w:szCs w:val="14"/>
                <w:color w:val="auto"/>
              </w:rPr>
              <w:t>(Increase) decrease in receivables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209</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740"/>
              <w:spacing w:after="0" w:line="149" w:lineRule="exact"/>
              <w:rPr>
                <w:sz w:val="20"/>
                <w:szCs w:val="20"/>
                <w:color w:val="auto"/>
              </w:rPr>
            </w:pPr>
            <w:r>
              <w:rPr>
                <w:rFonts w:ascii="Arial" w:cs="Arial" w:eastAsia="Arial" w:hAnsi="Arial"/>
                <w:sz w:val="14"/>
                <w:szCs w:val="14"/>
                <w:color w:val="auto"/>
              </w:rPr>
              <w:t>Increase in intercompany receivables</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740"/>
              <w:spacing w:after="0" w:line="149" w:lineRule="exact"/>
              <w:rPr>
                <w:sz w:val="20"/>
                <w:szCs w:val="20"/>
                <w:color w:val="auto"/>
              </w:rPr>
            </w:pPr>
            <w:r>
              <w:rPr>
                <w:rFonts w:ascii="Arial" w:cs="Arial" w:eastAsia="Arial" w:hAnsi="Arial"/>
                <w:sz w:val="14"/>
                <w:szCs w:val="14"/>
                <w:color w:val="auto"/>
              </w:rPr>
              <w:t>Decrease in intercompany payables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rPr>
              <w:t>(118)</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8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5,981</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2,525</w:t>
            </w:r>
          </w:p>
        </w:tc>
        <w:tc>
          <w:tcPr>
            <w:tcW w:w="9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(2,747)</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w w:val="90"/>
              </w:rPr>
              <w:t>(2,005)</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0"/>
              </w:rPr>
              <w:t>(2,164)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Proceeds from sale of short-term and other investments</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2,707</w:t>
            </w: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3,112</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2,827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Purchases of short-term and other investments</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(2,517)</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w w:val="90"/>
              </w:rPr>
              <w:t>(3,569)</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0"/>
              </w:rPr>
              <w:t>(2,947)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86</w:t>
            </w: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94</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Other, net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w w:val="90"/>
              </w:rPr>
              <w:t>(2,493)</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w w:val="90"/>
              </w:rPr>
              <w:t>(2,256)</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90"/>
              </w:rPr>
              <w:t>(2,023)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Payments of long-term debt</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w w:val="90"/>
              </w:rPr>
              <w:t>(2,178)</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w w:val="90"/>
              </w:rPr>
              <w:t>(2,503)</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90"/>
              </w:rPr>
              <w:t>(2,185)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Dividend to UAL</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(1,233)</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(212)</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Proceeds from issuance of long-term debt</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1,073</w:t>
            </w: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1,432</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1,423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Principal payments under capital leases</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Capitalized financing costs</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rPr>
              <w:t>(37)</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UAL contributions related to stock plans</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Other, net</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0"/>
              </w:rPr>
              <w:t>(2,484)</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940"/>
              <w:spacing w:after="0" w:line="155" w:lineRule="exact"/>
              <w:rPr>
                <w:sz w:val="20"/>
                <w:szCs w:val="20"/>
                <w:color w:val="auto"/>
              </w:rPr>
            </w:pPr>
            <w:r>
              <w:rPr>
                <w:rFonts w:ascii="Arial" w:cs="Arial" w:eastAsia="Arial" w:hAnsi="Arial"/>
                <w:sz w:val="14"/>
                <w:szCs w:val="14"/>
                <w:color w:val="auto"/>
                <w:w w:val="90"/>
              </w:rPr>
              <w:t>(1,487)</w:t>
            </w: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(969)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1,004</w:t>
            </w: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1360" w:type="dxa"/>
            <w:vAlign w:val="bottom"/>
            <w:gridSpan w:val="2"/>
            <w:shd w:val="clear" w:color="auto" w:fill="CCCCCC"/>
          </w:tcPr>
          <w:p>
            <w:pPr>
              <w:jc w:val="right"/>
              <w:ind w:right="940"/>
              <w:spacing w:after="0" w:line="149" w:lineRule="exact"/>
              <w:rPr>
                <w:sz w:val="20"/>
                <w:szCs w:val="20"/>
                <w:color w:val="auto"/>
              </w:rPr>
            </w:pPr>
            <w:r>
              <w:rPr>
                <w:rFonts w:ascii="Arial" w:cs="Arial" w:eastAsia="Arial" w:hAnsi="Arial"/>
                <w:sz w:val="14"/>
                <w:szCs w:val="14"/>
                <w:color w:val="auto"/>
                <w:w w:val="90"/>
              </w:rPr>
              <w:t>(1,218)</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90"/>
              </w:rPr>
              <w:t>(1,551)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1,996</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3,214</w:t>
            </w:r>
          </w:p>
        </w:tc>
        <w:tc>
          <w:tcPr>
            <w:tcW w:w="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3,000</w:t>
            </w:r>
          </w:p>
        </w:tc>
        <w:tc>
          <w:tcPr>
            <w:tcW w:w="240" w:type="dxa"/>
            <w:vAlign w:val="bottom"/>
            <w:shd w:val="clear" w:color="auto" w:fill="CCCCCC"/>
          </w:tcPr>
          <w:p>
            <w:pPr>
              <w:spacing w:after="0"/>
              <w:rPr>
                <w:sz w:val="12"/>
                <w:szCs w:val="12"/>
                <w:color w:val="auto"/>
              </w:rPr>
            </w:pPr>
          </w:p>
        </w:tc>
        <w:tc>
          <w:tcPr>
            <w:tcW w:w="820" w:type="dxa"/>
            <w:vAlign w:val="bottom"/>
            <w:gridSpan w:val="2"/>
            <w:shd w:val="clear" w:color="auto" w:fill="CCCC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1,996</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3,214</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Investing and Financing Activities Not Affecting Cash:</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Property and equipment acquired through the issuance of debt</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866</w:t>
            </w:r>
          </w:p>
        </w:tc>
        <w:tc>
          <w:tcPr>
            <w:tcW w:w="240" w:type="dxa"/>
            <w:vAlign w:val="bottom"/>
            <w:shd w:val="clear" w:color="auto" w:fill="CCCCCC"/>
          </w:tcPr>
          <w:p>
            <w:pPr>
              <w:spacing w:after="0"/>
              <w:rPr>
                <w:sz w:val="12"/>
                <w:szCs w:val="12"/>
                <w:color w:val="auto"/>
              </w:rPr>
            </w:pPr>
          </w:p>
        </w:tc>
        <w:tc>
          <w:tcPr>
            <w:tcW w:w="820" w:type="dxa"/>
            <w:vAlign w:val="bottom"/>
            <w:gridSpan w:val="2"/>
            <w:shd w:val="clear" w:color="auto" w:fill="CCCC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1,114</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229</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Operating lease conversions to capital lease</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Airport construction financing</w:t>
            </w: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17</w:t>
            </w:r>
          </w:p>
        </w:tc>
        <w:tc>
          <w:tcPr>
            <w:tcW w:w="240" w:type="dxa"/>
            <w:vAlign w:val="bottom"/>
            <w:shd w:val="clear" w:color="auto" w:fill="CCCCCC"/>
          </w:tcPr>
          <w:p>
            <w:pPr>
              <w:spacing w:after="0"/>
              <w:rPr>
                <w:sz w:val="12"/>
                <w:szCs w:val="12"/>
                <w:color w:val="auto"/>
              </w:rPr>
            </w:pP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40"/>
              <w:spacing w:after="0" w:line="149" w:lineRule="exact"/>
              <w:rPr>
                <w:sz w:val="20"/>
                <w:szCs w:val="20"/>
                <w:color w:val="auto"/>
              </w:rPr>
            </w:pPr>
            <w:r>
              <w:rPr>
                <w:rFonts w:ascii="Arial" w:cs="Arial" w:eastAsia="Arial" w:hAnsi="Arial"/>
                <w:sz w:val="14"/>
                <w:szCs w:val="14"/>
                <w:color w:val="auto"/>
              </w:rPr>
              <w:t>Transfer of UAL subsidiaries to United</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Exchange of convertible notes for common stock</w:t>
            </w:r>
          </w:p>
        </w:tc>
        <w:tc>
          <w:tcPr>
            <w:tcW w:w="12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156</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48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Cash Paid (Refunded) During the Period for:</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CCCC"/>
          </w:tcPr>
          <w:p>
            <w:pPr>
              <w:ind w:left="440"/>
              <w:spacing w:after="0" w:line="149" w:lineRule="exact"/>
              <w:rPr>
                <w:sz w:val="20"/>
                <w:szCs w:val="20"/>
                <w:color w:val="auto"/>
              </w:rPr>
            </w:pPr>
            <w:r>
              <w:rPr>
                <w:rFonts w:ascii="Arial" w:cs="Arial" w:eastAsia="Arial" w:hAnsi="Arial"/>
                <w:sz w:val="14"/>
                <w:szCs w:val="14"/>
                <w:color w:val="auto"/>
              </w:rPr>
              <w:t>Interest (net of amounts capitalized)</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660</w:t>
            </w:r>
          </w:p>
        </w:tc>
        <w:tc>
          <w:tcPr>
            <w:tcW w:w="240" w:type="dxa"/>
            <w:vAlign w:val="bottom"/>
            <w:shd w:val="clear" w:color="auto" w:fill="CCCCCC"/>
          </w:tcPr>
          <w:p>
            <w:pPr>
              <w:spacing w:after="0"/>
              <w:rPr>
                <w:sz w:val="12"/>
                <w:szCs w:val="12"/>
                <w:color w:val="auto"/>
              </w:rPr>
            </w:pPr>
          </w:p>
        </w:tc>
        <w:tc>
          <w:tcPr>
            <w:tcW w:w="820" w:type="dxa"/>
            <w:vAlign w:val="bottom"/>
            <w:gridSpan w:val="2"/>
            <w:shd w:val="clear" w:color="auto" w:fill="CCCC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748</w:t>
            </w:r>
          </w:p>
        </w:tc>
        <w:tc>
          <w:tcPr>
            <w:tcW w:w="940" w:type="dxa"/>
            <w:vAlign w:val="bottom"/>
            <w:shd w:val="clear" w:color="auto" w:fill="CCCCCC"/>
          </w:tcPr>
          <w:p>
            <w:pPr>
              <w:spacing w:after="0"/>
              <w:rPr>
                <w:sz w:val="12"/>
                <w:szCs w:val="12"/>
                <w:color w:val="auto"/>
              </w:rPr>
            </w:pP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752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40" w:type="dxa"/>
            <w:vAlign w:val="bottom"/>
          </w:tcPr>
          <w:p>
            <w:pPr>
              <w:ind w:left="440"/>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Retained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Accumulated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Earnings</w:t>
            </w:r>
          </w:p>
        </w:tc>
        <w:tc>
          <w:tcPr>
            <w:tcW w:w="240" w:type="dxa"/>
            <w:vAlign w:val="bottom"/>
          </w:tcPr>
          <w:p>
            <w:pPr>
              <w:spacing w:after="0"/>
              <w:rPr>
                <w:sz w:val="18"/>
                <w:szCs w:val="18"/>
                <w:color w:val="auto"/>
              </w:rPr>
            </w:pPr>
          </w:p>
        </w:tc>
        <w:tc>
          <w:tcPr>
            <w:tcW w:w="940" w:type="dxa"/>
            <w:vAlign w:val="bottom"/>
          </w:tcPr>
          <w:p>
            <w:pPr>
              <w:jc w:val="center"/>
              <w:ind w:right="172"/>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Receivable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w w:val="87"/>
              </w:rPr>
              <w:t>Common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7"/>
              </w:rPr>
              <w:t>(Accumulated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from Related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9"/>
                <w:szCs w:val="19"/>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Invested</w:t>
            </w:r>
          </w:p>
        </w:tc>
        <w:tc>
          <w:tcPr>
            <w:tcW w:w="14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Deficit)</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140" w:type="dxa"/>
            <w:vAlign w:val="bottom"/>
          </w:tcPr>
          <w:p>
            <w:pPr>
              <w:spacing w:after="0"/>
              <w:rPr>
                <w:sz w:val="19"/>
                <w:szCs w:val="19"/>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Parties, Net</w:t>
            </w:r>
          </w:p>
        </w:tc>
        <w:tc>
          <w:tcPr>
            <w:tcW w:w="60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40" w:type="dxa"/>
            <w:vAlign w:val="bottom"/>
            <w:tcBorders>
              <w:top w:val="single" w:sz="8" w:color="CCCCCC"/>
            </w:tcBorders>
            <w:shd w:val="clear" w:color="auto" w:fill="CCCCCC"/>
          </w:tcPr>
          <w:p>
            <w:pPr>
              <w:spacing w:after="0" w:line="144" w:lineRule="exact"/>
              <w:rPr>
                <w:sz w:val="20"/>
                <w:szCs w:val="20"/>
                <w:color w:val="auto"/>
              </w:rPr>
            </w:pPr>
            <w:r>
              <w:rPr>
                <w:rFonts w:ascii="Arial" w:cs="Arial" w:eastAsia="Arial" w:hAnsi="Arial"/>
                <w:sz w:val="14"/>
                <w:szCs w:val="14"/>
                <w:color w:val="auto"/>
              </w:rPr>
              <w:t>Balance at December 31, 2012</w:t>
            </w:r>
          </w:p>
        </w:tc>
        <w:tc>
          <w:tcPr>
            <w:tcW w:w="720" w:type="dxa"/>
            <w:vAlign w:val="bottom"/>
            <w:tcBorders>
              <w:top w:val="single" w:sz="8" w:color="auto"/>
              <w:bottom w:val="single" w:sz="8" w:color="auto"/>
            </w:tcBorders>
            <w:shd w:val="clear" w:color="auto" w:fill="CCCCCC"/>
          </w:tcPr>
          <w:p>
            <w:pPr>
              <w:ind w:left="540"/>
              <w:spacing w:after="0" w:line="144"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CCCC"/>
            </w:tcBorders>
            <w:shd w:val="clear" w:color="auto" w:fill="CCCCCC"/>
          </w:tcPr>
          <w:p>
            <w:pPr>
              <w:spacing w:after="0"/>
              <w:rPr>
                <w:sz w:val="12"/>
                <w:szCs w:val="12"/>
                <w:color w:val="auto"/>
              </w:rPr>
            </w:pPr>
          </w:p>
        </w:tc>
        <w:tc>
          <w:tcPr>
            <w:tcW w:w="12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7,611</w:t>
            </w:r>
          </w:p>
        </w:tc>
        <w:tc>
          <w:tcPr>
            <w:tcW w:w="140" w:type="dxa"/>
            <w:vAlign w:val="bottom"/>
            <w:tcBorders>
              <w:top w:val="single" w:sz="8" w:color="CCCCCC"/>
            </w:tcBorders>
            <w:shd w:val="clear" w:color="auto" w:fill="CCCCCC"/>
          </w:tcPr>
          <w:p>
            <w:pPr>
              <w:spacing w:after="0"/>
              <w:rPr>
                <w:sz w:val="12"/>
                <w:szCs w:val="12"/>
                <w:color w:val="auto"/>
              </w:rPr>
            </w:pPr>
          </w:p>
        </w:tc>
        <w:tc>
          <w:tcPr>
            <w:tcW w:w="14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(5,397)</w:t>
            </w:r>
          </w:p>
        </w:tc>
        <w:tc>
          <w:tcPr>
            <w:tcW w:w="140" w:type="dxa"/>
            <w:vAlign w:val="bottom"/>
            <w:tcBorders>
              <w:top w:val="single" w:sz="8" w:color="CCCCCC"/>
            </w:tcBorders>
            <w:shd w:val="clear" w:color="auto" w:fill="CCCCCC"/>
          </w:tcPr>
          <w:p>
            <w:pPr>
              <w:spacing w:after="0"/>
              <w:rPr>
                <w:sz w:val="12"/>
                <w:szCs w:val="12"/>
                <w:color w:val="auto"/>
              </w:rPr>
            </w:pPr>
          </w:p>
        </w:tc>
        <w:tc>
          <w:tcPr>
            <w:tcW w:w="240" w:type="dxa"/>
            <w:vAlign w:val="bottom"/>
            <w:tcBorders>
              <w:top w:val="single" w:sz="8" w:color="auto"/>
              <w:bottom w:val="single" w:sz="8" w:color="auto"/>
            </w:tcBorders>
            <w:shd w:val="clear" w:color="auto" w:fill="CCCCCC"/>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(1,053)</w:t>
            </w:r>
          </w:p>
        </w:tc>
        <w:tc>
          <w:tcPr>
            <w:tcW w:w="140" w:type="dxa"/>
            <w:vAlign w:val="bottom"/>
            <w:tcBorders>
              <w:top w:val="single" w:sz="8" w:color="CCCCCC"/>
            </w:tcBorders>
            <w:shd w:val="clear" w:color="auto" w:fill="CCCCCC"/>
          </w:tcPr>
          <w:p>
            <w:pPr>
              <w:spacing w:after="0"/>
              <w:rPr>
                <w:sz w:val="12"/>
                <w:szCs w:val="12"/>
                <w:color w:val="auto"/>
              </w:rPr>
            </w:pPr>
          </w:p>
        </w:tc>
        <w:tc>
          <w:tcPr>
            <w:tcW w:w="400" w:type="dxa"/>
            <w:vAlign w:val="bottom"/>
            <w:tcBorders>
              <w:top w:val="single" w:sz="8" w:color="auto"/>
              <w:bottom w:val="single" w:sz="8" w:color="auto"/>
            </w:tcBorders>
            <w:shd w:val="clear" w:color="auto" w:fill="CCCCCC"/>
          </w:tcPr>
          <w:p>
            <w:pPr>
              <w:jc w:val="right"/>
              <w:ind w:right="220"/>
              <w:spacing w:after="0" w:line="144"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CCCC"/>
            </w:tcBorders>
            <w:shd w:val="clear" w:color="auto" w:fill="CCCCCC"/>
          </w:tcPr>
          <w:p>
            <w:pPr>
              <w:spacing w:after="0"/>
              <w:rPr>
                <w:sz w:val="12"/>
                <w:szCs w:val="12"/>
                <w:color w:val="auto"/>
              </w:rPr>
            </w:pPr>
          </w:p>
        </w:tc>
        <w:tc>
          <w:tcPr>
            <w:tcW w:w="10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CCCC"/>
          </w:tcPr>
          <w:p>
            <w:pPr>
              <w:jc w:val="right"/>
              <w:spacing w:after="0" w:line="144" w:lineRule="exact"/>
              <w:rPr>
                <w:sz w:val="20"/>
                <w:szCs w:val="20"/>
                <w:color w:val="auto"/>
              </w:rPr>
            </w:pPr>
            <w:r>
              <w:rPr>
                <w:rFonts w:ascii="Arial" w:cs="Arial" w:eastAsia="Arial" w:hAnsi="Arial"/>
                <w:sz w:val="14"/>
                <w:szCs w:val="14"/>
                <w:color w:val="auto"/>
              </w:rPr>
              <w:t>1,161</w:t>
            </w:r>
          </w:p>
        </w:tc>
        <w:tc>
          <w:tcPr>
            <w:tcW w:w="10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ind w:left="260"/>
              <w:spacing w:after="0" w:line="155" w:lineRule="exact"/>
              <w:rPr>
                <w:sz w:val="20"/>
                <w:szCs w:val="20"/>
                <w:color w:val="auto"/>
              </w:rPr>
            </w:pPr>
            <w:r>
              <w:rPr>
                <w:rFonts w:ascii="Arial" w:cs="Arial" w:eastAsia="Arial" w:hAnsi="Arial"/>
                <w:sz w:val="14"/>
                <w:szCs w:val="14"/>
                <w:color w:val="auto"/>
              </w:rPr>
              <w:t>Net income</w:t>
            </w:r>
          </w:p>
        </w:tc>
        <w:tc>
          <w:tcPr>
            <w:tcW w:w="720" w:type="dxa"/>
            <w:vAlign w:val="bottom"/>
          </w:tcPr>
          <w:p>
            <w:pPr>
              <w:ind w:left="5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654</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654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84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1,661</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1,661</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Income taxes</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Contribution of asset by UAL</w:t>
            </w:r>
          </w:p>
        </w:tc>
        <w:tc>
          <w:tcPr>
            <w:tcW w:w="72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UAL contribution related to stock plans</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Reclassification of related party receivables to equity</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Balance at December 31, 2013</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7,590</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9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(4,743)</w:t>
            </w:r>
          </w:p>
        </w:tc>
        <w:tc>
          <w:tcPr>
            <w:tcW w:w="1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608</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20"/>
              <w:spacing w:after="0" w:line="149" w:lineRule="exact"/>
              <w:rPr>
                <w:sz w:val="20"/>
                <w:szCs w:val="20"/>
                <w:color w:val="auto"/>
              </w:rPr>
            </w:pPr>
            <w:r>
              <w:rPr>
                <w:rFonts w:ascii="Arial" w:cs="Arial" w:eastAsia="Arial" w:hAnsi="Arial"/>
                <w:sz w:val="14"/>
                <w:szCs w:val="14"/>
                <w:color w:val="auto"/>
              </w:rPr>
              <w:t>(232)</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3,223</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ind w:left="260"/>
              <w:spacing w:after="0" w:line="155" w:lineRule="exact"/>
              <w:rPr>
                <w:sz w:val="20"/>
                <w:szCs w:val="20"/>
                <w:color w:val="auto"/>
              </w:rPr>
            </w:pPr>
            <w:r>
              <w:rPr>
                <w:rFonts w:ascii="Arial" w:cs="Arial" w:eastAsia="Arial" w:hAnsi="Arial"/>
                <w:sz w:val="14"/>
                <w:szCs w:val="14"/>
                <w:color w:val="auto"/>
              </w:rPr>
              <w:t>Net income</w:t>
            </w:r>
          </w:p>
        </w:tc>
        <w:tc>
          <w:tcPr>
            <w:tcW w:w="72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1,114</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84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(1,687)</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w w:val="85"/>
              </w:rPr>
              <w:t>(1,687)</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Convertible debt redemption</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Dividend and other capital distributions to UAL</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84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(469)</w:t>
            </w:r>
          </w:p>
        </w:tc>
        <w:tc>
          <w:tcPr>
            <w:tcW w:w="140" w:type="dxa"/>
            <w:vAlign w:val="bottom"/>
            <w:shd w:val="clear" w:color="auto" w:fill="CCCCCC"/>
          </w:tcPr>
          <w:p>
            <w:pPr>
              <w:spacing w:after="0"/>
              <w:rPr>
                <w:sz w:val="12"/>
                <w:szCs w:val="12"/>
                <w:color w:val="auto"/>
              </w:rPr>
            </w:pPr>
          </w:p>
        </w:tc>
        <w:tc>
          <w:tcPr>
            <w:tcW w:w="9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6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232</w:t>
            </w:r>
          </w:p>
        </w:tc>
        <w:tc>
          <w:tcPr>
            <w:tcW w:w="1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(236)</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UAL contribution related to stock plans</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Other</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Balance at December 31, 2014</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7,347</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9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(3,628)</w:t>
            </w:r>
          </w:p>
        </w:tc>
        <w:tc>
          <w:tcPr>
            <w:tcW w:w="1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(1,079)</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2,635</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ind w:left="260"/>
              <w:spacing w:after="0" w:line="155" w:lineRule="exact"/>
              <w:rPr>
                <w:sz w:val="20"/>
                <w:szCs w:val="20"/>
                <w:color w:val="auto"/>
              </w:rPr>
            </w:pPr>
            <w:r>
              <w:rPr>
                <w:rFonts w:ascii="Arial" w:cs="Arial" w:eastAsia="Arial" w:hAnsi="Arial"/>
                <w:sz w:val="14"/>
                <w:szCs w:val="14"/>
                <w:color w:val="auto"/>
              </w:rPr>
              <w:t>Net income</w:t>
            </w:r>
          </w:p>
        </w:tc>
        <w:tc>
          <w:tcPr>
            <w:tcW w:w="72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7,301</w:t>
            </w: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84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248</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Dividend to UAL</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(1,232)</w:t>
            </w: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5"/>
              </w:rPr>
              <w:t>(1,232)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1060" w:type="dxa"/>
            <w:vAlign w:val="bottom"/>
            <w:gridSpan w:val="2"/>
            <w:shd w:val="clear" w:color="auto" w:fill="CCCC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UAL contribution related to stock plans</w:t>
            </w:r>
          </w:p>
        </w:tc>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CCCC"/>
          </w:tcPr>
          <w:p>
            <w:pPr>
              <w:ind w:left="260"/>
              <w:spacing w:after="0" w:line="149" w:lineRule="exact"/>
              <w:rPr>
                <w:sz w:val="20"/>
                <w:szCs w:val="20"/>
                <w:color w:val="auto"/>
              </w:rPr>
            </w:pPr>
            <w:r>
              <w:rPr>
                <w:rFonts w:ascii="Arial" w:cs="Arial" w:eastAsia="Arial" w:hAnsi="Arial"/>
                <w:sz w:val="14"/>
                <w:szCs w:val="14"/>
                <w:color w:val="auto"/>
              </w:rPr>
              <w:t>Other</w:t>
            </w:r>
          </w:p>
        </w:tc>
        <w:tc>
          <w:tcPr>
            <w:tcW w:w="720" w:type="dxa"/>
            <w:vAlign w:val="bottom"/>
            <w:shd w:val="clear" w:color="auto" w:fill="CCCC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9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9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CCCC"/>
          </w:tcPr>
          <w:p>
            <w:pPr>
              <w:spacing w:after="0"/>
              <w:rPr>
                <w:sz w:val="12"/>
                <w:szCs w:val="12"/>
                <w:color w:val="auto"/>
              </w:rPr>
            </w:pPr>
          </w:p>
        </w:tc>
        <w:tc>
          <w:tcPr>
            <w:tcW w:w="400" w:type="dxa"/>
            <w:vAlign w:val="bottom"/>
            <w:shd w:val="clear" w:color="auto" w:fill="CCCCCC"/>
          </w:tcPr>
          <w:p>
            <w:pPr>
              <w:spacing w:after="0"/>
              <w:rPr>
                <w:sz w:val="12"/>
                <w:szCs w:val="12"/>
                <w:color w:val="auto"/>
              </w:rPr>
            </w:pPr>
          </w:p>
        </w:tc>
        <w:tc>
          <w:tcPr>
            <w:tcW w:w="720" w:type="dxa"/>
            <w:vAlign w:val="bottom"/>
            <w:gridSpan w:val="2"/>
            <w:shd w:val="clear" w:color="auto" w:fill="CCCCCC"/>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CCCC"/>
          </w:tcPr>
          <w:p>
            <w:pPr>
              <w:spacing w:after="0"/>
              <w:rPr>
                <w:sz w:val="12"/>
                <w:szCs w:val="12"/>
                <w:color w:val="auto"/>
              </w:rPr>
            </w:pPr>
          </w:p>
        </w:tc>
        <w:tc>
          <w:tcPr>
            <w:tcW w:w="4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2015</w:t>
            </w: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720" w:type="dxa"/>
            <w:vAlign w:val="bottom"/>
          </w:tcPr>
          <w:p>
            <w:pPr>
              <w:ind w:left="5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6,138</w:t>
            </w:r>
          </w:p>
        </w:tc>
        <w:tc>
          <w:tcPr>
            <w:tcW w:w="14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3,673</w:t>
            </w:r>
          </w:p>
        </w:tc>
        <w:tc>
          <w:tcPr>
            <w:tcW w:w="140" w:type="dxa"/>
            <w:vAlign w:val="bottom"/>
          </w:tcPr>
          <w:p>
            <w:pPr>
              <w:spacing w:after="0"/>
              <w:rPr>
                <w:sz w:val="13"/>
                <w:szCs w:val="13"/>
                <w:color w:val="auto"/>
              </w:rPr>
            </w:pPr>
          </w:p>
        </w:tc>
        <w:tc>
          <w:tcPr>
            <w:tcW w:w="240" w:type="dxa"/>
            <w:vAlign w:val="bottom"/>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(831)</w:t>
            </w:r>
          </w:p>
        </w:tc>
        <w:tc>
          <w:tcPr>
            <w:tcW w:w="140" w:type="dxa"/>
            <w:vAlign w:val="bottom"/>
          </w:tcPr>
          <w:p>
            <w:pPr>
              <w:spacing w:after="0"/>
              <w:rPr>
                <w:sz w:val="13"/>
                <w:szCs w:val="13"/>
                <w:color w:val="auto"/>
              </w:rPr>
            </w:pPr>
          </w:p>
        </w:tc>
        <w:tc>
          <w:tcPr>
            <w:tcW w:w="400" w:type="dxa"/>
            <w:vAlign w:val="bottom"/>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8,963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CONTINENTAL HOLDINGS,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United Continental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31" w:lineRule="exact"/>
        <w:rPr>
          <w:sz w:val="20"/>
          <w:szCs w:val="20"/>
          <w:color w:val="auto"/>
        </w:rPr>
      </w:pPr>
    </w:p>
    <w:p>
      <w:pPr>
        <w:jc w:val="both"/>
        <w:ind w:left="800" w:right="540" w:hanging="792"/>
        <w:spacing w:after="0" w:line="262"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the amounts reported in these financial statements and accompanying notes. Actual results could differ from those estimates.</w:t>
      </w:r>
    </w:p>
    <w:p>
      <w:pPr>
        <w:spacing w:after="0" w:line="91" w:lineRule="exact"/>
        <w:rPr>
          <w:rFonts w:ascii="Arial" w:cs="Arial" w:eastAsia="Arial" w:hAnsi="Arial"/>
          <w:sz w:val="18"/>
          <w:szCs w:val="18"/>
          <w:color w:val="auto"/>
        </w:rPr>
      </w:pPr>
    </w:p>
    <w:p>
      <w:pPr>
        <w:ind w:left="800" w:right="180" w:hanging="792"/>
        <w:spacing w:after="0" w:line="254"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records passenger ticket sales and tickets sold by other airlines for use on United as passenger revenue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transportation is provided or upon estimated breakage. The value of unused passenger tickets is included in current liabilities as Advance ticket sales. Tickets sold by other airlines are recorded at the estimated values to be billed to the other airlines. Differences between amounts billed and the actual amounts may be rejected and rebilled or written off if the amount recorded was different from the original estimate. When necessary, the Company records a reserve against our interline billings and payables if historical experience indicates that these amounts are different. Non-refundable tickets generally expire on the date of the intended flight, unless the date is extended by notification from the customer on or before the intended flight date.</w:t>
      </w:r>
    </w:p>
    <w:p>
      <w:pPr>
        <w:spacing w:after="0" w:line="93" w:lineRule="exact"/>
        <w:rPr>
          <w:rFonts w:ascii="Arial" w:cs="Arial" w:eastAsia="Arial" w:hAnsi="Arial"/>
          <w:sz w:val="18"/>
          <w:szCs w:val="18"/>
          <w:color w:val="auto"/>
        </w:rPr>
      </w:pPr>
    </w:p>
    <w:p>
      <w:pPr>
        <w:ind w:left="800"/>
        <w:spacing w:after="0" w:line="294" w:lineRule="auto"/>
        <w:rPr>
          <w:rFonts w:ascii="Arial" w:cs="Arial" w:eastAsia="Arial" w:hAnsi="Arial"/>
          <w:sz w:val="18"/>
          <w:szCs w:val="18"/>
          <w:color w:val="auto"/>
        </w:rPr>
      </w:pPr>
      <w:r>
        <w:rPr>
          <w:rFonts w:ascii="Arial" w:cs="Arial" w:eastAsia="Arial" w:hAnsi="Arial"/>
          <w:sz w:val="16"/>
          <w:szCs w:val="16"/>
          <w:color w:val="auto"/>
        </w:rPr>
        <w:t>Fees charged in association with changes or extensions to non-refundable tickets are recorded as other revenue at the time the fee is incurred. The fare on the changed ticket, including any additional collection of fare, is deferred and recognized in accordance with our transportation revenue recognition policy at the time the transportation is provided. Change fees related to non-refundable tickets are considered a separate transaction from the air transportation because they represent a charge for the Company’s additional service to modify a previous sale. Therefore, the pricing of the change fee and the initial customer order are separately determined and represent distinct earnings processes.</w:t>
      </w:r>
    </w:p>
    <w:p>
      <w:pPr>
        <w:spacing w:after="0" w:line="61" w:lineRule="exact"/>
        <w:rPr>
          <w:rFonts w:ascii="Arial" w:cs="Arial" w:eastAsia="Arial" w:hAnsi="Arial"/>
          <w:sz w:val="18"/>
          <w:szCs w:val="18"/>
          <w:color w:val="auto"/>
        </w:rPr>
      </w:pPr>
    </w:p>
    <w:p>
      <w:pPr>
        <w:ind w:left="800" w:right="700"/>
        <w:spacing w:after="0" w:line="332" w:lineRule="auto"/>
        <w:rPr>
          <w:rFonts w:ascii="Arial" w:cs="Arial" w:eastAsia="Arial" w:hAnsi="Arial"/>
          <w:sz w:val="18"/>
          <w:szCs w:val="18"/>
          <w:color w:val="auto"/>
        </w:rPr>
      </w:pPr>
      <w:r>
        <w:rPr>
          <w:rFonts w:ascii="Arial" w:cs="Arial" w:eastAsia="Arial" w:hAnsi="Arial"/>
          <w:sz w:val="16"/>
          <w:szCs w:val="16"/>
          <w:color w:val="auto"/>
        </w:rPr>
        <w:t>The Company records an estimate of breakage revenue on the flight date for tickets that will expire unused. These estimates are based on the evaluation of actual historical results and forecasted trends. Refundable tickets expire after one year from the date of issuance.</w:t>
      </w:r>
    </w:p>
    <w:p>
      <w:pPr>
        <w:spacing w:after="0" w:line="3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Company recognizes cargo and other revenue as service is provided.</w:t>
      </w:r>
    </w:p>
    <w:p>
      <w:pPr>
        <w:spacing w:after="0" w:line="117" w:lineRule="exact"/>
        <w:rPr>
          <w:rFonts w:ascii="Arial" w:cs="Arial" w:eastAsia="Arial" w:hAnsi="Arial"/>
          <w:sz w:val="18"/>
          <w:szCs w:val="18"/>
          <w:color w:val="auto"/>
        </w:rPr>
      </w:pPr>
    </w:p>
    <w:p>
      <w:pPr>
        <w:jc w:val="both"/>
        <w:ind w:left="800" w:right="220"/>
        <w:spacing w:after="0" w:line="259" w:lineRule="auto"/>
        <w:rPr>
          <w:rFonts w:ascii="Arial" w:cs="Arial" w:eastAsia="Arial" w:hAnsi="Arial"/>
          <w:sz w:val="18"/>
          <w:szCs w:val="18"/>
          <w:color w:val="auto"/>
        </w:rPr>
      </w:pPr>
      <w:r>
        <w:rPr>
          <w:rFonts w:ascii="Arial" w:cs="Arial" w:eastAsia="Arial" w:hAnsi="Arial"/>
          <w:sz w:val="18"/>
          <w:szCs w:val="18"/>
          <w:color w:val="auto"/>
        </w:rPr>
        <w:t>Under our capacity purchase agreements (“CPAs”) with regional carriers, we purchase all of the capacity related to aircraft covered by the contracts and are responsible for selling all of the related seat inventory. We record the passenger revenue and related expenses as separate operating revenue and expense in the consolidated statement of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67" w:name="page68"/>
    <w:bookmarkEnd w:id="67"/>
    <w:p>
      <w:pPr>
        <w:ind w:left="792" w:right="1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Accounts receivable primarily consist of amounts due from credit card companies and customers of our aircraft maintenance and cargo transportation services. We provide an allowance for uncollectible accounts equal to the estimated losses expected to be incurred based on historical write-offs and other specific analyses. Bad debt expense and write-offs were not material for the years ended December 31, 2015, 2014 and 2013.</w:t>
      </w:r>
    </w:p>
    <w:p>
      <w:pPr>
        <w:spacing w:after="0" w:line="42" w:lineRule="exact"/>
        <w:rPr>
          <w:sz w:val="20"/>
          <w:szCs w:val="20"/>
          <w:color w:val="auto"/>
        </w:rPr>
      </w:pPr>
    </w:p>
    <w:p>
      <w:pPr>
        <w:ind w:left="792" w:hanging="792"/>
        <w:spacing w:after="0" w:line="296" w:lineRule="auto"/>
        <w:tabs>
          <w:tab w:leader="none" w:pos="792"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Frequent Flyer Accounting—</w:t>
      </w:r>
      <w:r>
        <w:rPr>
          <w:rFonts w:ascii="Arial" w:cs="Arial" w:eastAsia="Arial" w:hAnsi="Arial"/>
          <w:sz w:val="16"/>
          <w:szCs w:val="16"/>
          <w:color w:val="auto"/>
        </w:rPr>
        <w:t>United’s MileagePlus program is designed to increase customer loyalty. Program participants earn miles by flying on</w:t>
      </w:r>
      <w:r>
        <w:rPr>
          <w:rFonts w:ascii="Arial" w:cs="Arial" w:eastAsia="Arial" w:hAnsi="Arial"/>
          <w:sz w:val="16"/>
          <w:szCs w:val="16"/>
          <w:b w:val="1"/>
          <w:bCs w:val="1"/>
          <w:color w:val="auto"/>
        </w:rPr>
        <w:t xml:space="preserve"> </w:t>
      </w:r>
      <w:r>
        <w:rPr>
          <w:rFonts w:ascii="Arial" w:cs="Arial" w:eastAsia="Arial" w:hAnsi="Arial"/>
          <w:sz w:val="16"/>
          <w:szCs w:val="16"/>
          <w:color w:val="auto"/>
        </w:rPr>
        <w:t>United and certain other participating airlines. Program participants can also earn miles through purchases from other non-airline partners that participate in United’s loyalty program. We sell miles to these partners, which include credit card issuers, retail merchants, hotels, car rental companies and our participating airline partners. Miles can be redeemed for free (other than taxes and government imposed fees), discounted or upgraded air travel and non-travel awards. The Company records its obligation for future award redemptions using a deferred revenue model.</w:t>
      </w:r>
    </w:p>
    <w:p>
      <w:pPr>
        <w:spacing w:after="0" w:line="53"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b w:val="1"/>
          <w:bCs w:val="1"/>
          <w:color w:val="auto"/>
        </w:rPr>
        <w:t>Miles Earned in Conjunction with Flights</w:t>
      </w:r>
    </w:p>
    <w:p>
      <w:pPr>
        <w:spacing w:after="0" w:line="123" w:lineRule="exact"/>
        <w:rPr>
          <w:rFonts w:ascii="Arial" w:cs="Arial" w:eastAsia="Arial" w:hAnsi="Arial"/>
          <w:sz w:val="16"/>
          <w:szCs w:val="16"/>
          <w:color w:val="auto"/>
        </w:rPr>
      </w:pPr>
    </w:p>
    <w:p>
      <w:pPr>
        <w:ind w:left="792" w:right="60"/>
        <w:spacing w:after="0" w:line="306" w:lineRule="auto"/>
        <w:rPr>
          <w:rFonts w:ascii="Arial" w:cs="Arial" w:eastAsia="Arial" w:hAnsi="Arial"/>
          <w:sz w:val="16"/>
          <w:szCs w:val="16"/>
          <w:color w:val="auto"/>
        </w:rPr>
      </w:pPr>
      <w:r>
        <w:rPr>
          <w:rFonts w:ascii="Arial" w:cs="Arial" w:eastAsia="Arial" w:hAnsi="Arial"/>
          <w:sz w:val="16"/>
          <w:szCs w:val="16"/>
          <w:color w:val="auto"/>
        </w:rPr>
        <w:t>In the case of the sale of air services, the Company recognizes a portion of the ticket sales as revenue when the air transportation occurs and defers a portion of the ticket sale representing the value of the related miles as a multiple-deliverable revenue arrangement. The miles are recorded in Frequent flyer deferred revenue on the Company’s consolidated balance sheet and recognized into revenue when the transportation is provided.</w:t>
      </w:r>
    </w:p>
    <w:p>
      <w:pPr>
        <w:spacing w:after="0" w:line="52" w:lineRule="exact"/>
        <w:rPr>
          <w:rFonts w:ascii="Arial" w:cs="Arial" w:eastAsia="Arial" w:hAnsi="Arial"/>
          <w:sz w:val="16"/>
          <w:szCs w:val="16"/>
          <w:color w:val="auto"/>
        </w:rPr>
      </w:pPr>
    </w:p>
    <w:p>
      <w:pPr>
        <w:ind w:left="792" w:right="880"/>
        <w:spacing w:after="0" w:line="332" w:lineRule="auto"/>
        <w:rPr>
          <w:rFonts w:ascii="Arial" w:cs="Arial" w:eastAsia="Arial" w:hAnsi="Arial"/>
          <w:sz w:val="16"/>
          <w:szCs w:val="16"/>
          <w:color w:val="auto"/>
        </w:rPr>
      </w:pPr>
      <w:r>
        <w:rPr>
          <w:rFonts w:ascii="Arial" w:cs="Arial" w:eastAsia="Arial" w:hAnsi="Arial"/>
          <w:sz w:val="16"/>
          <w:szCs w:val="16"/>
          <w:color w:val="auto"/>
        </w:rPr>
        <w:t>The Company determines the estimated selling price of air transportation and miles as if each element is sold on a separate basis. The total consideration from each ticket sale is then allocated to each of these elements individually on a pro rata basis.</w:t>
      </w:r>
    </w:p>
    <w:p>
      <w:pPr>
        <w:spacing w:after="0" w:line="31" w:lineRule="exact"/>
        <w:rPr>
          <w:rFonts w:ascii="Arial" w:cs="Arial" w:eastAsia="Arial" w:hAnsi="Arial"/>
          <w:sz w:val="16"/>
          <w:szCs w:val="16"/>
          <w:color w:val="auto"/>
        </w:rPr>
      </w:pPr>
    </w:p>
    <w:p>
      <w:pPr>
        <w:ind w:left="792" w:right="240"/>
        <w:spacing w:after="0" w:line="294" w:lineRule="auto"/>
        <w:rPr>
          <w:rFonts w:ascii="Arial" w:cs="Arial" w:eastAsia="Arial" w:hAnsi="Arial"/>
          <w:sz w:val="16"/>
          <w:szCs w:val="16"/>
          <w:color w:val="auto"/>
        </w:rPr>
      </w:pPr>
      <w:r>
        <w:rPr>
          <w:rFonts w:ascii="Arial" w:cs="Arial" w:eastAsia="Arial" w:hAnsi="Arial"/>
          <w:sz w:val="16"/>
          <w:szCs w:val="16"/>
          <w:color w:val="auto"/>
        </w:rPr>
        <w:t>The Company’s estimated selling price of miles is based on an equivalent ticket value less fulfillment discount, which incorporates the expected redemption of miles, as the best estimate of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a fulfillment discount that considers a number of factors, including redemption patterns of various customer groups.</w:t>
      </w:r>
    </w:p>
    <w:p>
      <w:pPr>
        <w:spacing w:after="0" w:line="55" w:lineRule="exact"/>
        <w:rPr>
          <w:rFonts w:ascii="Arial" w:cs="Arial" w:eastAsia="Arial" w:hAnsi="Arial"/>
          <w:sz w:val="16"/>
          <w:szCs w:val="16"/>
          <w:color w:val="auto"/>
        </w:rPr>
      </w:pPr>
    </w:p>
    <w:p>
      <w:pPr>
        <w:ind w:left="792"/>
        <w:spacing w:after="0"/>
        <w:rPr>
          <w:rFonts w:ascii="Arial" w:cs="Arial" w:eastAsia="Arial" w:hAnsi="Arial"/>
          <w:sz w:val="16"/>
          <w:szCs w:val="16"/>
          <w:color w:val="auto"/>
        </w:rPr>
      </w:pPr>
      <w:r>
        <w:rPr>
          <w:rFonts w:ascii="Arial" w:cs="Arial" w:eastAsia="Arial" w:hAnsi="Arial"/>
          <w:sz w:val="18"/>
          <w:szCs w:val="18"/>
          <w:b w:val="1"/>
          <w:bCs w:val="1"/>
          <w:color w:val="auto"/>
        </w:rPr>
        <w:t>Co-branded Credit Card Partner Mileage Sales</w:t>
      </w:r>
    </w:p>
    <w:p>
      <w:pPr>
        <w:spacing w:after="0" w:line="123" w:lineRule="exact"/>
        <w:rPr>
          <w:rFonts w:ascii="Arial" w:cs="Arial" w:eastAsia="Arial" w:hAnsi="Arial"/>
          <w:sz w:val="16"/>
          <w:szCs w:val="16"/>
          <w:color w:val="auto"/>
        </w:rPr>
      </w:pPr>
    </w:p>
    <w:p>
      <w:pPr>
        <w:ind w:left="792" w:right="100"/>
        <w:spacing w:after="0" w:line="255" w:lineRule="auto"/>
        <w:rPr>
          <w:rFonts w:ascii="Arial" w:cs="Arial" w:eastAsia="Arial" w:hAnsi="Arial"/>
          <w:sz w:val="16"/>
          <w:szCs w:val="16"/>
          <w:color w:val="auto"/>
        </w:rPr>
      </w:pPr>
      <w:r>
        <w:rPr>
          <w:rFonts w:ascii="Arial" w:cs="Arial" w:eastAsia="Arial" w:hAnsi="Arial"/>
          <w:sz w:val="18"/>
          <w:szCs w:val="18"/>
          <w:color w:val="auto"/>
        </w:rPr>
        <w:t>United has a significant contract, the Consolidated Amended and Restated Co-Branded Card Marketing Services Agreement (the “Co-Brand Agreement”), to sell MileagePlus miles to its co-branded credit card partner, Chase Bank USA, N.A. (“Chase”). United identified the following significant revenue elements in the Co-Brand Agreement: the air transportation element represented by the value of the mile (generally resulting from its redemption for future air transportation and whose fair value is described above); use of the United brand and access to MileagePlus member lists; advertising; and other travel related benefits.</w:t>
      </w:r>
    </w:p>
    <w:p>
      <w:pPr>
        <w:spacing w:after="0" w:line="88" w:lineRule="exact"/>
        <w:rPr>
          <w:rFonts w:ascii="Arial" w:cs="Arial" w:eastAsia="Arial" w:hAnsi="Arial"/>
          <w:sz w:val="16"/>
          <w:szCs w:val="16"/>
          <w:color w:val="auto"/>
        </w:rPr>
      </w:pPr>
    </w:p>
    <w:p>
      <w:pPr>
        <w:ind w:left="792" w:right="40"/>
        <w:spacing w:after="0" w:line="253" w:lineRule="auto"/>
        <w:rPr>
          <w:rFonts w:ascii="Arial" w:cs="Arial" w:eastAsia="Arial" w:hAnsi="Arial"/>
          <w:sz w:val="16"/>
          <w:szCs w:val="16"/>
          <w:color w:val="auto"/>
        </w:rPr>
      </w:pPr>
      <w:r>
        <w:rPr>
          <w:rFonts w:ascii="Arial" w:cs="Arial" w:eastAsia="Arial" w:hAnsi="Arial"/>
          <w:sz w:val="18"/>
          <w:szCs w:val="18"/>
          <w:color w:val="auto"/>
        </w:rPr>
        <w:t>The fair value of the elements is determined using management’s estimated selling price of each element.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multiple elements to be delivered. We also evaluate volumes on an annual basis, which may result in a change in the allocation of estimated selling price on a prospective basis.</w:t>
      </w:r>
    </w:p>
    <w:p>
      <w:pPr>
        <w:spacing w:after="0" w:line="1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12"/>
          </w:cols>
          <w:pgMar w:left="248" w:top="280" w:right="239" w:bottom="1440" w:gutter="0" w:footer="0" w:header="0"/>
        </w:sectPr>
      </w:pPr>
    </w:p>
    <w:bookmarkStart w:id="68" w:name="page69"/>
    <w:bookmarkEnd w:id="68"/>
    <w:p>
      <w:pPr>
        <w:ind w:left="800" w:right="6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records passenger revenue related to the air transportation element when the transportation is delivered. The other elements are generally recognized as Other operating revenue when earned.</w:t>
      </w:r>
    </w:p>
    <w:p>
      <w:pPr>
        <w:spacing w:after="0" w:line="7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Expiration of Miles</w:t>
      </w:r>
    </w:p>
    <w:p>
      <w:pPr>
        <w:spacing w:after="0" w:line="123"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Company accounts for miles sold and awarded that will never be redeemed by program members, which we refer to as breakage. The Company reviews its breakage estimates annually based upon the latest available information regarding redemption and expiration patterns. Miles expire after 18 months of member account inactivity.</w:t>
      </w:r>
    </w:p>
    <w:p>
      <w:pPr>
        <w:spacing w:after="0" w:line="86" w:lineRule="exact"/>
        <w:rPr>
          <w:sz w:val="20"/>
          <w:szCs w:val="20"/>
          <w:color w:val="auto"/>
        </w:rPr>
      </w:pPr>
    </w:p>
    <w:p>
      <w:pPr>
        <w:jc w:val="both"/>
        <w:ind w:left="800" w:right="400"/>
        <w:spacing w:after="0" w:line="259" w:lineRule="auto"/>
        <w:rPr>
          <w:sz w:val="20"/>
          <w:szCs w:val="20"/>
          <w:color w:val="auto"/>
        </w:rPr>
      </w:pPr>
      <w:r>
        <w:rPr>
          <w:rFonts w:ascii="Arial" w:cs="Arial" w:eastAsia="Arial" w:hAnsi="Arial"/>
          <w:sz w:val="18"/>
          <w:szCs w:val="18"/>
          <w:color w:val="auto"/>
        </w:rPr>
        <w:t>The Company’s estimate of the expected expiration of miles requires significant management judgment. Current and future changes to expiration assumptions or to the expiration policy, or to program rules and program redemption opportunities, may result in material changes to the deferred revenue balance as well as recognized revenues from the programs.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Information</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provides additional information related to the frequent flyer program (in millions):</w:t>
      </w:r>
    </w:p>
    <w:p>
      <w:pPr>
        <w:spacing w:after="0" w:line="1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7"/>
              </w:rPr>
              <w:t>Other Revenue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6"/>
              </w:rPr>
              <w:t>Recognized Upon</w:t>
            </w:r>
          </w:p>
        </w:tc>
        <w:tc>
          <w:tcPr>
            <w:tcW w:w="242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8"/>
              </w:rPr>
              <w:t>Increase in Frequent</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(Decrease) in</w:t>
            </w:r>
          </w:p>
        </w:tc>
        <w:tc>
          <w:tcPr>
            <w:tcW w:w="0" w:type="dxa"/>
            <w:vAlign w:val="bottom"/>
          </w:tcPr>
          <w:p>
            <w:pPr>
              <w:spacing w:after="0"/>
              <w:rPr>
                <w:sz w:val="1"/>
                <w:szCs w:val="1"/>
                <w:color w:val="auto"/>
              </w:rPr>
            </w:pPr>
          </w:p>
        </w:tc>
      </w:tr>
      <w:tr>
        <w:trPr>
          <w:trHeight w:val="216"/>
        </w:trPr>
        <w:tc>
          <w:tcPr>
            <w:tcW w:w="2840" w:type="dxa"/>
            <w:vAlign w:val="bottom"/>
            <w:gridSpan w:val="2"/>
            <w:vMerge w:val="restart"/>
          </w:tcPr>
          <w:p>
            <w:pPr>
              <w:jc w:val="center"/>
              <w:ind w:right="760"/>
              <w:spacing w:after="0"/>
              <w:rPr>
                <w:sz w:val="20"/>
                <w:szCs w:val="20"/>
                <w:color w:val="auto"/>
              </w:rPr>
            </w:pPr>
            <w:r>
              <w:rPr>
                <w:rFonts w:ascii="Arial" w:cs="Arial" w:eastAsia="Arial" w:hAnsi="Arial"/>
                <w:sz w:val="18"/>
                <w:szCs w:val="18"/>
                <w:b w:val="1"/>
                <w:bCs w:val="1"/>
                <w:color w:val="auto"/>
                <w:w w:val="88"/>
              </w:rPr>
              <w:t>Year Ended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Cash Proceeds</w:t>
            </w:r>
          </w:p>
        </w:tc>
        <w:tc>
          <w:tcPr>
            <w:tcW w:w="860" w:type="dxa"/>
            <w:vAlign w:val="bottom"/>
          </w:tcPr>
          <w:p>
            <w:pPr>
              <w:spacing w:after="0"/>
              <w:rPr>
                <w:sz w:val="18"/>
                <w:szCs w:val="18"/>
                <w:color w:val="auto"/>
              </w:rPr>
            </w:pPr>
          </w:p>
        </w:tc>
        <w:tc>
          <w:tcPr>
            <w:tcW w:w="21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Award of Miles</w:t>
            </w:r>
          </w:p>
        </w:tc>
        <w:tc>
          <w:tcPr>
            <w:tcW w:w="180" w:type="dxa"/>
            <w:vAlign w:val="bottom"/>
          </w:tcPr>
          <w:p>
            <w:pPr>
              <w:spacing w:after="0"/>
              <w:rPr>
                <w:sz w:val="18"/>
                <w:szCs w:val="18"/>
                <w:color w:val="auto"/>
              </w:rPr>
            </w:pPr>
          </w:p>
        </w:tc>
        <w:tc>
          <w:tcPr>
            <w:tcW w:w="22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Flyer Deferred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Advanced</w:t>
            </w:r>
          </w:p>
        </w:tc>
        <w:tc>
          <w:tcPr>
            <w:tcW w:w="0" w:type="dxa"/>
            <w:vAlign w:val="bottom"/>
          </w:tcPr>
          <w:p>
            <w:pPr>
              <w:spacing w:after="0"/>
              <w:rPr>
                <w:sz w:val="1"/>
                <w:szCs w:val="1"/>
                <w:color w:val="auto"/>
              </w:rPr>
            </w:pPr>
          </w:p>
        </w:tc>
      </w:tr>
      <w:tr>
        <w:trPr>
          <w:trHeight w:val="203"/>
        </w:trPr>
        <w:tc>
          <w:tcPr>
            <w:tcW w:w="2840" w:type="dxa"/>
            <w:vAlign w:val="bottom"/>
            <w:gridSpan w:val="2"/>
            <w:vMerge w:val="continue"/>
          </w:tcPr>
          <w:p>
            <w:pPr>
              <w:spacing w:after="0"/>
              <w:rPr>
                <w:sz w:val="17"/>
                <w:szCs w:val="17"/>
                <w:color w:val="auto"/>
              </w:rPr>
            </w:pPr>
          </w:p>
        </w:tc>
        <w:tc>
          <w:tcPr>
            <w:tcW w:w="12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8"/>
              </w:rPr>
              <w:t>from Miles Sold</w:t>
            </w:r>
          </w:p>
        </w:tc>
        <w:tc>
          <w:tcPr>
            <w:tcW w:w="860" w:type="dxa"/>
            <w:vAlign w:val="bottom"/>
          </w:tcPr>
          <w:p>
            <w:pPr>
              <w:spacing w:after="0"/>
              <w:rPr>
                <w:sz w:val="17"/>
                <w:szCs w:val="17"/>
                <w:color w:val="auto"/>
              </w:rPr>
            </w:pPr>
          </w:p>
        </w:tc>
        <w:tc>
          <w:tcPr>
            <w:tcW w:w="2180" w:type="dxa"/>
            <w:vAlign w:val="bottom"/>
            <w:gridSpan w:val="3"/>
          </w:tcPr>
          <w:p>
            <w:pPr>
              <w:jc w:val="center"/>
              <w:ind w:right="840"/>
              <w:spacing w:after="0" w:line="202" w:lineRule="exact"/>
              <w:rPr>
                <w:sz w:val="20"/>
                <w:szCs w:val="20"/>
                <w:color w:val="auto"/>
              </w:rPr>
            </w:pPr>
            <w:r>
              <w:rPr>
                <w:rFonts w:ascii="Arial" w:cs="Arial" w:eastAsia="Arial" w:hAnsi="Arial"/>
                <w:sz w:val="18"/>
                <w:szCs w:val="18"/>
                <w:b w:val="1"/>
                <w:bCs w:val="1"/>
                <w:color w:val="auto"/>
                <w:w w:val="93"/>
              </w:rPr>
              <w:t>to Third-Party</w:t>
            </w:r>
          </w:p>
        </w:tc>
        <w:tc>
          <w:tcPr>
            <w:tcW w:w="2420" w:type="dxa"/>
            <w:vAlign w:val="bottom"/>
            <w:gridSpan w:val="3"/>
          </w:tcPr>
          <w:p>
            <w:pPr>
              <w:jc w:val="center"/>
              <w:ind w:right="860"/>
              <w:spacing w:after="0" w:line="202" w:lineRule="exact"/>
              <w:rPr>
                <w:sz w:val="20"/>
                <w:szCs w:val="20"/>
                <w:color w:val="auto"/>
              </w:rPr>
            </w:pPr>
            <w:r>
              <w:rPr>
                <w:rFonts w:ascii="Arial" w:cs="Arial" w:eastAsia="Arial" w:hAnsi="Arial"/>
                <w:sz w:val="18"/>
                <w:szCs w:val="18"/>
                <w:b w:val="1"/>
                <w:bCs w:val="1"/>
                <w:color w:val="auto"/>
                <w:w w:val="88"/>
              </w:rPr>
              <w:t>Revenue for Miles</w:t>
            </w:r>
          </w:p>
        </w:tc>
        <w:tc>
          <w:tcPr>
            <w:tcW w:w="110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85"/>
              </w:rPr>
              <w:t>Purchase of</w:t>
            </w:r>
          </w:p>
        </w:tc>
        <w:tc>
          <w:tcPr>
            <w:tcW w:w="0" w:type="dxa"/>
            <w:vAlign w:val="bottom"/>
          </w:tcPr>
          <w:p>
            <w:pPr>
              <w:spacing w:after="0"/>
              <w:rPr>
                <w:sz w:val="1"/>
                <w:szCs w:val="1"/>
                <w:color w:val="auto"/>
              </w:rPr>
            </w:pPr>
          </w:p>
        </w:tc>
      </w:tr>
      <w:tr>
        <w:trPr>
          <w:trHeight w:val="243"/>
        </w:trPr>
        <w:tc>
          <w:tcPr>
            <w:tcW w:w="28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21"/>
                <w:szCs w:val="21"/>
                <w:color w:val="auto"/>
              </w:rPr>
            </w:pPr>
          </w:p>
        </w:tc>
        <w:tc>
          <w:tcPr>
            <w:tcW w:w="104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and Earned</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7"/>
              </w:rPr>
              <w:t>Customers (a)</w:t>
            </w:r>
          </w:p>
        </w:tc>
        <w:tc>
          <w:tcPr>
            <w:tcW w:w="180" w:type="dxa"/>
            <w:vAlign w:val="bottom"/>
          </w:tcPr>
          <w:p>
            <w:pPr>
              <w:spacing w:after="0"/>
              <w:rPr>
                <w:sz w:val="21"/>
                <w:szCs w:val="21"/>
                <w:color w:val="auto"/>
              </w:rPr>
            </w:pPr>
          </w:p>
        </w:tc>
        <w:tc>
          <w:tcPr>
            <w:tcW w:w="224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0"/>
              </w:rPr>
              <w:t>Awarded (b)</w:t>
            </w:r>
          </w:p>
        </w:tc>
        <w:tc>
          <w:tcPr>
            <w:tcW w:w="160" w:type="dxa"/>
            <w:vAlign w:val="bottom"/>
          </w:tcPr>
          <w:p>
            <w:pPr>
              <w:spacing w:after="0"/>
              <w:rPr>
                <w:sz w:val="21"/>
                <w:szCs w:val="2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Miles (c)</w:t>
            </w:r>
          </w:p>
        </w:tc>
        <w:tc>
          <w:tcPr>
            <w:tcW w:w="0" w:type="dxa"/>
            <w:vAlign w:val="bottom"/>
          </w:tcPr>
          <w:p>
            <w:pPr>
              <w:spacing w:after="0"/>
              <w:rPr>
                <w:sz w:val="1"/>
                <w:szCs w:val="1"/>
                <w:color w:val="auto"/>
              </w:rPr>
            </w:pPr>
          </w:p>
        </w:tc>
      </w:tr>
      <w:tr>
        <w:trPr>
          <w:trHeight w:val="211"/>
        </w:trPr>
        <w:tc>
          <w:tcPr>
            <w:tcW w:w="2100" w:type="dxa"/>
            <w:vAlign w:val="bottom"/>
            <w:tcBorders>
              <w:top w:val="single" w:sz="8" w:color="auto"/>
            </w:tcBorders>
            <w:shd w:val="clear" w:color="auto" w:fill="CCCCCC"/>
          </w:tcPr>
          <w:p>
            <w:pPr>
              <w:jc w:val="right"/>
              <w:ind w:right="1672"/>
              <w:spacing w:after="0"/>
              <w:rPr>
                <w:sz w:val="20"/>
                <w:szCs w:val="20"/>
                <w:color w:val="auto"/>
              </w:rPr>
            </w:pPr>
            <w:r>
              <w:rPr>
                <w:rFonts w:ascii="Arial" w:cs="Arial" w:eastAsia="Arial" w:hAnsi="Arial"/>
                <w:sz w:val="18"/>
                <w:szCs w:val="18"/>
                <w:color w:val="auto"/>
                <w:w w:val="79"/>
              </w:rPr>
              <w:t>2015</w:t>
            </w:r>
          </w:p>
        </w:tc>
        <w:tc>
          <w:tcPr>
            <w:tcW w:w="74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2,999</w:t>
            </w:r>
          </w:p>
        </w:tc>
        <w:tc>
          <w:tcPr>
            <w:tcW w:w="86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1,050</w:t>
            </w:r>
          </w:p>
        </w:tc>
        <w:tc>
          <w:tcPr>
            <w:tcW w:w="86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2,173</w:t>
            </w:r>
          </w:p>
        </w:tc>
        <w:tc>
          <w:tcPr>
            <w:tcW w:w="86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jc w:val="right"/>
              <w:ind w:right="1672"/>
              <w:spacing w:after="0"/>
              <w:rPr>
                <w:sz w:val="20"/>
                <w:szCs w:val="20"/>
                <w:color w:val="auto"/>
              </w:rPr>
            </w:pPr>
            <w:r>
              <w:rPr>
                <w:rFonts w:ascii="Arial" w:cs="Arial" w:eastAsia="Arial" w:hAnsi="Arial"/>
                <w:sz w:val="18"/>
                <w:szCs w:val="18"/>
                <w:color w:val="auto"/>
                <w:w w:val="79"/>
              </w:rPr>
              <w:t>2014</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shd w:val="clear" w:color="auto" w:fill="CCCCCC"/>
          </w:tcPr>
          <w:p>
            <w:pPr>
              <w:jc w:val="right"/>
              <w:ind w:right="1672"/>
              <w:spacing w:after="0"/>
              <w:rPr>
                <w:sz w:val="20"/>
                <w:szCs w:val="20"/>
                <w:color w:val="auto"/>
              </w:rPr>
            </w:pPr>
            <w:r>
              <w:rPr>
                <w:rFonts w:ascii="Arial" w:cs="Arial" w:eastAsia="Arial" w:hAnsi="Arial"/>
                <w:sz w:val="18"/>
                <w:szCs w:val="18"/>
                <w:color w:val="auto"/>
                <w:w w:val="79"/>
              </w:rPr>
              <w:t>2013</w:t>
            </w:r>
          </w:p>
        </w:tc>
        <w:tc>
          <w:tcPr>
            <w:tcW w:w="740" w:type="dxa"/>
            <w:vAlign w:val="bottom"/>
            <w:tcBorders>
              <w:bottom w:val="single" w:sz="8" w:color="auto"/>
            </w:tcBorders>
            <w:shd w:val="clear" w:color="auto" w:fill="CCCCCC"/>
          </w:tcPr>
          <w:p>
            <w:pPr>
              <w:spacing w:after="0"/>
              <w:rPr>
                <w:sz w:val="18"/>
                <w:szCs w:val="18"/>
                <w:color w:val="auto"/>
              </w:rPr>
            </w:pPr>
          </w:p>
        </w:tc>
        <w:tc>
          <w:tcPr>
            <w:tcW w:w="160" w:type="dxa"/>
            <w:vAlign w:val="bottom"/>
            <w:tcBorders>
              <w:bottom w:val="single" w:sz="8" w:color="auto"/>
            </w:tcBorders>
            <w:shd w:val="clear" w:color="auto" w:fill="CCCCCC"/>
          </w:tcPr>
          <w:p>
            <w:pPr>
              <w:spacing w:after="0"/>
              <w:rPr>
                <w:sz w:val="18"/>
                <w:szCs w:val="18"/>
                <w:color w:val="auto"/>
              </w:rPr>
            </w:pPr>
          </w:p>
        </w:tc>
        <w:tc>
          <w:tcPr>
            <w:tcW w:w="10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2,903</w:t>
            </w:r>
          </w:p>
        </w:tc>
        <w:tc>
          <w:tcPr>
            <w:tcW w:w="86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903</w:t>
            </w:r>
          </w:p>
        </w:tc>
        <w:tc>
          <w:tcPr>
            <w:tcW w:w="86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2,174</w:t>
            </w:r>
          </w:p>
        </w:tc>
        <w:tc>
          <w:tcPr>
            <w:tcW w:w="86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94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000" w:hanging="182"/>
        <w:spacing w:after="0"/>
        <w:tabs>
          <w:tab w:leader="none" w:pos="1000" w:val="left"/>
        </w:tabs>
        <w:numPr>
          <w:ilvl w:val="1"/>
          <w:numId w:val="19"/>
        </w:numPr>
        <w:rPr>
          <w:rFonts w:ascii="Arial" w:cs="Arial" w:eastAsia="Arial" w:hAnsi="Arial"/>
          <w:sz w:val="12"/>
          <w:szCs w:val="12"/>
          <w:color w:val="auto"/>
        </w:rPr>
      </w:pPr>
      <w:r>
        <w:rPr>
          <w:rFonts w:ascii="Arial" w:cs="Arial" w:eastAsia="Arial" w:hAnsi="Arial"/>
          <w:sz w:val="12"/>
          <w:szCs w:val="12"/>
          <w:color w:val="auto"/>
        </w:rPr>
        <w:t>This amount represents other revenue recognized during the period from the sale of miles to third parties, representing the marketing-related deliverable services component of the sale.</w:t>
      </w:r>
    </w:p>
    <w:p>
      <w:pPr>
        <w:spacing w:after="0" w:line="22" w:lineRule="exact"/>
        <w:rPr>
          <w:rFonts w:ascii="Arial" w:cs="Arial" w:eastAsia="Arial" w:hAnsi="Arial"/>
          <w:sz w:val="12"/>
          <w:szCs w:val="12"/>
          <w:color w:val="auto"/>
        </w:rPr>
      </w:pPr>
    </w:p>
    <w:p>
      <w:pPr>
        <w:ind w:left="1000" w:hanging="182"/>
        <w:spacing w:after="0" w:line="221" w:lineRule="auto"/>
        <w:tabs>
          <w:tab w:leader="none" w:pos="1000"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This amount represents the increase to Frequent flyer deferred revenue during the period.</w:t>
      </w:r>
    </w:p>
    <w:p>
      <w:pPr>
        <w:ind w:left="1000" w:hanging="182"/>
        <w:spacing w:after="0"/>
        <w:tabs>
          <w:tab w:leader="none" w:pos="1000" w:val="left"/>
        </w:tabs>
        <w:numPr>
          <w:ilvl w:val="1"/>
          <w:numId w:val="19"/>
        </w:numPr>
        <w:rPr>
          <w:rFonts w:ascii="Arial" w:cs="Arial" w:eastAsia="Arial" w:hAnsi="Arial"/>
          <w:sz w:val="12"/>
          <w:szCs w:val="12"/>
          <w:color w:val="auto"/>
        </w:rPr>
      </w:pPr>
      <w:r>
        <w:rPr>
          <w:rFonts w:ascii="Arial" w:cs="Arial" w:eastAsia="Arial" w:hAnsi="Arial"/>
          <w:sz w:val="12"/>
          <w:szCs w:val="12"/>
          <w:color w:val="auto"/>
        </w:rPr>
        <w:t>This amount represents the net increase (decrease) in the advance purchase of miles obligation due to cash payments for the sale of miles in excess of (less than) miles awarded to customers.</w:t>
      </w:r>
    </w:p>
    <w:p>
      <w:pPr>
        <w:spacing w:after="0" w:line="116" w:lineRule="exact"/>
        <w:rPr>
          <w:rFonts w:ascii="Arial" w:cs="Arial" w:eastAsia="Arial" w:hAnsi="Arial"/>
          <w:sz w:val="12"/>
          <w:szCs w:val="12"/>
          <w:color w:val="auto"/>
        </w:rPr>
      </w:pPr>
    </w:p>
    <w:p>
      <w:pPr>
        <w:ind w:left="800" w:right="180" w:hanging="792"/>
        <w:spacing w:after="0" w:line="275"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and Restricted Cash— </w:t>
      </w:r>
      <w:r>
        <w:rPr>
          <w:rFonts w:ascii="Arial" w:cs="Arial" w:eastAsia="Arial" w:hAnsi="Arial"/>
          <w:sz w:val="18"/>
          <w:szCs w:val="18"/>
          <w:color w:val="auto"/>
        </w:rPr>
        <w:t>Highly liquid investments with a maturity of three months or less on their acquisition date are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as cash and cash equivalents.</w:t>
      </w:r>
    </w:p>
    <w:p>
      <w:pPr>
        <w:spacing w:after="0" w:line="71" w:lineRule="exact"/>
        <w:rPr>
          <w:rFonts w:ascii="Arial" w:cs="Arial" w:eastAsia="Arial" w:hAnsi="Arial"/>
          <w:sz w:val="18"/>
          <w:szCs w:val="18"/>
          <w:color w:val="auto"/>
        </w:rPr>
      </w:pPr>
    </w:p>
    <w:p>
      <w:pPr>
        <w:ind w:left="800" w:right="100"/>
        <w:spacing w:after="0" w:line="314" w:lineRule="auto"/>
        <w:rPr>
          <w:rFonts w:ascii="Arial" w:cs="Arial" w:eastAsia="Arial" w:hAnsi="Arial"/>
          <w:sz w:val="18"/>
          <w:szCs w:val="18"/>
          <w:color w:val="auto"/>
        </w:rPr>
      </w:pPr>
      <w:r>
        <w:rPr>
          <w:rFonts w:ascii="Arial" w:cs="Arial" w:eastAsia="Arial" w:hAnsi="Arial"/>
          <w:sz w:val="15"/>
          <w:szCs w:val="15"/>
          <w:color w:val="auto"/>
        </w:rPr>
        <w:t>Restricted cash primarily includes cash collateral associated with workers’ compensation obligations, reserves for institutions that process credit card ticket sales and cash collateral received from fuel hedge counterparties. Restricted cash is classified as short-term or long-term in the consolidated balance sheets based on the expected timing of return of the assets to the Company. Airline industry practice includes classification of restricted cash flows as either investing cash flows or operating cash flows. Cash flows related to restricted cash activity are classified as investing activities because the Company considers restricted cash arising from these activities similar to an investment. The Company’s net cash inflows associated with its restricted cash balances for the years ended December 31, 2015, 2014 and 2013 were $114 million, $75 million and $52 million, respectively.</w:t>
      </w:r>
    </w:p>
    <w:p>
      <w:pPr>
        <w:spacing w:after="0" w:line="58" w:lineRule="exact"/>
        <w:rPr>
          <w:rFonts w:ascii="Arial" w:cs="Arial" w:eastAsia="Arial" w:hAnsi="Arial"/>
          <w:sz w:val="18"/>
          <w:szCs w:val="18"/>
          <w:color w:val="auto"/>
        </w:rPr>
      </w:pPr>
    </w:p>
    <w:p>
      <w:pPr>
        <w:jc w:val="both"/>
        <w:ind w:left="800" w:right="20" w:hanging="792"/>
        <w:spacing w:after="0" w:line="310"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Short-term Investments—</w:t>
      </w:r>
      <w:r>
        <w:rPr>
          <w:rFonts w:ascii="Arial" w:cs="Arial" w:eastAsia="Arial" w:hAnsi="Arial"/>
          <w:sz w:val="16"/>
          <w:szCs w:val="16"/>
          <w:color w:val="auto"/>
        </w:rPr>
        <w:t>Short-term investments are classified as available-for-sale and are stated at fair value. Realized gains and losses on sales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are reflected in nonoperating income (expense) in the consolidated statements of operations. Unrealized gains and losses on available-for-sale securities are reflected as a component of accumulated other comprehensive income (loss).</w:t>
      </w:r>
    </w:p>
    <w:p>
      <w:pPr>
        <w:spacing w:after="0" w:line="56" w:lineRule="exact"/>
        <w:rPr>
          <w:rFonts w:ascii="Arial" w:cs="Arial" w:eastAsia="Arial" w:hAnsi="Arial"/>
          <w:sz w:val="16"/>
          <w:szCs w:val="16"/>
          <w:color w:val="auto"/>
        </w:rPr>
      </w:pPr>
    </w:p>
    <w:p>
      <w:pPr>
        <w:ind w:left="800" w:right="700" w:hanging="792"/>
        <w:spacing w:after="0" w:line="275"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Aircraft Fuel, Spare Parts and Supplies—</w:t>
      </w:r>
      <w:r>
        <w:rPr>
          <w:rFonts w:ascii="Arial" w:cs="Arial" w:eastAsia="Arial" w:hAnsi="Arial"/>
          <w:sz w:val="18"/>
          <w:szCs w:val="18"/>
          <w:color w:val="auto"/>
        </w:rPr>
        <w:t>The Company accounts for aircraft fuel, spare parts and supplies at average cost and provides an</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allowance for aircraft spare parts with an assumed residual value of 10% of original cost.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69" w:name="page70"/>
    <w:bookmarkEnd w:id="69"/>
    <w:p>
      <w:pPr>
        <w:ind w:left="800" w:hanging="792"/>
        <w:spacing w:after="0" w:line="301"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and Equipment—</w:t>
      </w:r>
      <w:r>
        <w:rPr>
          <w:rFonts w:ascii="Arial" w:cs="Arial" w:eastAsia="Arial" w:hAnsi="Arial"/>
          <w:sz w:val="16"/>
          <w:szCs w:val="16"/>
          <w:color w:val="auto"/>
        </w:rPr>
        <w:t>The Company records additions to owned operating property and equipment at cost when acquired. Property under</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leases and the related obligation for future lease payments are recorded at an amount equal to the initial present value of those lease payments. Modifications that enhance the operating performance or extend the useful lives of airframes or engines are capitalized as property and equipment. It is the Company’s policy to record compensation from delays in delivery of aircraft as a reduction of the cost of the related aircraft.</w:t>
      </w:r>
    </w:p>
    <w:p>
      <w:pPr>
        <w:spacing w:after="0" w:line="55" w:lineRule="exact"/>
        <w:rPr>
          <w:rFonts w:ascii="Arial" w:cs="Arial" w:eastAsia="Arial" w:hAnsi="Arial"/>
          <w:sz w:val="16"/>
          <w:szCs w:val="16"/>
          <w:color w:val="auto"/>
        </w:rPr>
      </w:pPr>
    </w:p>
    <w:p>
      <w:pPr>
        <w:ind w:left="800" w:right="20"/>
        <w:spacing w:after="0" w:line="294" w:lineRule="auto"/>
        <w:rPr>
          <w:rFonts w:ascii="Arial" w:cs="Arial" w:eastAsia="Arial" w:hAnsi="Arial"/>
          <w:sz w:val="16"/>
          <w:szCs w:val="16"/>
          <w:color w:val="auto"/>
        </w:rPr>
      </w:pPr>
      <w:r>
        <w:rPr>
          <w:rFonts w:ascii="Arial" w:cs="Arial" w:eastAsia="Arial" w:hAnsi="Arial"/>
          <w:sz w:val="16"/>
          <w:szCs w:val="16"/>
          <w:color w:val="auto"/>
        </w:rPr>
        <w:t>Depreciation and amortization of owned depreciable assets is based on the straight-line method over the assets’ estimated useful lives. Leasehold improvements are amortized over the remaining term of the lease, including estimated facility renewal options when renewal is reasonably assured at key airports, or the estimated useful life of the related asset, whichever is less. Properties under capital leases are amortized on the straight-line method over the life of the lease or, in the case of certain aircraft, over their estimated useful lives, whichever is shorter. Amortization of capital lease assets is included in depreciation and amortization expense. The estimated useful lives of property and equipment are as follows:</w:t>
      </w: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4760" w:type="dxa"/>
            <w:vAlign w:val="bottom"/>
          </w:tcPr>
          <w:p>
            <w:pPr>
              <w:spacing w:after="0"/>
              <w:rPr>
                <w:sz w:val="19"/>
                <w:szCs w:val="19"/>
                <w:color w:val="auto"/>
              </w:rPr>
            </w:pPr>
          </w:p>
        </w:tc>
        <w:tc>
          <w:tcPr>
            <w:tcW w:w="5040" w:type="dxa"/>
            <w:vAlign w:val="bottom"/>
            <w:gridSpan w:val="3"/>
          </w:tcPr>
          <w:p>
            <w:pPr>
              <w:ind w:left="2480"/>
              <w:spacing w:after="0"/>
              <w:rPr>
                <w:sz w:val="20"/>
                <w:szCs w:val="20"/>
                <w:color w:val="auto"/>
              </w:rPr>
            </w:pPr>
            <w:r>
              <w:rPr>
                <w:rFonts w:ascii="Arial" w:cs="Arial" w:eastAsia="Arial" w:hAnsi="Arial"/>
                <w:sz w:val="18"/>
                <w:szCs w:val="18"/>
                <w:b w:val="1"/>
                <w:bCs w:val="1"/>
                <w:color w:val="auto"/>
                <w:w w:val="94"/>
              </w:rPr>
              <w:t>Estimated Useful Life (in years)</w:t>
            </w:r>
          </w:p>
        </w:tc>
      </w:tr>
      <w:tr>
        <w:trPr>
          <w:trHeight w:val="212"/>
        </w:trPr>
        <w:tc>
          <w:tcPr>
            <w:tcW w:w="476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Aircraft and related rotable parts</w:t>
            </w:r>
          </w:p>
        </w:tc>
        <w:tc>
          <w:tcPr>
            <w:tcW w:w="2480" w:type="dxa"/>
            <w:vAlign w:val="bottom"/>
            <w:tcBorders>
              <w:top w:val="single" w:sz="8" w:color="CCCCCC"/>
            </w:tcBorders>
            <w:shd w:val="clear" w:color="auto" w:fill="CCCCCC"/>
          </w:tcPr>
          <w:p>
            <w:pPr>
              <w:spacing w:after="0"/>
              <w:rPr>
                <w:sz w:val="18"/>
                <w:szCs w:val="18"/>
                <w:color w:val="auto"/>
              </w:rPr>
            </w:pPr>
          </w:p>
        </w:tc>
        <w:tc>
          <w:tcPr>
            <w:tcW w:w="24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25 to 30</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Buildings</w:t>
            </w:r>
          </w:p>
        </w:tc>
        <w:tc>
          <w:tcPr>
            <w:tcW w:w="2480" w:type="dxa"/>
            <w:vAlign w:val="bottom"/>
          </w:tcPr>
          <w:p>
            <w:pPr>
              <w:spacing w:after="0"/>
              <w:rPr>
                <w:sz w:val="18"/>
                <w:szCs w:val="18"/>
                <w:color w:val="auto"/>
              </w:rPr>
            </w:pPr>
          </w:p>
        </w:tc>
        <w:tc>
          <w:tcPr>
            <w:tcW w:w="2560" w:type="dxa"/>
            <w:vAlign w:val="bottom"/>
            <w:gridSpan w:val="2"/>
          </w:tcPr>
          <w:p>
            <w:pPr>
              <w:jc w:val="right"/>
              <w:ind w:right="140"/>
              <w:spacing w:after="0"/>
              <w:rPr>
                <w:sz w:val="20"/>
                <w:szCs w:val="20"/>
                <w:color w:val="auto"/>
              </w:rPr>
            </w:pPr>
            <w:r>
              <w:rPr>
                <w:rFonts w:ascii="Arial" w:cs="Arial" w:eastAsia="Arial" w:hAnsi="Arial"/>
                <w:sz w:val="18"/>
                <w:szCs w:val="18"/>
                <w:color w:val="auto"/>
              </w:rPr>
              <w:t>25 to 45</w:t>
            </w:r>
          </w:p>
        </w:tc>
      </w:tr>
      <w:tr>
        <w:trPr>
          <w:trHeight w:val="216"/>
        </w:trPr>
        <w:tc>
          <w:tcPr>
            <w:tcW w:w="4760" w:type="dxa"/>
            <w:vAlign w:val="bottom"/>
            <w:shd w:val="clear" w:color="auto" w:fill="CCCCCC"/>
          </w:tcPr>
          <w:p>
            <w:pPr>
              <w:spacing w:after="0"/>
              <w:rPr>
                <w:sz w:val="20"/>
                <w:szCs w:val="20"/>
                <w:color w:val="auto"/>
              </w:rPr>
            </w:pPr>
            <w:r>
              <w:rPr>
                <w:rFonts w:ascii="Arial" w:cs="Arial" w:eastAsia="Arial" w:hAnsi="Arial"/>
                <w:sz w:val="18"/>
                <w:szCs w:val="18"/>
                <w:color w:val="auto"/>
              </w:rPr>
              <w:t>Other property and equipment</w:t>
            </w:r>
          </w:p>
        </w:tc>
        <w:tc>
          <w:tcPr>
            <w:tcW w:w="2480" w:type="dxa"/>
            <w:vAlign w:val="bottom"/>
            <w:shd w:val="clear" w:color="auto" w:fill="CCCCCC"/>
          </w:tcPr>
          <w:p>
            <w:pPr>
              <w:spacing w:after="0"/>
              <w:rPr>
                <w:sz w:val="18"/>
                <w:szCs w:val="18"/>
                <w:color w:val="auto"/>
              </w:rPr>
            </w:pPr>
          </w:p>
        </w:tc>
        <w:tc>
          <w:tcPr>
            <w:tcW w:w="256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3 to 15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software</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4760" w:type="dxa"/>
            <w:vAlign w:val="bottom"/>
            <w:shd w:val="clear" w:color="auto" w:fill="CCCCCC"/>
          </w:tcPr>
          <w:p>
            <w:pPr>
              <w:spacing w:after="0"/>
              <w:rPr>
                <w:sz w:val="20"/>
                <w:szCs w:val="20"/>
                <w:color w:val="auto"/>
              </w:rPr>
            </w:pPr>
            <w:r>
              <w:rPr>
                <w:rFonts w:ascii="Arial" w:cs="Arial" w:eastAsia="Arial" w:hAnsi="Arial"/>
                <w:sz w:val="18"/>
                <w:szCs w:val="18"/>
                <w:color w:val="auto"/>
              </w:rPr>
              <w:t>Building improvements</w:t>
            </w:r>
          </w:p>
        </w:tc>
        <w:tc>
          <w:tcPr>
            <w:tcW w:w="2480" w:type="dxa"/>
            <w:vAlign w:val="bottom"/>
            <w:shd w:val="clear" w:color="auto" w:fill="CCCCCC"/>
          </w:tcPr>
          <w:p>
            <w:pPr>
              <w:spacing w:after="0"/>
              <w:rPr>
                <w:sz w:val="18"/>
                <w:szCs w:val="18"/>
                <w:color w:val="auto"/>
              </w:rPr>
            </w:pPr>
          </w:p>
        </w:tc>
        <w:tc>
          <w:tcPr>
            <w:tcW w:w="256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 to 40</w:t>
            </w:r>
          </w:p>
        </w:tc>
      </w:tr>
    </w:tbl>
    <w:p>
      <w:pPr>
        <w:spacing w:after="0" w:line="100" w:lineRule="exact"/>
        <w:rPr>
          <w:sz w:val="20"/>
          <w:szCs w:val="20"/>
          <w:color w:val="auto"/>
        </w:rPr>
      </w:pPr>
    </w:p>
    <w:p>
      <w:pPr>
        <w:ind w:left="800" w:right="120"/>
        <w:spacing w:after="0" w:line="298" w:lineRule="auto"/>
        <w:rPr>
          <w:sz w:val="20"/>
          <w:szCs w:val="20"/>
          <w:color w:val="auto"/>
        </w:rPr>
      </w:pPr>
      <w:r>
        <w:rPr>
          <w:rFonts w:ascii="Arial" w:cs="Arial" w:eastAsia="Arial" w:hAnsi="Arial"/>
          <w:sz w:val="16"/>
          <w:szCs w:val="16"/>
          <w:color w:val="auto"/>
        </w:rPr>
        <w:t>As of December 31, 2015 and 2014, the Company had a carrying value of computer software of $279 million and $281 million, respectively. For the years ended December 31, 2015, 2014 and 2013, the Company’s depreciation expense related to computer software was $93 million, $81 million and $72 million, respectively. Aircraft and aircraft spare parts were assumed to have residual values of approximately 10% of original cost, and other categories of property and equipment were assumed to have no residual value.</w:t>
      </w:r>
    </w:p>
    <w:p>
      <w:pPr>
        <w:spacing w:after="0" w:line="66" w:lineRule="exact"/>
        <w:rPr>
          <w:sz w:val="20"/>
          <w:szCs w:val="20"/>
          <w:color w:val="auto"/>
        </w:rPr>
      </w:pPr>
    </w:p>
    <w:p>
      <w:pPr>
        <w:ind w:left="800" w:right="40" w:hanging="792"/>
        <w:spacing w:after="0" w:line="320" w:lineRule="auto"/>
        <w:tabs>
          <w:tab w:leader="none" w:pos="800"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Maintenance and Repairs—</w:t>
      </w:r>
      <w:r>
        <w:rPr>
          <w:rFonts w:ascii="Arial" w:cs="Arial" w:eastAsia="Arial" w:hAnsi="Arial"/>
          <w:sz w:val="15"/>
          <w:szCs w:val="15"/>
          <w:color w:val="auto"/>
        </w:rPr>
        <w:t>The cost of maintenance and repairs, including the cost of minor replacements, is charged to expense as incurred, except</w:t>
      </w:r>
      <w:r>
        <w:rPr>
          <w:rFonts w:ascii="Arial" w:cs="Arial" w:eastAsia="Arial" w:hAnsi="Arial"/>
          <w:sz w:val="15"/>
          <w:szCs w:val="15"/>
          <w:b w:val="1"/>
          <w:bCs w:val="1"/>
          <w:color w:val="auto"/>
        </w:rPr>
        <w:t xml:space="preserve"> </w:t>
      </w:r>
      <w:r>
        <w:rPr>
          <w:rFonts w:ascii="Arial" w:cs="Arial" w:eastAsia="Arial" w:hAnsi="Arial"/>
          <w:sz w:val="15"/>
          <w:szCs w:val="15"/>
          <w:color w:val="auto"/>
        </w:rPr>
        <w:t>for costs incurred under our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52" w:lineRule="exact"/>
        <w:rPr>
          <w:rFonts w:ascii="Arial" w:cs="Arial" w:eastAsia="Arial" w:hAnsi="Arial"/>
          <w:sz w:val="15"/>
          <w:szCs w:val="15"/>
          <w:color w:val="auto"/>
        </w:rPr>
      </w:pPr>
    </w:p>
    <w:p>
      <w:pPr>
        <w:ind w:left="800" w:right="80" w:hanging="792"/>
        <w:spacing w:after="0" w:line="275"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Lease Fair Value Adjustments—</w:t>
      </w:r>
      <w:r>
        <w:rPr>
          <w:rFonts w:ascii="Arial" w:cs="Arial" w:eastAsia="Arial" w:hAnsi="Arial"/>
          <w:sz w:val="18"/>
          <w:szCs w:val="18"/>
          <w:color w:val="auto"/>
        </w:rPr>
        <w:t>Lease fair value adjustments, which arose from recording operating leases at fair value under fresh start 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accounting, are amortized on a straight-line basis over the related lease term.</w:t>
      </w:r>
    </w:p>
    <w:p>
      <w:pPr>
        <w:spacing w:after="0" w:line="79" w:lineRule="exact"/>
        <w:rPr>
          <w:rFonts w:ascii="Arial" w:cs="Arial" w:eastAsia="Arial" w:hAnsi="Arial"/>
          <w:sz w:val="18"/>
          <w:szCs w:val="18"/>
          <w:color w:val="auto"/>
        </w:rPr>
      </w:pPr>
    </w:p>
    <w:p>
      <w:pPr>
        <w:ind w:left="800" w:right="540" w:hanging="792"/>
        <w:spacing w:after="0" w:line="275"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Regional Capacity Purchase—</w:t>
      </w:r>
      <w:r>
        <w:rPr>
          <w:rFonts w:ascii="Arial" w:cs="Arial" w:eastAsia="Arial" w:hAnsi="Arial"/>
          <w:sz w:val="18"/>
          <w:szCs w:val="18"/>
          <w:color w:val="auto"/>
        </w:rPr>
        <w:t>Payments made to regional carriers under CPAs are reported in Regional capacity purchase in our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w:t>
      </w:r>
    </w:p>
    <w:p>
      <w:pPr>
        <w:spacing w:after="0" w:line="79" w:lineRule="exact"/>
        <w:rPr>
          <w:rFonts w:ascii="Arial" w:cs="Arial" w:eastAsia="Arial" w:hAnsi="Arial"/>
          <w:sz w:val="18"/>
          <w:szCs w:val="18"/>
          <w:color w:val="auto"/>
        </w:rPr>
      </w:pPr>
    </w:p>
    <w:p>
      <w:pPr>
        <w:ind w:left="800" w:right="120" w:hanging="792"/>
        <w:spacing w:after="0" w:line="275"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Advertising—</w:t>
      </w:r>
      <w:r>
        <w:rPr>
          <w:rFonts w:ascii="Arial" w:cs="Arial" w:eastAsia="Arial" w:hAnsi="Arial"/>
          <w:sz w:val="18"/>
          <w:szCs w:val="18"/>
          <w:color w:val="auto"/>
        </w:rPr>
        <w:t>Advertising costs, which are included in Other operating expenses, are expensed as incurred. Advertising expenses were $201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$179 million and $178 million for the years ended December 31, 2015, 2014 and 2013, respectively.</w:t>
      </w:r>
    </w:p>
    <w:p>
      <w:pPr>
        <w:spacing w:after="0" w:line="79" w:lineRule="exact"/>
        <w:rPr>
          <w:rFonts w:ascii="Arial" w:cs="Arial" w:eastAsia="Arial" w:hAnsi="Arial"/>
          <w:sz w:val="18"/>
          <w:szCs w:val="18"/>
          <w:color w:val="auto"/>
        </w:rPr>
      </w:pPr>
    </w:p>
    <w:p>
      <w:pPr>
        <w:ind w:left="800" w:right="160" w:hanging="792"/>
        <w:spacing w:after="0" w:line="262"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Intangibles—</w:t>
      </w:r>
      <w:r>
        <w:rPr>
          <w:rFonts w:ascii="Arial" w:cs="Arial" w:eastAsia="Arial" w:hAnsi="Arial"/>
          <w:sz w:val="18"/>
          <w:szCs w:val="18"/>
          <w:color w:val="auto"/>
        </w:rPr>
        <w:t>The Company has finite-lived and indefinite-lived intangible assets, including goodwill. Finite-lived intangible assets are amortized</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their estimated useful lives. Goodwill and indefinite-lived intangible assets are not amortized but are reviewed for impairment annually or more frequently if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0" w:name="page71"/>
    <w:bookmarkEnd w:id="70"/>
    <w:p>
      <w:pPr>
        <w:jc w:val="both"/>
        <w:ind w:left="792" w:right="1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events or circumstances indicate that the asset may be impaired. Goodwill and indefinite-lived assets are reviewed for impairment on an annual basis as of October 1, or on an interim basis whenever a triggering event occurs. See Note 2 of this report for additional information related to intangibles.</w:t>
      </w:r>
    </w:p>
    <w:p>
      <w:pPr>
        <w:spacing w:after="0" w:line="16" w:lineRule="exact"/>
        <w:rPr>
          <w:sz w:val="20"/>
          <w:szCs w:val="20"/>
          <w:color w:val="auto"/>
        </w:rPr>
      </w:pPr>
    </w:p>
    <w:p>
      <w:pPr>
        <w:ind w:left="792" w:hanging="792"/>
        <w:spacing w:after="0" w:line="296" w:lineRule="auto"/>
        <w:tabs>
          <w:tab w:leader="none" w:pos="792"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Long-Lived Asset Impairments—</w:t>
      </w:r>
      <w:r>
        <w:rPr>
          <w:rFonts w:ascii="Arial" w:cs="Arial" w:eastAsia="Arial" w:hAnsi="Arial"/>
          <w:sz w:val="16"/>
          <w:szCs w:val="16"/>
          <w:color w:val="auto"/>
        </w:rPr>
        <w:t>The Company evaluates the carrying value of long-lived assets subject to amortization whenever events or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in circumstances indicate that an impairment may exist. For purposes of this testing, the Company has generally identified the aircraft fleet type as the lowest level of identifiable cash flows. An impairment charge is recognized when the asset’s carrying value exceeds its net undiscounted future cash flows and its fair market value. The amount of the charge is the difference between the asset’s carrying value and fair market value. See Note 16 of this report for additional information related to asset impairments.</w:t>
      </w:r>
    </w:p>
    <w:p>
      <w:pPr>
        <w:spacing w:after="0" w:line="67" w:lineRule="exact"/>
        <w:rPr>
          <w:rFonts w:ascii="Arial" w:cs="Arial" w:eastAsia="Arial" w:hAnsi="Arial"/>
          <w:sz w:val="16"/>
          <w:szCs w:val="16"/>
          <w:color w:val="auto"/>
        </w:rPr>
      </w:pPr>
    </w:p>
    <w:p>
      <w:pPr>
        <w:ind w:left="792" w:right="20" w:hanging="792"/>
        <w:spacing w:after="0" w:line="290" w:lineRule="auto"/>
        <w:tabs>
          <w:tab w:leader="none" w:pos="792"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Share-Based Compensation—</w:t>
      </w:r>
      <w:r>
        <w:rPr>
          <w:rFonts w:ascii="Arial" w:cs="Arial" w:eastAsia="Arial" w:hAnsi="Arial"/>
          <w:sz w:val="16"/>
          <w:szCs w:val="16"/>
          <w:color w:val="auto"/>
        </w:rPr>
        <w:t>The Company measures the cost of employee services received in exchange for an award of equity instruments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grant-date fair value of the award. The resulting cost is recognized over the period during which an employee is required to provide service in exchange for the award, usually the vesting period. Obligations for cash-settled restricted stock units (“RSUs”) are remeasured at fair value throughout the requisite service period on the last day of each reporting period based upon UAL’s stock price. In addition to the service requirement, certain RSUs have performance metrics that must be achieved prior to vesting. These awards are accrued based on the expected level of achievement at each reporting period. A cumulative adjustment is recorded on the last day of each reporting period to adjust compensation expense based on both UAL’s stock price and the then current level of expected performance achievement for the performance-based awards. See Note 5 of this report for additional information on UAL’s share-based compensation plans.</w:t>
      </w:r>
    </w:p>
    <w:p>
      <w:pPr>
        <w:spacing w:after="0" w:line="71" w:lineRule="exact"/>
        <w:rPr>
          <w:rFonts w:ascii="Arial" w:cs="Arial" w:eastAsia="Arial" w:hAnsi="Arial"/>
          <w:sz w:val="16"/>
          <w:szCs w:val="16"/>
          <w:color w:val="auto"/>
        </w:rPr>
      </w:pPr>
    </w:p>
    <w:p>
      <w:pPr>
        <w:ind w:left="792" w:right="160" w:hanging="792"/>
        <w:spacing w:after="0" w:line="378" w:lineRule="auto"/>
        <w:tabs>
          <w:tab w:leader="none" w:pos="792" w:val="left"/>
        </w:tabs>
        <w:numPr>
          <w:ilvl w:val="0"/>
          <w:numId w:val="23"/>
        </w:numPr>
        <w:rPr>
          <w:rFonts w:ascii="Arial" w:cs="Arial" w:eastAsia="Arial" w:hAnsi="Arial"/>
          <w:sz w:val="15"/>
          <w:szCs w:val="15"/>
          <w:color w:val="auto"/>
        </w:rPr>
      </w:pPr>
      <w:r>
        <w:rPr>
          <w:rFonts w:ascii="Arial" w:cs="Arial" w:eastAsia="Arial" w:hAnsi="Arial"/>
          <w:sz w:val="15"/>
          <w:szCs w:val="15"/>
          <w:b w:val="1"/>
          <w:bCs w:val="1"/>
          <w:color w:val="auto"/>
        </w:rPr>
        <w:t>Ticket Taxes—</w:t>
      </w:r>
      <w:r>
        <w:rPr>
          <w:rFonts w:ascii="Arial" w:cs="Arial" w:eastAsia="Arial" w:hAnsi="Arial"/>
          <w:sz w:val="15"/>
          <w:szCs w:val="15"/>
          <w:color w:val="auto"/>
        </w:rPr>
        <w:t>Certain governmental taxes are imposed on the Company’s ticket sales through a fee included in ticket prices. The Company collects</w:t>
      </w:r>
      <w:r>
        <w:rPr>
          <w:rFonts w:ascii="Arial" w:cs="Arial" w:eastAsia="Arial" w:hAnsi="Arial"/>
          <w:sz w:val="15"/>
          <w:szCs w:val="15"/>
          <w:b w:val="1"/>
          <w:bCs w:val="1"/>
          <w:color w:val="auto"/>
        </w:rPr>
        <w:t xml:space="preserve"> </w:t>
      </w:r>
      <w:r>
        <w:rPr>
          <w:rFonts w:ascii="Arial" w:cs="Arial" w:eastAsia="Arial" w:hAnsi="Arial"/>
          <w:sz w:val="15"/>
          <w:szCs w:val="15"/>
          <w:color w:val="auto"/>
        </w:rPr>
        <w:t>these fees and remits them to the appropriate government agency. These fees are recorded on a net basis (excluded from operating revenue).</w:t>
      </w:r>
    </w:p>
    <w:p>
      <w:pPr>
        <w:spacing w:after="0" w:line="10" w:lineRule="exact"/>
        <w:rPr>
          <w:rFonts w:ascii="Arial" w:cs="Arial" w:eastAsia="Arial" w:hAnsi="Arial"/>
          <w:sz w:val="15"/>
          <w:szCs w:val="15"/>
          <w:color w:val="auto"/>
        </w:rPr>
      </w:pPr>
    </w:p>
    <w:p>
      <w:pPr>
        <w:ind w:left="792" w:right="180" w:hanging="792"/>
        <w:spacing w:after="0" w:line="296" w:lineRule="auto"/>
        <w:tabs>
          <w:tab w:leader="none" w:pos="792"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Retirement of Leased Aircraft—</w:t>
      </w:r>
      <w:r>
        <w:rPr>
          <w:rFonts w:ascii="Arial" w:cs="Arial" w:eastAsia="Arial" w:hAnsi="Arial"/>
          <w:sz w:val="16"/>
          <w:szCs w:val="16"/>
          <w:color w:val="auto"/>
        </w:rPr>
        <w:t>The Company accrues for estimated lease costs over the remaining term of the lease at the present value of future</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lease payments, net of estimated sublease rentals (if any), in the period that aircraft are permanently removed from service. When reasonably estimable and probable, the Company estimates maintenance lease return condition obligations for items such as minimum aircraft and engine conditions specified in leases and accrues these amounts over the lease term while the aircraft are operating, and any remaining unrecognized estimated obligations are accrued in the period that an aircraft is removed from service.</w:t>
      </w:r>
    </w:p>
    <w:p>
      <w:pPr>
        <w:spacing w:after="0" w:line="67" w:lineRule="exact"/>
        <w:rPr>
          <w:rFonts w:ascii="Arial" w:cs="Arial" w:eastAsia="Arial" w:hAnsi="Arial"/>
          <w:sz w:val="16"/>
          <w:szCs w:val="16"/>
          <w:color w:val="auto"/>
        </w:rPr>
      </w:pPr>
    </w:p>
    <w:p>
      <w:pPr>
        <w:ind w:left="792" w:right="60" w:hanging="792"/>
        <w:spacing w:after="0" w:line="289" w:lineRule="auto"/>
        <w:tabs>
          <w:tab w:leader="none" w:pos="792"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Uncertain Income Tax Positions—</w:t>
      </w:r>
      <w:r>
        <w:rPr>
          <w:rFonts w:ascii="Arial" w:cs="Arial" w:eastAsia="Arial" w:hAnsi="Arial"/>
          <w:sz w:val="16"/>
          <w:szCs w:val="16"/>
          <w:color w:val="auto"/>
        </w:rPr>
        <w:t>The Company has recorded reserves for income taxes and associated interest that may become payable in future</w:t>
      </w:r>
      <w:r>
        <w:rPr>
          <w:rFonts w:ascii="Arial" w:cs="Arial" w:eastAsia="Arial" w:hAnsi="Arial"/>
          <w:sz w:val="16"/>
          <w:szCs w:val="16"/>
          <w:b w:val="1"/>
          <w:bCs w:val="1"/>
          <w:color w:val="auto"/>
        </w:rPr>
        <w:t xml:space="preserve"> </w:t>
      </w:r>
      <w:r>
        <w:rPr>
          <w:rFonts w:ascii="Arial" w:cs="Arial" w:eastAsia="Arial" w:hAnsi="Arial"/>
          <w:sz w:val="16"/>
          <w:szCs w:val="16"/>
          <w:color w:val="auto"/>
        </w:rPr>
        <w:t>years. Although management believes that its positions taken on income tax matters are reasonable, the Company nevertheless has established tax and interest reserves in recognition that various taxing authorities may challenge certain of the positions taken by the Company, potentially resulting in additional liabilities for taxes and interest. The Company’s uncertain tax position reserves are reviewed periodically and are adjusted as events occur that affect its estimates, such as the 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in Other operating expense and Interest expense, respectively, in its consolidated statements of operations. The Company has not recorded any significant expense or liabilities related to interest or penalties in its consolidated financial statements.</w:t>
      </w:r>
    </w:p>
    <w:p>
      <w:pPr>
        <w:spacing w:after="0" w:line="72" w:lineRule="exact"/>
        <w:rPr>
          <w:rFonts w:ascii="Arial" w:cs="Arial" w:eastAsia="Arial" w:hAnsi="Arial"/>
          <w:sz w:val="16"/>
          <w:szCs w:val="16"/>
          <w:color w:val="auto"/>
        </w:rPr>
      </w:pPr>
    </w:p>
    <w:p>
      <w:pPr>
        <w:ind w:left="792" w:right="20" w:hanging="792"/>
        <w:spacing w:after="0" w:line="258" w:lineRule="auto"/>
        <w:tabs>
          <w:tab w:leader="none" w:pos="7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Labor Costs—</w:t>
      </w:r>
      <w:r>
        <w:rPr>
          <w:rFonts w:ascii="Arial" w:cs="Arial" w:eastAsia="Arial" w:hAnsi="Arial"/>
          <w:sz w:val="18"/>
          <w:szCs w:val="18"/>
          <w:color w:val="auto"/>
        </w:rPr>
        <w:t>The Company records expenses associated with amendable labor agreements when the amounts are probable and estimable.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costs associated with lump sum cash payments that would be made in conjunction with the ratification of labor agreements. To the extent these upfront costs are in lieu of future pay increases, they would be capitalized and amortized over the term of the labor agreements. If not, these amounts would be expensed.</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12"/>
          </w:cols>
          <w:pgMar w:left="248" w:top="280" w:right="239" w:bottom="1440" w:gutter="0" w:footer="0" w:header="0"/>
        </w:sectPr>
      </w:pPr>
    </w:p>
    <w:bookmarkStart w:id="71" w:name="page72"/>
    <w:bookmarkEnd w:id="71"/>
    <w:p>
      <w:pPr>
        <w:ind w:left="800" w:right="60" w:hanging="792"/>
        <w:spacing w:after="0" w:line="301"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Third-Party Business—</w:t>
      </w:r>
      <w:r>
        <w:rPr>
          <w:rFonts w:ascii="Arial" w:cs="Arial" w:eastAsia="Arial" w:hAnsi="Arial"/>
          <w:sz w:val="16"/>
          <w:szCs w:val="16"/>
          <w:color w:val="auto"/>
        </w:rPr>
        <w:t>The Company has third-party business revenue that includes fuel sales, catering, ground handling, maintenance services and</w:t>
      </w:r>
      <w:r>
        <w:rPr>
          <w:rFonts w:ascii="Arial" w:cs="Arial" w:eastAsia="Arial" w:hAnsi="Arial"/>
          <w:sz w:val="16"/>
          <w:szCs w:val="16"/>
          <w:b w:val="1"/>
          <w:bCs w:val="1"/>
          <w:color w:val="auto"/>
        </w:rPr>
        <w:t xml:space="preserve"> </w:t>
      </w:r>
      <w:r>
        <w:rPr>
          <w:rFonts w:ascii="Arial" w:cs="Arial" w:eastAsia="Arial" w:hAnsi="Arial"/>
          <w:sz w:val="16"/>
          <w:szCs w:val="16"/>
          <w:color w:val="auto"/>
        </w:rPr>
        <w:t>frequent flyer award non-air redemptions, and third-party business revenue is recorded in Other operating revenue. The Company also incurs third-party business expenses, such as maintenance, ground handling and catering services for third parties, fuel sales and non-air mileage redemptions, and those third-party business expenses are recorded in Other operating expenses.</w:t>
      </w:r>
    </w:p>
    <w:p>
      <w:pPr>
        <w:spacing w:after="0" w:line="62" w:lineRule="exact"/>
        <w:rPr>
          <w:rFonts w:ascii="Arial" w:cs="Arial" w:eastAsia="Arial" w:hAnsi="Arial"/>
          <w:sz w:val="16"/>
          <w:szCs w:val="16"/>
          <w:color w:val="auto"/>
        </w:rPr>
      </w:pPr>
    </w:p>
    <w:p>
      <w:pPr>
        <w:ind w:left="800" w:hanging="792"/>
        <w:spacing w:after="0" w:line="289"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Recently Issued Accounting Standards—</w:t>
      </w:r>
      <w:r>
        <w:rPr>
          <w:rFonts w:ascii="Arial" w:cs="Arial" w:eastAsia="Arial" w:hAnsi="Arial"/>
          <w:sz w:val="16"/>
          <w:szCs w:val="16"/>
          <w:color w:val="auto"/>
        </w:rPr>
        <w:t>The Financial Accounting Standards Board (“FASB”) amended the FASB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Codification and created a new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amendment prescribes that an entity should recognize revenue to depict the transfer of promised goods or services to customers in an amount that reflects the consideration to which the entity expects to be entitled in exchange for those goods or services. The amendment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and most industry-specific guidance throughout the Industry Topics of the Codification, and is effective for annual and interim reporting periods beginning after December 15, 2017. Under the new standard, certain airline ancillary fees directly related to passenger revenue tickets, such as airline change fees and baggage fees, are likely to no longer be considered distinct performance obligations separate from the passenger travel component. In addition, the change fees which were previously recognized when received, will likely be recognized when transportation is provided. The Company is evaluating other impacts on its consolidated financial statements.</w:t>
      </w:r>
    </w:p>
    <w:p>
      <w:pPr>
        <w:spacing w:after="0" w:line="64" w:lineRule="exact"/>
        <w:rPr>
          <w:rFonts w:ascii="Arial" w:cs="Arial" w:eastAsia="Arial" w:hAnsi="Arial"/>
          <w:sz w:val="16"/>
          <w:szCs w:val="16"/>
          <w:color w:val="auto"/>
        </w:rPr>
      </w:pPr>
    </w:p>
    <w:p>
      <w:pPr>
        <w:ind w:left="800" w:right="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FASB issued Accounting Standards Update No. 2015-03, </w:t>
      </w:r>
      <w:r>
        <w:rPr>
          <w:rFonts w:ascii="Arial" w:cs="Arial" w:eastAsia="Arial" w:hAnsi="Arial"/>
          <w:sz w:val="16"/>
          <w:szCs w:val="16"/>
          <w:i w:val="1"/>
          <w:iCs w:val="1"/>
          <w:color w:val="auto"/>
        </w:rPr>
        <w:t>Interest—Imputation of Interest (Subtopic 835-30): Simplifying the Presentation of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Issuance Costs. </w:t>
      </w:r>
      <w:r>
        <w:rPr>
          <w:rFonts w:ascii="Arial" w:cs="Arial" w:eastAsia="Arial" w:hAnsi="Arial"/>
          <w:sz w:val="16"/>
          <w:szCs w:val="16"/>
          <w:color w:val="auto"/>
        </w:rPr>
        <w:t>This standard amends existing guidance to require the presentation of debt issuance costs in the balance sheet as a deduction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carrying amount of the related debt liability instead of a deferred charge. The Company adopted the standard as of December 31, 2015. As a result of the adoption, unamortized debt issuance costs previously recorded as an asset on the Company’s balance sheet included under the caption Other, net are now reclassified and presented as a deduction from the carrying amount of the related debt liability. The reclassified amounts were $170 million and $167 million as of December 31, 2015 and 2014, respectively.</w:t>
      </w:r>
    </w:p>
    <w:p>
      <w:pPr>
        <w:spacing w:after="0" w:line="66" w:lineRule="exact"/>
        <w:rPr>
          <w:rFonts w:ascii="Arial" w:cs="Arial" w:eastAsia="Arial" w:hAnsi="Arial"/>
          <w:sz w:val="16"/>
          <w:szCs w:val="16"/>
          <w:color w:val="auto"/>
        </w:rPr>
      </w:pPr>
    </w:p>
    <w:p>
      <w:pPr>
        <w:ind w:left="80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The FASB issued Accounting Standards Update No. 2015-07, </w:t>
      </w:r>
      <w:r>
        <w:rPr>
          <w:rFonts w:ascii="Arial" w:cs="Arial" w:eastAsia="Arial" w:hAnsi="Arial"/>
          <w:sz w:val="16"/>
          <w:szCs w:val="16"/>
          <w:i w:val="1"/>
          <w:iCs w:val="1"/>
          <w:color w:val="auto"/>
        </w:rPr>
        <w:t>Fair Value Measurement (Topic 820): Disclosures for Investments in Certain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Calculate Net Asset Value per Share (or Its Equivalent). </w:t>
      </w:r>
      <w:r>
        <w:rPr>
          <w:rFonts w:ascii="Arial" w:cs="Arial" w:eastAsia="Arial" w:hAnsi="Arial"/>
          <w:sz w:val="16"/>
          <w:szCs w:val="16"/>
          <w:color w:val="auto"/>
        </w:rPr>
        <w:t>Under the standard, investments for which fair value is measured at net asset value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(or its equivalent) using the practical expedient will no longer be categorized in the fair value hierarchy. It is effective for fiscal years and interim periods beginning after December 15, 2015, but early adoption is permitted. As of December 31, 2015, the Company had approximately $200 million of such investments as part of Short-term investments balance sheet total. In addition, pension plan investments measured at net asset value per share will no longer be categorized within the fair value hierarchy. As of December 31, 2015, the Company had approximately $1.4 billion of such investments. The Company is evaluating other impacts on its consolidated financial statements.</w:t>
      </w:r>
    </w:p>
    <w:p>
      <w:pPr>
        <w:spacing w:after="0" w:line="64" w:lineRule="exact"/>
        <w:rPr>
          <w:rFonts w:ascii="Arial" w:cs="Arial" w:eastAsia="Arial" w:hAnsi="Arial"/>
          <w:sz w:val="16"/>
          <w:szCs w:val="16"/>
          <w:color w:val="auto"/>
        </w:rPr>
      </w:pPr>
    </w:p>
    <w:p>
      <w:pPr>
        <w:ind w:left="800" w:right="2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FASB issued Accounting Standards Update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This standard amends existing guidance to require companies to classify all deferred tax assets and liabilities as noncurrent in the statement of financial position. For a particular tax-paying component of an entity and within a particular tax jurisdiction, all deferred tax liabilities and assets, as well as any related valuation allowance, shall be offset and presented as a single noncurrent amount. As a result, companies will no longer allocate valuation allowances between current and noncurrent deferred tax assets because those allowances also will be classified as noncurrent. As of December 31, 2015, the Company adopted this standard and reclassified approximately $1.5 billion from Current assets: Deferred income taxes to Other assets: Deferred income taxes as of December 31, 2015, and reclassified $591 million from Current assets: Deferred income taxes to Other liabilities and deferred credits: Deferred income taxes as of December 31, 2014.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2 - GOODWILL AND OTHER INTANGIBLE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goodwill and other intangible assets at December 31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gridSpan w:val="3"/>
            <w:vMerge w:val="restart"/>
          </w:tcPr>
          <w:p>
            <w:pPr>
              <w:ind w:left="2000"/>
              <w:spacing w:after="0"/>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Gross Carrying</w:t>
            </w:r>
          </w:p>
        </w:tc>
        <w:tc>
          <w:tcPr>
            <w:tcW w:w="6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Gross Carrying</w:t>
            </w:r>
          </w:p>
        </w:tc>
        <w:tc>
          <w:tcPr>
            <w:tcW w:w="6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Asset life (a)</w:t>
            </w:r>
          </w:p>
        </w:tc>
        <w:tc>
          <w:tcPr>
            <w:tcW w:w="16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8"/>
              </w:rPr>
              <w:t>Amortization</w:t>
            </w:r>
          </w:p>
        </w:tc>
        <w:tc>
          <w:tcPr>
            <w:tcW w:w="16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auto"/>
            </w:tcBorders>
            <w:gridSpan w:val="2"/>
            <w:shd w:val="clear" w:color="auto" w:fill="CCCCCC"/>
          </w:tcPr>
          <w:p>
            <w:pPr>
              <w:spacing w:after="0" w:line="142" w:lineRule="exact"/>
              <w:rPr>
                <w:sz w:val="20"/>
                <w:szCs w:val="20"/>
                <w:color w:val="auto"/>
              </w:rPr>
            </w:pPr>
            <w:r>
              <w:rPr>
                <w:rFonts w:ascii="Arial" w:cs="Arial" w:eastAsia="Arial" w:hAnsi="Arial"/>
                <w:sz w:val="14"/>
                <w:szCs w:val="14"/>
                <w:color w:val="auto"/>
              </w:rPr>
              <w:t>Goodwill</w:t>
            </w:r>
          </w:p>
        </w:tc>
        <w:tc>
          <w:tcPr>
            <w:tcW w:w="340" w:type="dxa"/>
            <w:vAlign w:val="bottom"/>
            <w:tcBorders>
              <w:top w:val="single" w:sz="8" w:color="CCCCCC"/>
            </w:tcBorders>
            <w:shd w:val="clear" w:color="auto" w:fill="CCCCCC"/>
          </w:tcPr>
          <w:p>
            <w:pPr>
              <w:spacing w:after="0"/>
              <w:rPr>
                <w:sz w:val="12"/>
                <w:szCs w:val="12"/>
                <w:color w:val="auto"/>
              </w:rPr>
            </w:pPr>
          </w:p>
        </w:tc>
        <w:tc>
          <w:tcPr>
            <w:tcW w:w="700" w:type="dxa"/>
            <w:vAlign w:val="bottom"/>
            <w:tcBorders>
              <w:top w:val="single" w:sz="8" w:color="auto"/>
            </w:tcBorders>
            <w:shd w:val="clear" w:color="auto" w:fill="CCCCCC"/>
          </w:tcPr>
          <w:p>
            <w:pPr>
              <w:spacing w:after="0"/>
              <w:rPr>
                <w:sz w:val="12"/>
                <w:szCs w:val="12"/>
                <w:color w:val="auto"/>
              </w:rPr>
            </w:pPr>
          </w:p>
        </w:tc>
        <w:tc>
          <w:tcPr>
            <w:tcW w:w="600" w:type="dxa"/>
            <w:vAlign w:val="bottom"/>
            <w:tcBorders>
              <w:top w:val="single" w:sz="8" w:color="CCCCCC"/>
            </w:tcBorders>
            <w:shd w:val="clear" w:color="auto" w:fill="CCCCCC"/>
          </w:tcPr>
          <w:p>
            <w:pPr>
              <w:spacing w:after="0"/>
              <w:rPr>
                <w:sz w:val="12"/>
                <w:szCs w:val="12"/>
                <w:color w:val="auto"/>
              </w:rPr>
            </w:pPr>
          </w:p>
        </w:tc>
        <w:tc>
          <w:tcPr>
            <w:tcW w:w="16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4,523</w:t>
            </w:r>
          </w:p>
        </w:tc>
        <w:tc>
          <w:tcPr>
            <w:tcW w:w="640" w:type="dxa"/>
            <w:vAlign w:val="bottom"/>
            <w:tcBorders>
              <w:top w:val="single" w:sz="8" w:color="CCCCCC"/>
            </w:tcBorders>
            <w:shd w:val="clear" w:color="auto" w:fill="CCCCCC"/>
          </w:tcPr>
          <w:p>
            <w:pPr>
              <w:spacing w:after="0"/>
              <w:rPr>
                <w:sz w:val="12"/>
                <w:szCs w:val="12"/>
                <w:color w:val="auto"/>
              </w:rPr>
            </w:pPr>
          </w:p>
        </w:tc>
        <w:tc>
          <w:tcPr>
            <w:tcW w:w="280" w:type="dxa"/>
            <w:vAlign w:val="bottom"/>
            <w:tcBorders>
              <w:top w:val="single" w:sz="8" w:color="auto"/>
            </w:tcBorders>
            <w:shd w:val="clear" w:color="auto" w:fill="CCCCCC"/>
          </w:tcPr>
          <w:p>
            <w:pPr>
              <w:spacing w:after="0"/>
              <w:rPr>
                <w:sz w:val="12"/>
                <w:szCs w:val="12"/>
                <w:color w:val="auto"/>
              </w:rPr>
            </w:pPr>
          </w:p>
        </w:tc>
        <w:tc>
          <w:tcPr>
            <w:tcW w:w="500" w:type="dxa"/>
            <w:vAlign w:val="bottom"/>
            <w:tcBorders>
              <w:top w:val="single" w:sz="8" w:color="auto"/>
            </w:tcBorders>
            <w:shd w:val="clear" w:color="auto" w:fill="CCCCCC"/>
          </w:tcPr>
          <w:p>
            <w:pPr>
              <w:spacing w:after="0"/>
              <w:rPr>
                <w:sz w:val="12"/>
                <w:szCs w:val="12"/>
                <w:color w:val="auto"/>
              </w:rPr>
            </w:pPr>
          </w:p>
        </w:tc>
        <w:tc>
          <w:tcPr>
            <w:tcW w:w="660" w:type="dxa"/>
            <w:vAlign w:val="bottom"/>
            <w:tcBorders>
              <w:top w:val="single" w:sz="8" w:color="CCCCCC"/>
            </w:tcBorders>
            <w:shd w:val="clear" w:color="auto" w:fill="CCCCCC"/>
          </w:tcPr>
          <w:p>
            <w:pPr>
              <w:spacing w:after="0"/>
              <w:rPr>
                <w:sz w:val="12"/>
                <w:szCs w:val="12"/>
                <w:color w:val="auto"/>
              </w:rPr>
            </w:pPr>
          </w:p>
        </w:tc>
        <w:tc>
          <w:tcPr>
            <w:tcW w:w="16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CCCC"/>
          </w:tcPr>
          <w:p>
            <w:pPr>
              <w:jc w:val="right"/>
              <w:spacing w:after="0" w:line="142" w:lineRule="exact"/>
              <w:rPr>
                <w:sz w:val="20"/>
                <w:szCs w:val="20"/>
                <w:color w:val="auto"/>
              </w:rPr>
            </w:pPr>
            <w:r>
              <w:rPr>
                <w:rFonts w:ascii="Arial" w:cs="Arial" w:eastAsia="Arial" w:hAnsi="Arial"/>
                <w:sz w:val="14"/>
                <w:szCs w:val="14"/>
                <w:color w:val="auto"/>
              </w:rPr>
              <w:t>4,523</w:t>
            </w:r>
          </w:p>
        </w:tc>
        <w:tc>
          <w:tcPr>
            <w:tcW w:w="640" w:type="dxa"/>
            <w:vAlign w:val="bottom"/>
            <w:tcBorders>
              <w:top w:val="single" w:sz="8" w:color="CCCCCC"/>
            </w:tcBorders>
            <w:shd w:val="clear" w:color="auto" w:fill="CCCCCC"/>
          </w:tcPr>
          <w:p>
            <w:pPr>
              <w:spacing w:after="0"/>
              <w:rPr>
                <w:sz w:val="12"/>
                <w:szCs w:val="12"/>
                <w:color w:val="auto"/>
              </w:rPr>
            </w:pPr>
          </w:p>
        </w:tc>
        <w:tc>
          <w:tcPr>
            <w:tcW w:w="280" w:type="dxa"/>
            <w:vAlign w:val="bottom"/>
            <w:tcBorders>
              <w:top w:val="single" w:sz="8" w:color="auto"/>
            </w:tcBorders>
            <w:shd w:val="clear" w:color="auto" w:fill="CCCCCC"/>
          </w:tcPr>
          <w:p>
            <w:pPr>
              <w:spacing w:after="0"/>
              <w:rPr>
                <w:sz w:val="12"/>
                <w:szCs w:val="12"/>
                <w:color w:val="auto"/>
              </w:rPr>
            </w:pPr>
          </w:p>
        </w:tc>
        <w:tc>
          <w:tcPr>
            <w:tcW w:w="520" w:type="dxa"/>
            <w:vAlign w:val="bottom"/>
            <w:tcBorders>
              <w:top w:val="single" w:sz="8" w:color="auto"/>
            </w:tcBorders>
            <w:shd w:val="clear" w:color="auto" w:fill="CCCCCC"/>
          </w:tcPr>
          <w:p>
            <w:pPr>
              <w:spacing w:after="0"/>
              <w:rPr>
                <w:sz w:val="12"/>
                <w:szCs w:val="12"/>
                <w:color w:val="auto"/>
              </w:rPr>
            </w:pPr>
          </w:p>
        </w:tc>
        <w:tc>
          <w:tcPr>
            <w:tcW w:w="60" w:type="dxa"/>
            <w:vAlign w:val="bottom"/>
            <w:tcBorders>
              <w:top w:val="single" w:sz="8" w:color="CCCCCC"/>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gridSpan w:val="3"/>
            <w:shd w:val="clear" w:color="auto" w:fill="CCCCCC"/>
          </w:tcPr>
          <w:p>
            <w:pPr>
              <w:spacing w:after="0" w:line="149" w:lineRule="exact"/>
              <w:rPr>
                <w:sz w:val="20"/>
                <w:szCs w:val="20"/>
                <w:color w:val="auto"/>
              </w:rPr>
            </w:pPr>
            <w:r>
              <w:rPr>
                <w:rFonts w:ascii="Arial" w:cs="Arial" w:eastAsia="Arial" w:hAnsi="Arial"/>
                <w:sz w:val="14"/>
                <w:szCs w:val="14"/>
                <w:color w:val="auto"/>
              </w:rPr>
              <w:t>Finite-lived intangible assets</w:t>
            </w:r>
          </w:p>
        </w:tc>
        <w:tc>
          <w:tcPr>
            <w:tcW w:w="7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66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Frequent flyer database (b)</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22</w:t>
            </w:r>
          </w:p>
        </w:tc>
        <w:tc>
          <w:tcPr>
            <w:tcW w:w="6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9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6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92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shd w:val="clear" w:color="auto" w:fill="CCCCCC"/>
          </w:tcPr>
          <w:p>
            <w:pPr>
              <w:ind w:left="640"/>
              <w:spacing w:after="0" w:line="149" w:lineRule="exact"/>
              <w:rPr>
                <w:sz w:val="20"/>
                <w:szCs w:val="20"/>
                <w:color w:val="auto"/>
              </w:rPr>
            </w:pPr>
            <w:r>
              <w:rPr>
                <w:rFonts w:ascii="Arial" w:cs="Arial" w:eastAsia="Arial" w:hAnsi="Arial"/>
                <w:sz w:val="14"/>
                <w:szCs w:val="14"/>
                <w:color w:val="auto"/>
              </w:rPr>
              <w:t>Hubs</w:t>
            </w:r>
          </w:p>
        </w:tc>
        <w:tc>
          <w:tcPr>
            <w:tcW w:w="70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color w:val="auto"/>
                <w:w w:val="89"/>
              </w:rPr>
              <w:t>20</w:t>
            </w:r>
          </w:p>
        </w:tc>
        <w:tc>
          <w:tcPr>
            <w:tcW w:w="60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145</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74</w:t>
            </w:r>
          </w:p>
        </w:tc>
        <w:tc>
          <w:tcPr>
            <w:tcW w:w="66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145</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Contracts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12</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shd w:val="clear" w:color="auto" w:fill="CCCCCC"/>
          </w:tcPr>
          <w:p>
            <w:pPr>
              <w:ind w:left="640"/>
              <w:spacing w:after="0" w:line="149" w:lineRule="exact"/>
              <w:rPr>
                <w:sz w:val="20"/>
                <w:szCs w:val="20"/>
                <w:color w:val="auto"/>
              </w:rPr>
            </w:pPr>
            <w:r>
              <w:rPr>
                <w:rFonts w:ascii="Arial" w:cs="Arial" w:eastAsia="Arial" w:hAnsi="Arial"/>
                <w:sz w:val="14"/>
                <w:szCs w:val="14"/>
                <w:color w:val="auto"/>
              </w:rPr>
              <w:t>Patents and tradenames</w:t>
            </w:r>
          </w:p>
        </w:tc>
        <w:tc>
          <w:tcPr>
            <w:tcW w:w="70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color w:val="auto"/>
                <w:w w:val="76"/>
              </w:rPr>
              <w:t>3</w:t>
            </w:r>
          </w:p>
        </w:tc>
        <w:tc>
          <w:tcPr>
            <w:tcW w:w="60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108</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108</w:t>
            </w:r>
          </w:p>
        </w:tc>
        <w:tc>
          <w:tcPr>
            <w:tcW w:w="66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108</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Airport slots and gates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shd w:val="clear" w:color="auto" w:fill="CCCCCC"/>
          </w:tcPr>
          <w:p>
            <w:pPr>
              <w:ind w:left="640"/>
              <w:spacing w:after="0" w:line="149" w:lineRule="exact"/>
              <w:rPr>
                <w:sz w:val="20"/>
                <w:szCs w:val="20"/>
                <w:color w:val="auto"/>
              </w:rPr>
            </w:pPr>
            <w:r>
              <w:rPr>
                <w:rFonts w:ascii="Arial" w:cs="Arial" w:eastAsia="Arial" w:hAnsi="Arial"/>
                <w:sz w:val="14"/>
                <w:szCs w:val="14"/>
                <w:color w:val="auto"/>
              </w:rPr>
              <w:t>Other</w:t>
            </w:r>
          </w:p>
        </w:tc>
        <w:tc>
          <w:tcPr>
            <w:tcW w:w="70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color w:val="auto"/>
                <w:w w:val="89"/>
              </w:rPr>
              <w:t>25</w:t>
            </w:r>
          </w:p>
        </w:tc>
        <w:tc>
          <w:tcPr>
            <w:tcW w:w="600" w:type="dxa"/>
            <w:vAlign w:val="bottom"/>
            <w:shd w:val="clear" w:color="auto" w:fill="CCCCCC"/>
          </w:tcPr>
          <w:p>
            <w:pPr>
              <w:spacing w:after="0"/>
              <w:rPr>
                <w:sz w:val="12"/>
                <w:szCs w:val="12"/>
                <w:color w:val="auto"/>
              </w:rPr>
            </w:pPr>
          </w:p>
        </w:tc>
        <w:tc>
          <w:tcPr>
            <w:tcW w:w="16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109</w:t>
            </w:r>
          </w:p>
        </w:tc>
        <w:tc>
          <w:tcPr>
            <w:tcW w:w="640" w:type="dxa"/>
            <w:vAlign w:val="bottom"/>
            <w:shd w:val="clear" w:color="auto" w:fill="CCCCCC"/>
          </w:tcPr>
          <w:p>
            <w:pPr>
              <w:spacing w:after="0"/>
              <w:rPr>
                <w:sz w:val="12"/>
                <w:szCs w:val="12"/>
                <w:color w:val="auto"/>
              </w:rPr>
            </w:pPr>
          </w:p>
        </w:tc>
        <w:tc>
          <w:tcPr>
            <w:tcW w:w="280" w:type="dxa"/>
            <w:vAlign w:val="bottom"/>
            <w:tcBorders>
              <w:bottom w:val="single" w:sz="8" w:color="auto"/>
            </w:tcBorders>
            <w:shd w:val="clear" w:color="auto" w:fill="CCCCCC"/>
          </w:tcPr>
          <w:p>
            <w:pPr>
              <w:spacing w:after="0"/>
              <w:rPr>
                <w:sz w:val="12"/>
                <w:szCs w:val="12"/>
                <w:color w:val="auto"/>
              </w:rPr>
            </w:pPr>
          </w:p>
        </w:tc>
        <w:tc>
          <w:tcPr>
            <w:tcW w:w="50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77</w:t>
            </w:r>
          </w:p>
        </w:tc>
        <w:tc>
          <w:tcPr>
            <w:tcW w:w="660" w:type="dxa"/>
            <w:vAlign w:val="bottom"/>
            <w:shd w:val="clear" w:color="auto" w:fill="CCCCCC"/>
          </w:tcPr>
          <w:p>
            <w:pPr>
              <w:spacing w:after="0"/>
              <w:rPr>
                <w:sz w:val="12"/>
                <w:szCs w:val="12"/>
                <w:color w:val="auto"/>
              </w:rPr>
            </w:pPr>
          </w:p>
        </w:tc>
        <w:tc>
          <w:tcPr>
            <w:tcW w:w="16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109</w:t>
            </w:r>
          </w:p>
        </w:tc>
        <w:tc>
          <w:tcPr>
            <w:tcW w:w="640" w:type="dxa"/>
            <w:vAlign w:val="bottom"/>
            <w:shd w:val="clear" w:color="auto" w:fill="CCCCCC"/>
          </w:tcPr>
          <w:p>
            <w:pPr>
              <w:spacing w:after="0"/>
              <w:rPr>
                <w:sz w:val="12"/>
                <w:szCs w:val="12"/>
                <w:color w:val="auto"/>
              </w:rPr>
            </w:pPr>
          </w:p>
        </w:tc>
        <w:tc>
          <w:tcPr>
            <w:tcW w:w="280" w:type="dxa"/>
            <w:vAlign w:val="bottom"/>
            <w:tcBorders>
              <w:bottom w:val="single" w:sz="8" w:color="auto"/>
            </w:tcBorders>
            <w:shd w:val="clear" w:color="auto" w:fill="CCCCCC"/>
          </w:tcPr>
          <w:p>
            <w:pPr>
              <w:spacing w:after="0"/>
              <w:rPr>
                <w:sz w:val="12"/>
                <w:szCs w:val="12"/>
                <w:color w:val="auto"/>
              </w:rPr>
            </w:pPr>
          </w:p>
        </w:tc>
        <w:tc>
          <w:tcPr>
            <w:tcW w:w="52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67</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gridSpan w:val="3"/>
          </w:tcPr>
          <w:p>
            <w:pPr>
              <w:ind w:left="1340"/>
              <w:spacing w:after="0" w:line="155" w:lineRule="exact"/>
              <w:rPr>
                <w:sz w:val="20"/>
                <w:szCs w:val="20"/>
                <w:color w:val="auto"/>
              </w:rPr>
            </w:pPr>
            <w:r>
              <w:rPr>
                <w:rFonts w:ascii="Arial" w:cs="Arial" w:eastAsia="Arial" w:hAnsi="Arial"/>
                <w:sz w:val="14"/>
                <w:szCs w:val="14"/>
                <w:color w:val="auto"/>
              </w:rPr>
              <w:t>Total</w:t>
            </w: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1,771</w:t>
            </w:r>
          </w:p>
        </w:tc>
        <w:tc>
          <w:tcPr>
            <w:tcW w:w="920" w:type="dxa"/>
            <w:vAlign w:val="bottom"/>
            <w:gridSpan w:val="2"/>
          </w:tcPr>
          <w:p>
            <w:pPr>
              <w:jc w:val="right"/>
              <w:ind w:right="112"/>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1,144</w:t>
            </w:r>
          </w:p>
        </w:tc>
        <w:tc>
          <w:tcPr>
            <w:tcW w:w="66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1,791</w:t>
            </w:r>
          </w:p>
        </w:tc>
        <w:tc>
          <w:tcPr>
            <w:tcW w:w="920" w:type="dxa"/>
            <w:vAlign w:val="bottom"/>
            <w:gridSpan w:val="2"/>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1,049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40" w:type="dxa"/>
            <w:vAlign w:val="bottom"/>
            <w:gridSpan w:val="3"/>
            <w:shd w:val="clear" w:color="auto" w:fill="CCCCCC"/>
          </w:tcPr>
          <w:p>
            <w:pPr>
              <w:spacing w:after="0" w:line="143" w:lineRule="exact"/>
              <w:rPr>
                <w:sz w:val="20"/>
                <w:szCs w:val="20"/>
                <w:color w:val="auto"/>
              </w:rPr>
            </w:pPr>
            <w:r>
              <w:rPr>
                <w:rFonts w:ascii="Arial" w:cs="Arial" w:eastAsia="Arial" w:hAnsi="Arial"/>
                <w:sz w:val="14"/>
                <w:szCs w:val="14"/>
                <w:color w:val="auto"/>
              </w:rPr>
              <w:t>Indefinite-lived intangible assets</w:t>
            </w:r>
          </w:p>
        </w:tc>
        <w:tc>
          <w:tcPr>
            <w:tcW w:w="7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66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Route authorities</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1,570</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1,589</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shd w:val="clear" w:color="auto" w:fill="CCCCCC"/>
          </w:tcPr>
          <w:p>
            <w:pPr>
              <w:ind w:left="640"/>
              <w:spacing w:after="0" w:line="149" w:lineRule="exact"/>
              <w:rPr>
                <w:sz w:val="20"/>
                <w:szCs w:val="20"/>
                <w:color w:val="auto"/>
              </w:rPr>
            </w:pPr>
            <w:r>
              <w:rPr>
                <w:rFonts w:ascii="Arial" w:cs="Arial" w:eastAsia="Arial" w:hAnsi="Arial"/>
                <w:sz w:val="14"/>
                <w:szCs w:val="14"/>
                <w:color w:val="auto"/>
              </w:rPr>
              <w:t>Airport slots and gates</w:t>
            </w:r>
          </w:p>
        </w:tc>
        <w:tc>
          <w:tcPr>
            <w:tcW w:w="7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942</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660" w:type="dxa"/>
            <w:vAlign w:val="bottom"/>
            <w:shd w:val="clear" w:color="auto" w:fill="CCCCCC"/>
          </w:tcPr>
          <w:p>
            <w:pPr>
              <w:spacing w:after="0"/>
              <w:rPr>
                <w:sz w:val="12"/>
                <w:szCs w:val="12"/>
                <w:color w:val="auto"/>
              </w:rPr>
            </w:pPr>
          </w:p>
        </w:tc>
        <w:tc>
          <w:tcPr>
            <w:tcW w:w="16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956</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tcPr>
          <w:p>
            <w:pPr>
              <w:ind w:left="640"/>
              <w:spacing w:after="0" w:line="149" w:lineRule="exact"/>
              <w:rPr>
                <w:sz w:val="20"/>
                <w:szCs w:val="20"/>
                <w:color w:val="auto"/>
              </w:rPr>
            </w:pPr>
            <w:r>
              <w:rPr>
                <w:rFonts w:ascii="Arial" w:cs="Arial" w:eastAsia="Arial" w:hAnsi="Arial"/>
                <w:sz w:val="14"/>
                <w:szCs w:val="14"/>
                <w:color w:val="auto"/>
              </w:rPr>
              <w:t>Tradenames and logos</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593</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shd w:val="clear" w:color="auto" w:fill="CCCCCC"/>
          </w:tcPr>
          <w:p>
            <w:pPr>
              <w:ind w:left="640"/>
              <w:spacing w:after="0" w:line="149" w:lineRule="exact"/>
              <w:rPr>
                <w:sz w:val="20"/>
                <w:szCs w:val="20"/>
                <w:color w:val="auto"/>
              </w:rPr>
            </w:pPr>
            <w:r>
              <w:rPr>
                <w:rFonts w:ascii="Arial" w:cs="Arial" w:eastAsia="Arial" w:hAnsi="Arial"/>
                <w:sz w:val="14"/>
                <w:szCs w:val="14"/>
                <w:color w:val="auto"/>
              </w:rPr>
              <w:t>Alliances</w:t>
            </w:r>
          </w:p>
        </w:tc>
        <w:tc>
          <w:tcPr>
            <w:tcW w:w="70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6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404</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00" w:type="dxa"/>
            <w:vAlign w:val="bottom"/>
            <w:shd w:val="clear" w:color="auto" w:fill="CCCCCC"/>
          </w:tcPr>
          <w:p>
            <w:pPr>
              <w:spacing w:after="0"/>
              <w:rPr>
                <w:sz w:val="12"/>
                <w:szCs w:val="12"/>
                <w:color w:val="auto"/>
              </w:rPr>
            </w:pPr>
          </w:p>
        </w:tc>
        <w:tc>
          <w:tcPr>
            <w:tcW w:w="660" w:type="dxa"/>
            <w:vAlign w:val="bottom"/>
            <w:shd w:val="clear" w:color="auto" w:fill="CCCCCC"/>
          </w:tcPr>
          <w:p>
            <w:pPr>
              <w:spacing w:after="0"/>
              <w:rPr>
                <w:sz w:val="12"/>
                <w:szCs w:val="12"/>
                <w:color w:val="auto"/>
              </w:rPr>
            </w:pPr>
          </w:p>
        </w:tc>
        <w:tc>
          <w:tcPr>
            <w:tcW w:w="16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9" w:lineRule="exact"/>
              <w:rPr>
                <w:sz w:val="20"/>
                <w:szCs w:val="20"/>
                <w:color w:val="auto"/>
              </w:rPr>
            </w:pPr>
            <w:r>
              <w:rPr>
                <w:rFonts w:ascii="Arial" w:cs="Arial" w:eastAsia="Arial" w:hAnsi="Arial"/>
                <w:sz w:val="14"/>
                <w:szCs w:val="14"/>
                <w:color w:val="auto"/>
              </w:rPr>
              <w:t>404</w:t>
            </w:r>
          </w:p>
        </w:tc>
        <w:tc>
          <w:tcPr>
            <w:tcW w:w="640" w:type="dxa"/>
            <w:vAlign w:val="bottom"/>
            <w:shd w:val="clear" w:color="auto" w:fill="CCCCCC"/>
          </w:tcPr>
          <w:p>
            <w:pPr>
              <w:spacing w:after="0"/>
              <w:rPr>
                <w:sz w:val="12"/>
                <w:szCs w:val="12"/>
                <w:color w:val="auto"/>
              </w:rPr>
            </w:pPr>
          </w:p>
        </w:tc>
        <w:tc>
          <w:tcPr>
            <w:tcW w:w="280" w:type="dxa"/>
            <w:vAlign w:val="bottom"/>
            <w:shd w:val="clear" w:color="auto" w:fill="CCCCCC"/>
          </w:tcPr>
          <w:p>
            <w:pPr>
              <w:spacing w:after="0"/>
              <w:rPr>
                <w:sz w:val="12"/>
                <w:szCs w:val="12"/>
                <w:color w:val="auto"/>
              </w:rPr>
            </w:pPr>
          </w:p>
        </w:tc>
        <w:tc>
          <w:tcPr>
            <w:tcW w:w="520" w:type="dxa"/>
            <w:vAlign w:val="bottom"/>
            <w:shd w:val="clear" w:color="auto" w:fill="CCCCCC"/>
          </w:tcPr>
          <w:p>
            <w:pPr>
              <w:spacing w:after="0"/>
              <w:rPr>
                <w:sz w:val="12"/>
                <w:szCs w:val="12"/>
                <w:color w:val="auto"/>
              </w:rPr>
            </w:pP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gridSpan w:val="3"/>
          </w:tcPr>
          <w:p>
            <w:pPr>
              <w:ind w:left="1340"/>
              <w:spacing w:after="0" w:line="155" w:lineRule="exact"/>
              <w:rPr>
                <w:sz w:val="20"/>
                <w:szCs w:val="20"/>
                <w:color w:val="auto"/>
              </w:rPr>
            </w:pPr>
            <w:r>
              <w:rPr>
                <w:rFonts w:ascii="Arial" w:cs="Arial" w:eastAsia="Arial" w:hAnsi="Arial"/>
                <w:sz w:val="14"/>
                <w:szCs w:val="14"/>
                <w:color w:val="auto"/>
              </w:rPr>
              <w:t>Total</w:t>
            </w: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3,509</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3,542</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Weighted average life expressed in years.</w:t>
      </w:r>
    </w:p>
    <w:p>
      <w:pPr>
        <w:ind w:right="260" w:firstLine="8"/>
        <w:spacing w:after="0" w:line="230" w:lineRule="auto"/>
        <w:tabs>
          <w:tab w:leader="none" w:pos="191"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frequent flyer database is amortized based on an accelerated amortization schedule to reflect utilization of the assets. Estimated cash flows correlating to the expected attrition rate of customers in the frequent flyer database is considered in the determination of the amortization schedules.</w:t>
      </w:r>
    </w:p>
    <w:p>
      <w:pPr>
        <w:spacing w:after="0" w:line="8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Amortization expense in 2015, 2014 and 2013 was $105 million, $128 million and $142 million, respectively. Projected amortization expense in 2016, 2017, 2018, 2019 and 2020 is $90 million, $79 million, $70 million, $64 million and $58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See Note 16 of this report for additional information related to impairment of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COMMON STOCKHOLDERS’ EQUITY AND PREFERRED SECURITIES</w:t>
      </w:r>
    </w:p>
    <w:p>
      <w:pPr>
        <w:spacing w:after="0" w:line="123"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In 2014, UAL’s Board of Directors authorized a share repurchase program to acquire up to $1 billion of UAL’s common stock (the “2014 Program”). On July 21, 2015, UAL’s Board of Directors authorized a $3 billion share repurchase program, which the Company expects to complete substantially earlier than its original expected completion date of December 31, 2017 (the “2015 Program”). Under the programs, UAL may repurchase shares through the open market, privately negotiated transactions, block trades, or accelerated share repurchase transactions from time to time in accordance with applicable securities laws. UAL will repurchase shares of common stock subject to prevailing market conditions, and may discontinue such repurchases at any time. In October 2015, pursuant to the 2015 Program, the Company entered into agreements to repurchase approximately $300 million of shares of UAL common stock through an accelerated share repurchase program (the “ASR Program”). The ASR Program was completed in November 2015 and in total, United purchased approximately 5 million shares at an average price of $58.14 under the program. The aggregate number of shares repurchased by UAL under the ASR Program was based on the volume-weighted average price per share of UAL’s common stock during the calculation period, less a discount. In addition to the ASR Program, UAL spent $932 million to repurchase approximately 16 million shares of UAL common stock in open market transactions in the year ended December 31, 2015. As of December 31, 2015, the Company had completed purchases under the 2014 Program and had $2.4 billion remaining to spend under the 2015 Program. See Part II, Item 5, “Market for registrant’s common equity, related stockholder matters and issuer purchases of equity securities” of this report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73" w:name="page74"/>
    <w:bookmarkEnd w:id="7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2015, approximately 8 million shares of UAL’s common stock were reserved for future issuance related to the issuance of equity-based awards under the Company’s incentive compensation plans.</w:t>
      </w:r>
    </w:p>
    <w:p>
      <w:pPr>
        <w:spacing w:after="0" w:line="78"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As of December 31, 2015, UAL had two shares of junior preferred stock (par value $0.01 per share) outstanding. In addition, UAL is authorized to issue 250 million shares of preferred stock (without par value) under UAL’s amended and restated certificate of incorporation.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computations of UAL’s basic and diluted earnings per share are set forth below for the years ended December 31 (in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CCCC"/>
          </w:tcPr>
          <w:p>
            <w:pPr>
              <w:ind w:left="500"/>
              <w:spacing w:after="0"/>
              <w:rPr>
                <w:sz w:val="20"/>
                <w:szCs w:val="20"/>
                <w:color w:val="auto"/>
              </w:rPr>
            </w:pPr>
            <w:r>
              <w:rPr>
                <w:rFonts w:ascii="Arial" w:cs="Arial" w:eastAsia="Arial" w:hAnsi="Arial"/>
                <w:sz w:val="18"/>
                <w:szCs w:val="18"/>
                <w:color w:val="auto"/>
              </w:rPr>
              <w:t>Earnings available to common stockholders</w:t>
            </w:r>
          </w:p>
        </w:tc>
        <w:tc>
          <w:tcPr>
            <w:tcW w:w="104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7,340</w:t>
            </w:r>
          </w:p>
        </w:tc>
        <w:tc>
          <w:tcPr>
            <w:tcW w:w="112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1,132</w:t>
            </w:r>
          </w:p>
        </w:tc>
        <w:tc>
          <w:tcPr>
            <w:tcW w:w="112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CCCC"/>
            </w:tcBorders>
          </w:tcPr>
          <w:p>
            <w:pPr>
              <w:ind w:left="500"/>
              <w:spacing w:after="0"/>
              <w:rPr>
                <w:sz w:val="20"/>
                <w:szCs w:val="20"/>
                <w:color w:val="auto"/>
              </w:rPr>
            </w:pPr>
            <w:r>
              <w:rPr>
                <w:rFonts w:ascii="Arial" w:cs="Arial" w:eastAsia="Arial" w:hAnsi="Arial"/>
                <w:sz w:val="18"/>
                <w:szCs w:val="18"/>
                <w:color w:val="auto"/>
              </w:rPr>
              <w:t>Basic weighted-average shares outstanding</w:t>
            </w:r>
          </w:p>
        </w:tc>
        <w:tc>
          <w:tcPr>
            <w:tcW w:w="780" w:type="dxa"/>
            <w:vAlign w:val="bottom"/>
            <w:tcBorders>
              <w:top w:val="single" w:sz="8" w:color="CCCC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880" w:type="dxa"/>
            <w:vAlign w:val="bottom"/>
            <w:tcBorders>
              <w:top w:val="single" w:sz="8" w:color="CCCC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80" w:type="dxa"/>
            <w:vAlign w:val="bottom"/>
            <w:tcBorders>
              <w:top w:val="single" w:sz="8" w:color="CCCC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CCCCCC"/>
          </w:tcPr>
          <w:p>
            <w:pPr>
              <w:ind w:left="500"/>
              <w:spacing w:after="0"/>
              <w:rPr>
                <w:sz w:val="20"/>
                <w:szCs w:val="20"/>
                <w:color w:val="auto"/>
              </w:rPr>
            </w:pPr>
            <w:r>
              <w:rPr>
                <w:rFonts w:ascii="Arial" w:cs="Arial" w:eastAsia="Arial" w:hAnsi="Arial"/>
                <w:sz w:val="18"/>
                <w:szCs w:val="18"/>
                <w:color w:val="auto"/>
              </w:rPr>
              <w:t>Earnings per share, basic</w:t>
            </w:r>
          </w:p>
        </w:tc>
        <w:tc>
          <w:tcPr>
            <w:tcW w:w="104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19.52</w:t>
            </w:r>
          </w:p>
        </w:tc>
        <w:tc>
          <w:tcPr>
            <w:tcW w:w="112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3.05</w:t>
            </w:r>
          </w:p>
        </w:tc>
        <w:tc>
          <w:tcPr>
            <w:tcW w:w="112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00" w:type="dxa"/>
            <w:vAlign w:val="bottom"/>
            <w:tcBorders>
              <w:top w:val="single" w:sz="8" w:color="CCCCCC"/>
            </w:tcBorders>
          </w:tcPr>
          <w:p>
            <w:pPr>
              <w:spacing w:after="0"/>
              <w:rPr>
                <w:sz w:val="12"/>
                <w:szCs w:val="12"/>
                <w:color w:val="auto"/>
              </w:rPr>
            </w:pPr>
          </w:p>
        </w:tc>
        <w:tc>
          <w:tcPr>
            <w:tcW w:w="780" w:type="dxa"/>
            <w:vAlign w:val="bottom"/>
            <w:tcBorders>
              <w:top w:val="single" w:sz="8" w:color="CCCC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80" w:type="dxa"/>
            <w:vAlign w:val="bottom"/>
            <w:tcBorders>
              <w:top w:val="single" w:sz="8" w:color="CCCC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80" w:type="dxa"/>
            <w:vAlign w:val="bottom"/>
            <w:tcBorders>
              <w:top w:val="single" w:sz="8" w:color="CCCC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Diluted earnings per share:</w:t>
            </w:r>
          </w:p>
        </w:tc>
        <w:tc>
          <w:tcPr>
            <w:tcW w:w="78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Earnings available to common stockholders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7,340</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1,132</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CCCC"/>
          </w:tcPr>
          <w:p>
            <w:pPr>
              <w:ind w:left="500"/>
              <w:spacing w:after="0"/>
              <w:rPr>
                <w:sz w:val="20"/>
                <w:szCs w:val="20"/>
                <w:color w:val="auto"/>
              </w:rPr>
            </w:pPr>
            <w:r>
              <w:rPr>
                <w:rFonts w:ascii="Arial" w:cs="Arial" w:eastAsia="Arial" w:hAnsi="Arial"/>
                <w:sz w:val="18"/>
                <w:szCs w:val="18"/>
                <w:color w:val="auto"/>
              </w:rPr>
              <w:t>Effect of dilutive securities</w:t>
            </w:r>
          </w:p>
        </w:tc>
        <w:tc>
          <w:tcPr>
            <w:tcW w:w="780" w:type="dxa"/>
            <w:vAlign w:val="bottom"/>
            <w:shd w:val="clear" w:color="auto" w:fill="CCCCCC"/>
          </w:tcPr>
          <w:p>
            <w:pPr>
              <w:spacing w:after="0"/>
              <w:rPr>
                <w:sz w:val="18"/>
                <w:szCs w:val="18"/>
                <w:color w:val="auto"/>
              </w:rPr>
            </w:pPr>
          </w:p>
        </w:tc>
        <w:tc>
          <w:tcPr>
            <w:tcW w:w="26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w w:val="97"/>
              </w:rPr>
              <w:t>Earnings available to common stockholders including the effect of</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dilutive securities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7,340</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1,143</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60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260" w:type="dxa"/>
            <w:vAlign w:val="bottom"/>
            <w:shd w:val="clear" w:color="auto" w:fill="CCCCCC"/>
          </w:tcPr>
          <w:p>
            <w:pPr>
              <w:spacing w:after="0"/>
              <w:rPr>
                <w:sz w:val="12"/>
                <w:szCs w:val="12"/>
                <w:color w:val="auto"/>
              </w:rPr>
            </w:pPr>
          </w:p>
        </w:tc>
        <w:tc>
          <w:tcPr>
            <w:tcW w:w="80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240" w:type="dxa"/>
            <w:vAlign w:val="bottom"/>
            <w:shd w:val="clear" w:color="auto" w:fill="CCCCCC"/>
          </w:tcPr>
          <w:p>
            <w:pPr>
              <w:spacing w:after="0"/>
              <w:rPr>
                <w:sz w:val="12"/>
                <w:szCs w:val="12"/>
                <w:color w:val="auto"/>
              </w:rPr>
            </w:pPr>
          </w:p>
        </w:tc>
        <w:tc>
          <w:tcPr>
            <w:tcW w:w="8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shares outstanding: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CCCC"/>
          </w:tcPr>
          <w:p>
            <w:pPr>
              <w:ind w:left="500"/>
              <w:spacing w:after="0"/>
              <w:rPr>
                <w:sz w:val="20"/>
                <w:szCs w:val="20"/>
                <w:color w:val="auto"/>
              </w:rPr>
            </w:pPr>
            <w:r>
              <w:rPr>
                <w:rFonts w:ascii="Arial" w:cs="Arial" w:eastAsia="Arial" w:hAnsi="Arial"/>
                <w:sz w:val="18"/>
                <w:szCs w:val="18"/>
                <w:color w:val="auto"/>
              </w:rPr>
              <w:t>Basic weighted-average shares outstanding</w:t>
            </w:r>
          </w:p>
        </w:tc>
        <w:tc>
          <w:tcPr>
            <w:tcW w:w="78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376</w:t>
            </w:r>
          </w:p>
        </w:tc>
        <w:tc>
          <w:tcPr>
            <w:tcW w:w="88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371</w:t>
            </w:r>
          </w:p>
        </w:tc>
        <w:tc>
          <w:tcPr>
            <w:tcW w:w="88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Effect of convertible notes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CCCC"/>
          </w:tcPr>
          <w:p>
            <w:pPr>
              <w:ind w:left="500"/>
              <w:spacing w:after="0"/>
              <w:rPr>
                <w:sz w:val="20"/>
                <w:szCs w:val="20"/>
                <w:color w:val="auto"/>
              </w:rPr>
            </w:pPr>
            <w:r>
              <w:rPr>
                <w:rFonts w:ascii="Arial" w:cs="Arial" w:eastAsia="Arial" w:hAnsi="Arial"/>
                <w:sz w:val="18"/>
                <w:szCs w:val="18"/>
                <w:color w:val="auto"/>
              </w:rPr>
              <w:t>Effect of employee stock awards</w:t>
            </w:r>
          </w:p>
        </w:tc>
        <w:tc>
          <w:tcPr>
            <w:tcW w:w="780" w:type="dxa"/>
            <w:vAlign w:val="bottom"/>
            <w:shd w:val="clear" w:color="auto" w:fill="CCCCCC"/>
          </w:tcPr>
          <w:p>
            <w:pPr>
              <w:spacing w:after="0"/>
              <w:rPr>
                <w:sz w:val="18"/>
                <w:szCs w:val="18"/>
                <w:color w:val="auto"/>
              </w:rPr>
            </w:pPr>
          </w:p>
        </w:tc>
        <w:tc>
          <w:tcPr>
            <w:tcW w:w="26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spacing w:after="0"/>
              <w:rPr>
                <w:sz w:val="18"/>
                <w:szCs w:val="18"/>
                <w:color w:val="auto"/>
              </w:rPr>
            </w:pP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Diluted weighted-average shares outstanding</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tcBorders>
              <w:bottom w:val="single" w:sz="8" w:color="CCCCCC"/>
            </w:tcBorders>
            <w:shd w:val="clear" w:color="auto" w:fill="CCCCCC"/>
          </w:tcPr>
          <w:p>
            <w:pPr>
              <w:ind w:left="500"/>
              <w:spacing w:after="0"/>
              <w:rPr>
                <w:sz w:val="20"/>
                <w:szCs w:val="20"/>
                <w:color w:val="auto"/>
              </w:rPr>
            </w:pPr>
            <w:r>
              <w:rPr>
                <w:rFonts w:ascii="Arial" w:cs="Arial" w:eastAsia="Arial" w:hAnsi="Arial"/>
                <w:sz w:val="18"/>
                <w:szCs w:val="18"/>
                <w:color w:val="auto"/>
              </w:rPr>
              <w:t>Earnings per share, diluted</w:t>
            </w:r>
          </w:p>
        </w:tc>
        <w:tc>
          <w:tcPr>
            <w:tcW w:w="780" w:type="dxa"/>
            <w:vAlign w:val="bottom"/>
            <w:tcBorders>
              <w:bottom w:val="single" w:sz="8" w:color="CCCCCC"/>
            </w:tcBorders>
            <w:shd w:val="clear" w:color="auto" w:fill="CCCCCC"/>
          </w:tcPr>
          <w:p>
            <w:pPr>
              <w:spacing w:after="0"/>
              <w:rPr>
                <w:sz w:val="21"/>
                <w:szCs w:val="21"/>
                <w:color w:val="auto"/>
              </w:rPr>
            </w:pPr>
          </w:p>
        </w:tc>
        <w:tc>
          <w:tcPr>
            <w:tcW w:w="260" w:type="dxa"/>
            <w:vAlign w:val="bottom"/>
            <w:tcBorders>
              <w:bottom w:val="single" w:sz="8" w:color="auto"/>
            </w:tcBorders>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19.47</w:t>
            </w:r>
          </w:p>
        </w:tc>
        <w:tc>
          <w:tcPr>
            <w:tcW w:w="880" w:type="dxa"/>
            <w:vAlign w:val="bottom"/>
            <w:tcBorders>
              <w:bottom w:val="single" w:sz="8" w:color="CCCCCC"/>
            </w:tcBorders>
            <w:shd w:val="clear" w:color="auto" w:fill="CCCCCC"/>
          </w:tcPr>
          <w:p>
            <w:pPr>
              <w:spacing w:after="0"/>
              <w:rPr>
                <w:sz w:val="21"/>
                <w:szCs w:val="21"/>
                <w:color w:val="auto"/>
              </w:rPr>
            </w:pPr>
          </w:p>
        </w:tc>
        <w:tc>
          <w:tcPr>
            <w:tcW w:w="240" w:type="dxa"/>
            <w:vAlign w:val="bottom"/>
            <w:tcBorders>
              <w:bottom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2.93</w:t>
            </w:r>
          </w:p>
        </w:tc>
        <w:tc>
          <w:tcPr>
            <w:tcW w:w="880" w:type="dxa"/>
            <w:vAlign w:val="bottom"/>
            <w:tcBorders>
              <w:bottom w:val="single" w:sz="8" w:color="CCCCCC"/>
            </w:tcBorders>
            <w:shd w:val="clear" w:color="auto" w:fill="CCCCCC"/>
          </w:tcPr>
          <w:p>
            <w:pPr>
              <w:spacing w:after="0"/>
              <w:rPr>
                <w:sz w:val="21"/>
                <w:szCs w:val="21"/>
                <w:color w:val="auto"/>
              </w:rPr>
            </w:pPr>
          </w:p>
        </w:tc>
        <w:tc>
          <w:tcPr>
            <w:tcW w:w="240" w:type="dxa"/>
            <w:vAlign w:val="bottom"/>
            <w:tcBorders>
              <w:bottom w:val="single" w:sz="8" w:color="auto"/>
            </w:tcBorders>
            <w:shd w:val="clear" w:color="auto" w:fill="CCCCCC"/>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CCCC"/>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antidilutive securities excluded from the computation of diluted earnings per share amounts were not material.</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See Notes 3 and 11 of this report for additional information related to the ASR Program, open market share repurchases, open market purchases of the Company’s convertible debt and exchange of shares for redemption of convertible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SHARE-BASED COMPENSATION PLANS</w:t>
      </w:r>
    </w:p>
    <w:p>
      <w:pPr>
        <w:spacing w:after="0" w:line="12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UAL maintains several share-based compensation plans. These plans provide for grants of qualified and non-qualified stock options, stock appreciation rights, restricted stock awards, RSUs, performance compensation awards, performance units, cash incentive awards and other types of equity-based and equity-related awards.</w:t>
      </w:r>
    </w:p>
    <w:p>
      <w:pPr>
        <w:spacing w:after="0" w:line="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All awards are recorded as equity or a liability in the Company’s consolidated balance sheets. The share-based compensation expense is directly recorded in salaries and related costs or integration-related expense.</w:t>
      </w:r>
    </w:p>
    <w:p>
      <w:pPr>
        <w:spacing w:after="0" w:line="7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generally grants incentive compensation awards, including long-term equity-based awards, during the first quarter of the calendar year. In the first quarter of 2015, UAL granted share-based compensation awards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4" w:name="page75"/>
    <w:bookmarkEnd w:id="7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United Continental Holdings, Inc. 2008 Incentive Compensation Plan. These share-based compensation awards include approximately 0.2 million shares of restricted stock and 0.3 million of time-vested RSUs that vest pro-rata over three years on the anniversary of the grant date. The time-vested RSUs are cash-settled based on the 20-day average closing price of UAL common stock immediately prior to the vesting date. In addition, UAL granted 0.6 million performance-based RSUs that will vest based on UAL’s return on invested capital and the Company’s relative improvement in pre-tax margin for the three years ending December 31, 2017. If these performance conditions are achieved, cash payments will be made after the end of the performance period based on the 20-day average closing price of UAL common stock immediately prior to the vesting date. The Company accounts for the RSUs as liability awards.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UAL’s share-based compensation plan cost for the years ended December 31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Compensation cost (a):</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2015</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2014</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60" w:type="dxa"/>
            <w:vAlign w:val="bottom"/>
            <w:gridSpan w:val="2"/>
            <w:shd w:val="clear" w:color="auto" w:fill="CCCCCC"/>
          </w:tcPr>
          <w:p>
            <w:pPr>
              <w:ind w:left="220"/>
              <w:spacing w:after="0"/>
              <w:rPr>
                <w:sz w:val="20"/>
                <w:szCs w:val="20"/>
                <w:color w:val="auto"/>
              </w:rPr>
            </w:pPr>
            <w:r>
              <w:rPr>
                <w:rFonts w:ascii="Arial" w:cs="Arial" w:eastAsia="Arial" w:hAnsi="Arial"/>
                <w:sz w:val="18"/>
                <w:szCs w:val="18"/>
                <w:color w:val="auto"/>
              </w:rPr>
              <w:t>RSUs</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104</w:t>
            </w:r>
          </w:p>
        </w:tc>
        <w:tc>
          <w:tcPr>
            <w:tcW w:w="9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2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CCCC"/>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CCCC"/>
          </w:tcPr>
          <w:p>
            <w:pPr>
              <w:spacing w:after="0"/>
              <w:rPr>
                <w:sz w:val="18"/>
                <w:szCs w:val="18"/>
                <w:color w:val="auto"/>
              </w:rPr>
            </w:pPr>
          </w:p>
        </w:tc>
        <w:tc>
          <w:tcPr>
            <w:tcW w:w="5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CCCC"/>
          </w:tcPr>
          <w:p>
            <w:pPr>
              <w:spacing w:after="0"/>
              <w:rPr>
                <w:sz w:val="18"/>
                <w:szCs w:val="18"/>
                <w:color w:val="auto"/>
              </w:rPr>
            </w:pPr>
          </w:p>
        </w:tc>
        <w:tc>
          <w:tcPr>
            <w:tcW w:w="16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CCCC"/>
          </w:tcPr>
          <w:p>
            <w:pPr>
              <w:spacing w:after="0"/>
              <w:rPr>
                <w:sz w:val="18"/>
                <w:szCs w:val="18"/>
                <w:color w:val="auto"/>
              </w:rPr>
            </w:pPr>
          </w:p>
        </w:tc>
        <w:tc>
          <w:tcPr>
            <w:tcW w:w="160" w:type="dxa"/>
            <w:vAlign w:val="bottom"/>
            <w:tcBorders>
              <w:bottom w:val="single" w:sz="8" w:color="auto"/>
            </w:tcBorders>
            <w:shd w:val="clear" w:color="auto" w:fill="CCCCCC"/>
          </w:tcPr>
          <w:p>
            <w:pPr>
              <w:spacing w:after="0"/>
              <w:rPr>
                <w:sz w:val="18"/>
                <w:szCs w:val="18"/>
                <w:color w:val="auto"/>
              </w:rPr>
            </w:pPr>
          </w:p>
        </w:tc>
        <w:tc>
          <w:tcPr>
            <w:tcW w:w="5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right="40" w:firstLine="8"/>
        <w:spacing w:after="0" w:line="239" w:lineRule="auto"/>
        <w:tabs>
          <w:tab w:leader="none" w:pos="184"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compensation cost is recorded to Salaries and related costs, with the exception of $3 million and $9 million in 2014 and 2013, respectively, that was recorded in integration-related costs as a component of special items.</w:t>
      </w:r>
    </w:p>
    <w:p>
      <w:pPr>
        <w:spacing w:after="0" w:line="8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table below summarizes UAL’s unearned compensation and weighted-average remaining period to recognize costs for all outstanding share-based awards that are probable of being achieved for the year ended December 31, 2015 (in millions, except as noted):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Remaining</w:t>
            </w:r>
          </w:p>
        </w:tc>
      </w:tr>
      <w:tr>
        <w:trPr>
          <w:trHeight w:val="216"/>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Unearned</w:t>
            </w:r>
          </w:p>
        </w:tc>
        <w:tc>
          <w:tcPr>
            <w:tcW w:w="116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Period</w:t>
            </w:r>
          </w:p>
        </w:tc>
      </w:tr>
      <w:tr>
        <w:trPr>
          <w:trHeight w:val="228"/>
        </w:trPr>
        <w:tc>
          <w:tcPr>
            <w:tcW w:w="8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116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 years)</w:t>
            </w:r>
          </w:p>
        </w:tc>
      </w:tr>
      <w:tr>
        <w:trPr>
          <w:trHeight w:val="212"/>
        </w:trPr>
        <w:tc>
          <w:tcPr>
            <w:tcW w:w="824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RSUs</w:t>
            </w: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37</w:t>
            </w:r>
          </w:p>
        </w:tc>
        <w:tc>
          <w:tcPr>
            <w:tcW w:w="1160" w:type="dxa"/>
            <w:vAlign w:val="bottom"/>
            <w:tcBorders>
              <w:top w:val="single" w:sz="8" w:color="CCCCCC"/>
            </w:tcBorders>
            <w:shd w:val="clear" w:color="auto" w:fill="CCCCCC"/>
          </w:tcPr>
          <w:p>
            <w:pPr>
              <w:spacing w:after="0"/>
              <w:rPr>
                <w:sz w:val="18"/>
                <w:szCs w:val="18"/>
                <w:color w:val="auto"/>
              </w:rPr>
            </w:pPr>
          </w:p>
        </w:tc>
        <w:tc>
          <w:tcPr>
            <w:tcW w:w="8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CCCC"/>
            </w:tcBorders>
            <w:shd w:val="clear" w:color="auto" w:fill="CCCCCC"/>
          </w:tcPr>
          <w:p>
            <w:pPr>
              <w:spacing w:after="0"/>
              <w:rPr>
                <w:sz w:val="18"/>
                <w:szCs w:val="18"/>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Restricted stock</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8240" w:type="dxa"/>
            <w:vAlign w:val="bottom"/>
            <w:shd w:val="clear" w:color="auto" w:fill="CCCCCC"/>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41</w:t>
            </w:r>
          </w:p>
        </w:tc>
        <w:tc>
          <w:tcPr>
            <w:tcW w:w="116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u w:val="single" w:color="auto"/>
          <w:color w:val="auto"/>
        </w:rPr>
        <w:t>RSUs and Restricted Stock</w:t>
      </w:r>
      <w:r>
        <w:rPr>
          <w:rFonts w:ascii="Arial" w:cs="Arial" w:eastAsia="Arial" w:hAnsi="Arial"/>
          <w:sz w:val="18"/>
          <w:szCs w:val="18"/>
          <w:color w:val="auto"/>
        </w:rPr>
        <w:t>. All outstanding RSUs are to be settled in cash. As of December 31, 2015, UAL had recorded a liability of $102 million related to its RSUs. UAL paid $85 million, $86 million and $29 million related to its RSUs during 2015, 2014 and 2013,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summarizes UAL’s RSUs and restricted stock activity for the years ended December 31 (shares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28"/>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83"/>
              </w:rPr>
              <w:t>RSUs</w:t>
            </w:r>
          </w:p>
        </w:tc>
        <w:tc>
          <w:tcPr>
            <w:tcW w:w="136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w w:val="85"/>
              </w:rPr>
              <w:t>Restricted Stock</w:t>
            </w:r>
          </w:p>
        </w:tc>
        <w:tc>
          <w:tcPr>
            <w:tcW w:w="78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Grant Price</w:t>
            </w:r>
          </w:p>
        </w:tc>
      </w:tr>
      <w:tr>
        <w:trPr>
          <w:trHeight w:val="212"/>
        </w:trPr>
        <w:tc>
          <w:tcPr>
            <w:tcW w:w="20" w:type="dxa"/>
            <w:vAlign w:val="bottom"/>
          </w:tcPr>
          <w:p>
            <w:pPr>
              <w:spacing w:after="0"/>
              <w:rPr>
                <w:sz w:val="18"/>
                <w:szCs w:val="18"/>
                <w:color w:val="auto"/>
              </w:rPr>
            </w:pPr>
          </w:p>
        </w:tc>
        <w:tc>
          <w:tcPr>
            <w:tcW w:w="660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Non-vested at December 31, 2012</w:t>
            </w:r>
          </w:p>
        </w:tc>
        <w:tc>
          <w:tcPr>
            <w:tcW w:w="420" w:type="dxa"/>
            <w:vAlign w:val="bottom"/>
            <w:tcBorders>
              <w:top w:val="single" w:sz="8" w:color="auto"/>
            </w:tcBorders>
            <w:shd w:val="clear" w:color="auto" w:fill="CCCCCC"/>
          </w:tcPr>
          <w:p>
            <w:pPr>
              <w:jc w:val="center"/>
              <w:ind w:left="32"/>
              <w:spacing w:after="0"/>
              <w:rPr>
                <w:sz w:val="20"/>
                <w:szCs w:val="20"/>
                <w:color w:val="auto"/>
              </w:rPr>
            </w:pPr>
            <w:r>
              <w:rPr>
                <w:rFonts w:ascii="Arial" w:cs="Arial" w:eastAsia="Arial" w:hAnsi="Arial"/>
                <w:sz w:val="18"/>
                <w:szCs w:val="18"/>
                <w:color w:val="auto"/>
                <w:w w:val="87"/>
              </w:rPr>
              <w:t>4.3</w:t>
            </w:r>
          </w:p>
        </w:tc>
        <w:tc>
          <w:tcPr>
            <w:tcW w:w="1360" w:type="dxa"/>
            <w:vAlign w:val="bottom"/>
            <w:tcBorders>
              <w:top w:val="single" w:sz="8" w:color="CCCCCC"/>
            </w:tcBorders>
            <w:shd w:val="clear" w:color="auto" w:fill="CCCCCC"/>
          </w:tcPr>
          <w:p>
            <w:pPr>
              <w:spacing w:after="0"/>
              <w:rPr>
                <w:sz w:val="18"/>
                <w:szCs w:val="18"/>
                <w:color w:val="auto"/>
              </w:rPr>
            </w:pPr>
          </w:p>
        </w:tc>
        <w:tc>
          <w:tcPr>
            <w:tcW w:w="1240" w:type="dxa"/>
            <w:vAlign w:val="bottom"/>
            <w:tcBorders>
              <w:top w:val="single" w:sz="8" w:color="auto"/>
            </w:tcBorders>
            <w:shd w:val="clear" w:color="auto" w:fill="CCCCCC"/>
          </w:tcPr>
          <w:p>
            <w:pPr>
              <w:jc w:val="center"/>
              <w:ind w:left="852"/>
              <w:spacing w:after="0"/>
              <w:rPr>
                <w:sz w:val="20"/>
                <w:szCs w:val="20"/>
                <w:color w:val="auto"/>
              </w:rPr>
            </w:pPr>
            <w:r>
              <w:rPr>
                <w:rFonts w:ascii="Arial" w:cs="Arial" w:eastAsia="Arial" w:hAnsi="Arial"/>
                <w:sz w:val="18"/>
                <w:szCs w:val="18"/>
                <w:color w:val="auto"/>
                <w:w w:val="87"/>
              </w:rPr>
              <w:t>0.8</w:t>
            </w:r>
          </w:p>
        </w:tc>
        <w:tc>
          <w:tcPr>
            <w:tcW w:w="780" w:type="dxa"/>
            <w:vAlign w:val="bottom"/>
            <w:tcBorders>
              <w:top w:val="single" w:sz="8" w:color="CCCCCC"/>
            </w:tcBorders>
            <w:shd w:val="clear" w:color="auto" w:fill="CCCCCC"/>
          </w:tcPr>
          <w:p>
            <w:pPr>
              <w:spacing w:after="0"/>
              <w:rPr>
                <w:sz w:val="18"/>
                <w:szCs w:val="18"/>
                <w:color w:val="auto"/>
              </w:rPr>
            </w:pPr>
          </w:p>
        </w:tc>
        <w:tc>
          <w:tcPr>
            <w:tcW w:w="1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Granted</w:t>
            </w:r>
          </w:p>
        </w:tc>
        <w:tc>
          <w:tcPr>
            <w:tcW w:w="420" w:type="dxa"/>
            <w:vAlign w:val="bottom"/>
          </w:tcPr>
          <w:p>
            <w:pPr>
              <w:jc w:val="center"/>
              <w:ind w:left="32"/>
              <w:spacing w:after="0"/>
              <w:rPr>
                <w:sz w:val="20"/>
                <w:szCs w:val="20"/>
                <w:color w:val="auto"/>
              </w:rPr>
            </w:pPr>
            <w:r>
              <w:rPr>
                <w:rFonts w:ascii="Arial" w:cs="Arial" w:eastAsia="Arial" w:hAnsi="Arial"/>
                <w:sz w:val="18"/>
                <w:szCs w:val="18"/>
                <w:color w:val="auto"/>
                <w:w w:val="87"/>
              </w:rPr>
              <w:t>1.8</w:t>
            </w:r>
          </w:p>
        </w:tc>
        <w:tc>
          <w:tcPr>
            <w:tcW w:w="2600" w:type="dxa"/>
            <w:vAlign w:val="bottom"/>
            <w:gridSpan w:val="2"/>
          </w:tcPr>
          <w:p>
            <w:pPr>
              <w:jc w:val="center"/>
              <w:ind w:left="2212"/>
              <w:spacing w:after="0"/>
              <w:rPr>
                <w:sz w:val="20"/>
                <w:szCs w:val="20"/>
                <w:color w:val="auto"/>
              </w:rPr>
            </w:pPr>
            <w:r>
              <w:rPr>
                <w:rFonts w:ascii="Arial" w:cs="Arial" w:eastAsia="Arial" w:hAnsi="Arial"/>
                <w:sz w:val="18"/>
                <w:szCs w:val="18"/>
                <w:color w:val="auto"/>
                <w:w w:val="87"/>
              </w:rPr>
              <w:t>0.5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CCCC"/>
          </w:tcPr>
          <w:p>
            <w:pPr>
              <w:ind w:left="20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1"/>
              </w:rPr>
              <w:t>(0.5)</w:t>
            </w:r>
          </w:p>
        </w:tc>
        <w:tc>
          <w:tcPr>
            <w:tcW w:w="2600" w:type="dxa"/>
            <w:vAlign w:val="bottom"/>
            <w:gridSpan w:val="2"/>
            <w:shd w:val="clear" w:color="auto" w:fill="CCCCCC"/>
          </w:tcPr>
          <w:p>
            <w:pPr>
              <w:jc w:val="center"/>
              <w:ind w:left="2172"/>
              <w:spacing w:after="0"/>
              <w:rPr>
                <w:sz w:val="20"/>
                <w:szCs w:val="20"/>
                <w:color w:val="auto"/>
              </w:rPr>
            </w:pPr>
            <w:r>
              <w:rPr>
                <w:rFonts w:ascii="Arial" w:cs="Arial" w:eastAsia="Arial" w:hAnsi="Arial"/>
                <w:sz w:val="18"/>
                <w:szCs w:val="18"/>
                <w:color w:val="auto"/>
                <w:w w:val="91"/>
              </w:rPr>
              <w:t>(0.3)</w:t>
            </w:r>
          </w:p>
        </w:tc>
        <w:tc>
          <w:tcPr>
            <w:tcW w:w="7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(0.2)</w:t>
            </w:r>
          </w:p>
        </w:tc>
        <w:tc>
          <w:tcPr>
            <w:tcW w:w="1360" w:type="dxa"/>
            <w:vAlign w:val="bottom"/>
          </w:tcPr>
          <w:p>
            <w:pPr>
              <w:spacing w:after="0"/>
              <w:rPr>
                <w:sz w:val="19"/>
                <w:szCs w:val="19"/>
                <w:color w:val="auto"/>
              </w:rPr>
            </w:pPr>
          </w:p>
        </w:tc>
        <w:tc>
          <w:tcPr>
            <w:tcW w:w="124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91"/>
              </w:rPr>
              <w:t>(0.1)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CCCC"/>
          </w:tcPr>
          <w:p>
            <w:pPr>
              <w:spacing w:after="0"/>
              <w:rPr>
                <w:sz w:val="20"/>
                <w:szCs w:val="20"/>
                <w:color w:val="auto"/>
              </w:rPr>
            </w:pPr>
            <w:r>
              <w:rPr>
                <w:rFonts w:ascii="Arial" w:cs="Arial" w:eastAsia="Arial" w:hAnsi="Arial"/>
                <w:sz w:val="18"/>
                <w:szCs w:val="18"/>
                <w:color w:val="auto"/>
              </w:rPr>
              <w:t>Non-vested at December 31, 2013</w:t>
            </w:r>
          </w:p>
        </w:tc>
        <w:tc>
          <w:tcPr>
            <w:tcW w:w="420" w:type="dxa"/>
            <w:vAlign w:val="bottom"/>
            <w:shd w:val="clear" w:color="auto" w:fill="CCCCCC"/>
          </w:tcPr>
          <w:p>
            <w:pPr>
              <w:jc w:val="center"/>
              <w:ind w:left="32"/>
              <w:spacing w:after="0"/>
              <w:rPr>
                <w:sz w:val="20"/>
                <w:szCs w:val="20"/>
                <w:color w:val="auto"/>
              </w:rPr>
            </w:pPr>
            <w:r>
              <w:rPr>
                <w:rFonts w:ascii="Arial" w:cs="Arial" w:eastAsia="Arial" w:hAnsi="Arial"/>
                <w:sz w:val="18"/>
                <w:szCs w:val="18"/>
                <w:color w:val="auto"/>
                <w:w w:val="87"/>
              </w:rPr>
              <w:t>5.4</w:t>
            </w:r>
          </w:p>
        </w:tc>
        <w:tc>
          <w:tcPr>
            <w:tcW w:w="2600" w:type="dxa"/>
            <w:vAlign w:val="bottom"/>
            <w:gridSpan w:val="2"/>
            <w:shd w:val="clear" w:color="auto" w:fill="CCCCCC"/>
          </w:tcPr>
          <w:p>
            <w:pPr>
              <w:jc w:val="center"/>
              <w:ind w:left="2212"/>
              <w:spacing w:after="0"/>
              <w:rPr>
                <w:sz w:val="20"/>
                <w:szCs w:val="20"/>
                <w:color w:val="auto"/>
              </w:rPr>
            </w:pPr>
            <w:r>
              <w:rPr>
                <w:rFonts w:ascii="Arial" w:cs="Arial" w:eastAsia="Arial" w:hAnsi="Arial"/>
                <w:sz w:val="18"/>
                <w:szCs w:val="18"/>
                <w:color w:val="auto"/>
                <w:w w:val="87"/>
              </w:rPr>
              <w:t>0.9</w:t>
            </w:r>
          </w:p>
        </w:tc>
        <w:tc>
          <w:tcPr>
            <w:tcW w:w="7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Granted</w:t>
            </w:r>
          </w:p>
        </w:tc>
        <w:tc>
          <w:tcPr>
            <w:tcW w:w="420" w:type="dxa"/>
            <w:vAlign w:val="bottom"/>
          </w:tcPr>
          <w:p>
            <w:pPr>
              <w:jc w:val="center"/>
              <w:ind w:left="32"/>
              <w:spacing w:after="0"/>
              <w:rPr>
                <w:sz w:val="20"/>
                <w:szCs w:val="20"/>
                <w:color w:val="auto"/>
              </w:rPr>
            </w:pPr>
            <w:r>
              <w:rPr>
                <w:rFonts w:ascii="Arial" w:cs="Arial" w:eastAsia="Arial" w:hAnsi="Arial"/>
                <w:sz w:val="18"/>
                <w:szCs w:val="18"/>
                <w:color w:val="auto"/>
                <w:w w:val="87"/>
              </w:rPr>
              <w:t>0.9</w:t>
            </w:r>
          </w:p>
        </w:tc>
        <w:tc>
          <w:tcPr>
            <w:tcW w:w="2600" w:type="dxa"/>
            <w:vAlign w:val="bottom"/>
            <w:gridSpan w:val="2"/>
          </w:tcPr>
          <w:p>
            <w:pPr>
              <w:jc w:val="center"/>
              <w:ind w:left="2212"/>
              <w:spacing w:after="0"/>
              <w:rPr>
                <w:sz w:val="20"/>
                <w:szCs w:val="20"/>
                <w:color w:val="auto"/>
              </w:rPr>
            </w:pPr>
            <w:r>
              <w:rPr>
                <w:rFonts w:ascii="Arial" w:cs="Arial" w:eastAsia="Arial" w:hAnsi="Arial"/>
                <w:sz w:val="18"/>
                <w:szCs w:val="18"/>
                <w:color w:val="auto"/>
                <w:w w:val="87"/>
              </w:rPr>
              <w:t>0.3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CCCC"/>
          </w:tcPr>
          <w:p>
            <w:pPr>
              <w:ind w:left="20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1"/>
              </w:rPr>
              <w:t>(2.2)</w:t>
            </w:r>
          </w:p>
        </w:tc>
        <w:tc>
          <w:tcPr>
            <w:tcW w:w="2600" w:type="dxa"/>
            <w:vAlign w:val="bottom"/>
            <w:gridSpan w:val="2"/>
            <w:shd w:val="clear" w:color="auto" w:fill="CCCCCC"/>
          </w:tcPr>
          <w:p>
            <w:pPr>
              <w:jc w:val="center"/>
              <w:ind w:left="2172"/>
              <w:spacing w:after="0"/>
              <w:rPr>
                <w:sz w:val="20"/>
                <w:szCs w:val="20"/>
                <w:color w:val="auto"/>
              </w:rPr>
            </w:pPr>
            <w:r>
              <w:rPr>
                <w:rFonts w:ascii="Arial" w:cs="Arial" w:eastAsia="Arial" w:hAnsi="Arial"/>
                <w:sz w:val="18"/>
                <w:szCs w:val="18"/>
                <w:color w:val="auto"/>
                <w:w w:val="91"/>
              </w:rPr>
              <w:t>(0.4)</w:t>
            </w:r>
          </w:p>
        </w:tc>
        <w:tc>
          <w:tcPr>
            <w:tcW w:w="7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(0.3)</w:t>
            </w:r>
          </w:p>
        </w:tc>
        <w:tc>
          <w:tcPr>
            <w:tcW w:w="1360" w:type="dxa"/>
            <w:vAlign w:val="bottom"/>
          </w:tcPr>
          <w:p>
            <w:pPr>
              <w:spacing w:after="0"/>
              <w:rPr>
                <w:sz w:val="19"/>
                <w:szCs w:val="19"/>
                <w:color w:val="auto"/>
              </w:rPr>
            </w:pPr>
          </w:p>
        </w:tc>
        <w:tc>
          <w:tcPr>
            <w:tcW w:w="124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91"/>
              </w:rPr>
              <w:t>(0.1)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CCCC"/>
          </w:tcPr>
          <w:p>
            <w:pPr>
              <w:spacing w:after="0"/>
              <w:rPr>
                <w:sz w:val="20"/>
                <w:szCs w:val="20"/>
                <w:color w:val="auto"/>
              </w:rPr>
            </w:pPr>
            <w:r>
              <w:rPr>
                <w:rFonts w:ascii="Arial" w:cs="Arial" w:eastAsia="Arial" w:hAnsi="Arial"/>
                <w:sz w:val="18"/>
                <w:szCs w:val="18"/>
                <w:color w:val="auto"/>
              </w:rPr>
              <w:t>Non-vested at December 31, 2014</w:t>
            </w:r>
          </w:p>
        </w:tc>
        <w:tc>
          <w:tcPr>
            <w:tcW w:w="420" w:type="dxa"/>
            <w:vAlign w:val="bottom"/>
            <w:shd w:val="clear" w:color="auto" w:fill="CCCCCC"/>
          </w:tcPr>
          <w:p>
            <w:pPr>
              <w:jc w:val="center"/>
              <w:ind w:left="32"/>
              <w:spacing w:after="0"/>
              <w:rPr>
                <w:sz w:val="20"/>
                <w:szCs w:val="20"/>
                <w:color w:val="auto"/>
              </w:rPr>
            </w:pPr>
            <w:r>
              <w:rPr>
                <w:rFonts w:ascii="Arial" w:cs="Arial" w:eastAsia="Arial" w:hAnsi="Arial"/>
                <w:sz w:val="18"/>
                <w:szCs w:val="18"/>
                <w:color w:val="auto"/>
                <w:w w:val="87"/>
              </w:rPr>
              <w:t>3.8</w:t>
            </w:r>
          </w:p>
        </w:tc>
        <w:tc>
          <w:tcPr>
            <w:tcW w:w="2600" w:type="dxa"/>
            <w:vAlign w:val="bottom"/>
            <w:gridSpan w:val="2"/>
            <w:shd w:val="clear" w:color="auto" w:fill="CCCCCC"/>
          </w:tcPr>
          <w:p>
            <w:pPr>
              <w:jc w:val="center"/>
              <w:ind w:left="2212"/>
              <w:spacing w:after="0"/>
              <w:rPr>
                <w:sz w:val="20"/>
                <w:szCs w:val="20"/>
                <w:color w:val="auto"/>
              </w:rPr>
            </w:pPr>
            <w:r>
              <w:rPr>
                <w:rFonts w:ascii="Arial" w:cs="Arial" w:eastAsia="Arial" w:hAnsi="Arial"/>
                <w:sz w:val="18"/>
                <w:szCs w:val="18"/>
                <w:color w:val="auto"/>
                <w:w w:val="87"/>
              </w:rPr>
              <w:t>0.7</w:t>
            </w:r>
          </w:p>
        </w:tc>
        <w:tc>
          <w:tcPr>
            <w:tcW w:w="7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Granted</w:t>
            </w:r>
          </w:p>
        </w:tc>
        <w:tc>
          <w:tcPr>
            <w:tcW w:w="420" w:type="dxa"/>
            <w:vAlign w:val="bottom"/>
          </w:tcPr>
          <w:p>
            <w:pPr>
              <w:jc w:val="center"/>
              <w:ind w:left="32"/>
              <w:spacing w:after="0"/>
              <w:rPr>
                <w:sz w:val="20"/>
                <w:szCs w:val="20"/>
                <w:color w:val="auto"/>
              </w:rPr>
            </w:pPr>
            <w:r>
              <w:rPr>
                <w:rFonts w:ascii="Arial" w:cs="Arial" w:eastAsia="Arial" w:hAnsi="Arial"/>
                <w:sz w:val="18"/>
                <w:szCs w:val="18"/>
                <w:color w:val="auto"/>
                <w:w w:val="87"/>
              </w:rPr>
              <w:t>1.0</w:t>
            </w:r>
          </w:p>
        </w:tc>
        <w:tc>
          <w:tcPr>
            <w:tcW w:w="2600" w:type="dxa"/>
            <w:vAlign w:val="bottom"/>
            <w:gridSpan w:val="2"/>
          </w:tcPr>
          <w:p>
            <w:pPr>
              <w:jc w:val="center"/>
              <w:ind w:left="2212"/>
              <w:spacing w:after="0"/>
              <w:rPr>
                <w:sz w:val="20"/>
                <w:szCs w:val="20"/>
                <w:color w:val="auto"/>
              </w:rPr>
            </w:pPr>
            <w:r>
              <w:rPr>
                <w:rFonts w:ascii="Arial" w:cs="Arial" w:eastAsia="Arial" w:hAnsi="Arial"/>
                <w:sz w:val="18"/>
                <w:szCs w:val="18"/>
                <w:color w:val="auto"/>
                <w:w w:val="87"/>
              </w:rPr>
              <w:t>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CCCC"/>
          </w:tcPr>
          <w:p>
            <w:pPr>
              <w:ind w:left="20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1"/>
              </w:rPr>
              <w:t>(1.6)</w:t>
            </w:r>
          </w:p>
        </w:tc>
        <w:tc>
          <w:tcPr>
            <w:tcW w:w="2600" w:type="dxa"/>
            <w:vAlign w:val="bottom"/>
            <w:gridSpan w:val="2"/>
            <w:shd w:val="clear" w:color="auto" w:fill="CCCCCC"/>
          </w:tcPr>
          <w:p>
            <w:pPr>
              <w:jc w:val="center"/>
              <w:ind w:left="2172"/>
              <w:spacing w:after="0"/>
              <w:rPr>
                <w:sz w:val="20"/>
                <w:szCs w:val="20"/>
                <w:color w:val="auto"/>
              </w:rPr>
            </w:pPr>
            <w:r>
              <w:rPr>
                <w:rFonts w:ascii="Arial" w:cs="Arial" w:eastAsia="Arial" w:hAnsi="Arial"/>
                <w:sz w:val="18"/>
                <w:szCs w:val="18"/>
                <w:color w:val="auto"/>
                <w:w w:val="91"/>
              </w:rPr>
              <w:t>(0.4)</w:t>
            </w:r>
          </w:p>
        </w:tc>
        <w:tc>
          <w:tcPr>
            <w:tcW w:w="7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w:t>
            </w:r>
          </w:p>
        </w:tc>
        <w:tc>
          <w:tcPr>
            <w:tcW w:w="1360" w:type="dxa"/>
            <w:vAlign w:val="bottom"/>
          </w:tcPr>
          <w:p>
            <w:pPr>
              <w:spacing w:after="0"/>
              <w:rPr>
                <w:sz w:val="19"/>
                <w:szCs w:val="19"/>
                <w:color w:val="auto"/>
              </w:rPr>
            </w:pPr>
          </w:p>
        </w:tc>
        <w:tc>
          <w:tcPr>
            <w:tcW w:w="124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91"/>
              </w:rPr>
              <w:t>(0.2)</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CCCC"/>
          </w:tcPr>
          <w:p>
            <w:pPr>
              <w:spacing w:after="0"/>
              <w:rPr>
                <w:sz w:val="20"/>
                <w:szCs w:val="20"/>
                <w:color w:val="auto"/>
              </w:rPr>
            </w:pPr>
            <w:r>
              <w:rPr>
                <w:rFonts w:ascii="Arial" w:cs="Arial" w:eastAsia="Arial" w:hAnsi="Arial"/>
                <w:sz w:val="18"/>
                <w:szCs w:val="18"/>
                <w:color w:val="auto"/>
              </w:rPr>
              <w:t>Non-vested at December 31, 2015</w:t>
            </w:r>
          </w:p>
        </w:tc>
        <w:tc>
          <w:tcPr>
            <w:tcW w:w="420" w:type="dxa"/>
            <w:vAlign w:val="bottom"/>
            <w:shd w:val="clear" w:color="auto" w:fill="CCCCCC"/>
          </w:tcPr>
          <w:p>
            <w:pPr>
              <w:jc w:val="center"/>
              <w:ind w:left="32"/>
              <w:spacing w:after="0"/>
              <w:rPr>
                <w:sz w:val="20"/>
                <w:szCs w:val="20"/>
                <w:color w:val="auto"/>
              </w:rPr>
            </w:pPr>
            <w:r>
              <w:rPr>
                <w:rFonts w:ascii="Arial" w:cs="Arial" w:eastAsia="Arial" w:hAnsi="Arial"/>
                <w:sz w:val="18"/>
                <w:szCs w:val="18"/>
                <w:color w:val="auto"/>
                <w:w w:val="87"/>
              </w:rPr>
              <w:t>2.6</w:t>
            </w:r>
          </w:p>
        </w:tc>
        <w:tc>
          <w:tcPr>
            <w:tcW w:w="2600" w:type="dxa"/>
            <w:vAlign w:val="bottom"/>
            <w:gridSpan w:val="2"/>
            <w:shd w:val="clear" w:color="auto" w:fill="CCCCCC"/>
          </w:tcPr>
          <w:p>
            <w:pPr>
              <w:jc w:val="center"/>
              <w:ind w:left="2212"/>
              <w:spacing w:after="0"/>
              <w:rPr>
                <w:sz w:val="20"/>
                <w:szCs w:val="20"/>
                <w:color w:val="auto"/>
              </w:rPr>
            </w:pPr>
            <w:r>
              <w:rPr>
                <w:rFonts w:ascii="Arial" w:cs="Arial" w:eastAsia="Arial" w:hAnsi="Arial"/>
                <w:sz w:val="18"/>
                <w:szCs w:val="18"/>
                <w:color w:val="auto"/>
                <w:w w:val="87"/>
              </w:rPr>
              <w:t>0.3</w:t>
            </w:r>
          </w:p>
        </w:tc>
        <w:tc>
          <w:tcPr>
            <w:tcW w:w="7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48.68</w:t>
            </w:r>
          </w:p>
        </w:tc>
        <w:tc>
          <w:tcPr>
            <w:tcW w:w="100" w:type="dxa"/>
            <w:vAlign w:val="bottom"/>
            <w:shd w:val="clear" w:color="auto" w:fill="CCCCC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fair value of RSUs and restricted stock that vested in 2015, 2014 and 2013 was $92 million, $97 million and $22 million, respectively. The fair value of the restricted stock awards was based upon the UAL common stock price on the date of grant. These awards are accounted for as equity awards. The fair value of the RSUs was based on the UAL common stock price as of the last day preceding the settlement date. These awards were accounted for as liability awards. Restricted stock vesting and the recognition of the expense is similar to the stock option vesting described below.</w:t>
      </w:r>
    </w:p>
    <w:p>
      <w:pPr>
        <w:spacing w:after="0" w:line="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UAL has not granted any stock options since 2010. Historically, stock options were awarded with exercise prices equal to the fair market value of UAL’s common stock on the date of grant. UAL stock options generally vested over a period of either three or four years and have a contractual life of 10 years. Expense related to each portion of an option grant was recognized on a straight-line basis over the specific vesting period for those options. The Company determined the fair value of stock options at the grant date using a Black Scholes option pricing model. As of December 31, 2015, there were less than 0.5 million outstanding stock option awards, all of which were exercisable, with a weighted-average exercise price of $26.80.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6 - ACCUMULATED OTHER COMPREHENSIVE INCOME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the Company’s accumulated other comprehensive income (loss) (“AOCI”), net of tax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vMerge w:val="restart"/>
          </w:tcPr>
          <w:p>
            <w:pPr>
              <w:jc w:val="center"/>
              <w:ind w:right="660"/>
              <w:spacing w:after="0"/>
              <w:rPr>
                <w:sz w:val="20"/>
                <w:szCs w:val="20"/>
                <w:color w:val="auto"/>
              </w:rPr>
            </w:pPr>
            <w:r>
              <w:rPr>
                <w:rFonts w:ascii="Arial" w:cs="Arial" w:eastAsia="Arial" w:hAnsi="Arial"/>
                <w:sz w:val="18"/>
                <w:szCs w:val="18"/>
                <w:b w:val="1"/>
                <w:bCs w:val="1"/>
                <w:color w:val="auto"/>
                <w:w w:val="85"/>
              </w:rPr>
              <w:t>Pension and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Deferred Taxes</w:t>
            </w: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Other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Postretirement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Unrecognized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Actuarial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4"/>
              </w:rPr>
              <w:t>Pension and</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3"/>
              </w:rPr>
              <w:t>Gains (Losses)</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UAL (a)</w:t>
            </w:r>
          </w:p>
        </w:tc>
        <w:tc>
          <w:tcPr>
            <w:tcW w:w="100" w:type="dxa"/>
            <w:vAlign w:val="bottom"/>
          </w:tcPr>
          <w:p>
            <w:pPr>
              <w:spacing w:after="0"/>
              <w:rPr>
                <w:sz w:val="18"/>
                <w:szCs w:val="18"/>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and Prior</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Gains (Losses)</w:t>
            </w:r>
          </w:p>
        </w:tc>
        <w:tc>
          <w:tcPr>
            <w:tcW w:w="340" w:type="dxa"/>
            <w:vAlign w:val="bottom"/>
          </w:tcPr>
          <w:p>
            <w:pPr>
              <w:spacing w:after="0"/>
              <w:rPr>
                <w:sz w:val="18"/>
                <w:szCs w:val="18"/>
                <w:color w:val="auto"/>
              </w:rPr>
            </w:pPr>
          </w:p>
        </w:tc>
        <w:tc>
          <w:tcPr>
            <w:tcW w:w="13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85"/>
              </w:rPr>
              <w:t>Investments</w:t>
            </w: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6"/>
              </w:rPr>
              <w:t>Postretirement</w:t>
            </w: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Derivative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gridSpan w:val="4"/>
            <w:vMerge w:val="continue"/>
          </w:tcPr>
          <w:p>
            <w:pPr>
              <w:spacing w:after="0"/>
              <w:rPr>
                <w:sz w:val="18"/>
                <w:szCs w:val="18"/>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4"/>
              </w:rPr>
              <w:t>Service Cost</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on Derivatives</w:t>
            </w:r>
          </w:p>
        </w:tc>
        <w:tc>
          <w:tcPr>
            <w:tcW w:w="340" w:type="dxa"/>
            <w:vAlign w:val="bottom"/>
          </w:tcPr>
          <w:p>
            <w:pPr>
              <w:spacing w:after="0"/>
              <w:rPr>
                <w:sz w:val="18"/>
                <w:szCs w:val="18"/>
                <w:color w:val="auto"/>
              </w:rPr>
            </w:pPr>
          </w:p>
        </w:tc>
        <w:tc>
          <w:tcPr>
            <w:tcW w:w="1340" w:type="dxa"/>
            <w:vAlign w:val="bottom"/>
            <w:gridSpan w:val="5"/>
          </w:tcPr>
          <w:p>
            <w:pPr>
              <w:ind w:left="60"/>
              <w:spacing w:after="0"/>
              <w:rPr>
                <w:sz w:val="20"/>
                <w:szCs w:val="20"/>
                <w:color w:val="auto"/>
              </w:rPr>
            </w:pPr>
            <w:r>
              <w:rPr>
                <w:rFonts w:ascii="Arial" w:cs="Arial" w:eastAsia="Arial" w:hAnsi="Arial"/>
                <w:sz w:val="18"/>
                <w:szCs w:val="18"/>
                <w:b w:val="1"/>
                <w:bCs w:val="1"/>
                <w:color w:val="auto"/>
              </w:rPr>
              <w:t>and Other</w:t>
            </w: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Liabilities</w:t>
            </w:r>
          </w:p>
        </w:tc>
        <w:tc>
          <w:tcPr>
            <w:tcW w:w="1460" w:type="dxa"/>
            <w:vAlign w:val="bottom"/>
            <w:gridSpan w:val="4"/>
          </w:tcPr>
          <w:p>
            <w:pPr>
              <w:ind w:left="2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CCCC"/>
            </w:tcBorders>
            <w:shd w:val="clear" w:color="auto" w:fill="000000"/>
          </w:tcPr>
          <w:p>
            <w:pPr>
              <w:spacing w:after="0" w:line="20" w:lineRule="exact"/>
              <w:rPr>
                <w:sz w:val="1"/>
                <w:szCs w:val="1"/>
                <w:color w:val="auto"/>
              </w:rPr>
            </w:pPr>
          </w:p>
        </w:tc>
        <w:tc>
          <w:tcPr>
            <w:tcW w:w="1740" w:type="dxa"/>
            <w:vAlign w:val="bottom"/>
            <w:tcBorders>
              <w:bottom w:val="single" w:sz="8" w:color="CCCCCC"/>
            </w:tcBorders>
          </w:tcPr>
          <w:p>
            <w:pPr>
              <w:spacing w:after="0" w:line="20" w:lineRule="exact"/>
              <w:rPr>
                <w:sz w:val="1"/>
                <w:szCs w:val="1"/>
                <w:color w:val="auto"/>
              </w:rPr>
            </w:pPr>
          </w:p>
        </w:tc>
        <w:tc>
          <w:tcPr>
            <w:tcW w:w="1020" w:type="dxa"/>
            <w:vAlign w:val="bottom"/>
            <w:tcBorders>
              <w:bottom w:val="single" w:sz="8" w:color="CCCC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CCC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CCCC"/>
            </w:tcBorders>
          </w:tcPr>
          <w:p>
            <w:pPr>
              <w:spacing w:after="0" w:line="20" w:lineRule="exact"/>
              <w:rPr>
                <w:sz w:val="1"/>
                <w:szCs w:val="1"/>
                <w:color w:val="auto"/>
              </w:rPr>
            </w:pPr>
          </w:p>
        </w:tc>
        <w:tc>
          <w:tcPr>
            <w:tcW w:w="340" w:type="dxa"/>
            <w:vAlign w:val="bottom"/>
            <w:tcBorders>
              <w:bottom w:val="single" w:sz="8" w:color="CCCC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CCCC"/>
            </w:tcBorders>
          </w:tcPr>
          <w:p>
            <w:pPr>
              <w:spacing w:after="0" w:line="20" w:lineRule="exact"/>
              <w:rPr>
                <w:sz w:val="1"/>
                <w:szCs w:val="1"/>
                <w:color w:val="auto"/>
              </w:rPr>
            </w:pPr>
          </w:p>
        </w:tc>
        <w:tc>
          <w:tcPr>
            <w:tcW w:w="300" w:type="dxa"/>
            <w:vAlign w:val="bottom"/>
            <w:tcBorders>
              <w:bottom w:val="single" w:sz="8" w:color="CCCCC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CC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CC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CC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300" w:type="dxa"/>
            <w:vAlign w:val="bottom"/>
            <w:gridSpan w:val="3"/>
            <w:shd w:val="clear" w:color="auto" w:fill="CCCCCC"/>
          </w:tcPr>
          <w:p>
            <w:pPr>
              <w:spacing w:after="0" w:line="136" w:lineRule="exact"/>
              <w:rPr>
                <w:sz w:val="20"/>
                <w:szCs w:val="20"/>
                <w:color w:val="auto"/>
              </w:rPr>
            </w:pPr>
            <w:r>
              <w:rPr>
                <w:rFonts w:ascii="Arial" w:cs="Arial" w:eastAsia="Arial" w:hAnsi="Arial"/>
                <w:sz w:val="14"/>
                <w:szCs w:val="14"/>
                <w:color w:val="auto"/>
              </w:rPr>
              <w:t>Balance at December 31, 2012</w:t>
            </w:r>
          </w:p>
        </w:tc>
        <w:tc>
          <w:tcPr>
            <w:tcW w:w="10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(927)</w:t>
            </w:r>
          </w:p>
        </w:tc>
        <w:tc>
          <w:tcPr>
            <w:tcW w:w="560" w:type="dxa"/>
            <w:vAlign w:val="bottom"/>
            <w:shd w:val="clear" w:color="auto" w:fill="CCCCCC"/>
          </w:tcPr>
          <w:p>
            <w:pPr>
              <w:spacing w:after="0"/>
              <w:rPr>
                <w:sz w:val="11"/>
                <w:szCs w:val="11"/>
                <w:color w:val="auto"/>
              </w:rPr>
            </w:pPr>
          </w:p>
        </w:tc>
        <w:tc>
          <w:tcPr>
            <w:tcW w:w="500" w:type="dxa"/>
            <w:vAlign w:val="bottom"/>
            <w:tcBorders>
              <w:bottom w:val="single" w:sz="8" w:color="auto"/>
            </w:tcBorders>
            <w:shd w:val="clear" w:color="auto" w:fill="CCCCCC"/>
          </w:tcPr>
          <w:p>
            <w:pPr>
              <w:ind w:left="20"/>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CCCC"/>
          </w:tcPr>
          <w:p>
            <w:pPr>
              <w:spacing w:after="0"/>
              <w:rPr>
                <w:sz w:val="11"/>
                <w:szCs w:val="11"/>
                <w:color w:val="auto"/>
              </w:rPr>
            </w:pPr>
          </w:p>
        </w:tc>
        <w:tc>
          <w:tcPr>
            <w:tcW w:w="46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(10)</w:t>
            </w:r>
          </w:p>
        </w:tc>
        <w:tc>
          <w:tcPr>
            <w:tcW w:w="10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320" w:type="dxa"/>
            <w:vAlign w:val="bottom"/>
            <w:tcBorders>
              <w:bottom w:val="single" w:sz="8" w:color="auto"/>
            </w:tcBorders>
            <w:shd w:val="clear" w:color="auto" w:fill="CCCCCC"/>
          </w:tcPr>
          <w:p>
            <w:pPr>
              <w:jc w:val="right"/>
              <w:ind w:right="139"/>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CCCC"/>
          </w:tcPr>
          <w:p>
            <w:pPr>
              <w:spacing w:after="0"/>
              <w:rPr>
                <w:sz w:val="11"/>
                <w:szCs w:val="11"/>
                <w:color w:val="auto"/>
              </w:rPr>
            </w:pPr>
          </w:p>
        </w:tc>
        <w:tc>
          <w:tcPr>
            <w:tcW w:w="44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6</w:t>
            </w:r>
          </w:p>
        </w:tc>
        <w:tc>
          <w:tcPr>
            <w:tcW w:w="120" w:type="dxa"/>
            <w:vAlign w:val="bottom"/>
            <w:shd w:val="clear" w:color="auto" w:fill="CCCCCC"/>
          </w:tcPr>
          <w:p>
            <w:pPr>
              <w:spacing w:after="0"/>
              <w:rPr>
                <w:sz w:val="11"/>
                <w:szCs w:val="11"/>
                <w:color w:val="auto"/>
              </w:rPr>
            </w:pPr>
          </w:p>
        </w:tc>
        <w:tc>
          <w:tcPr>
            <w:tcW w:w="300" w:type="dxa"/>
            <w:vAlign w:val="bottom"/>
            <w:shd w:val="clear" w:color="auto" w:fill="CCCCCC"/>
          </w:tcPr>
          <w:p>
            <w:pPr>
              <w:spacing w:after="0"/>
              <w:rPr>
                <w:sz w:val="11"/>
                <w:szCs w:val="11"/>
                <w:color w:val="auto"/>
              </w:rPr>
            </w:pPr>
          </w:p>
        </w:tc>
        <w:tc>
          <w:tcPr>
            <w:tcW w:w="380" w:type="dxa"/>
            <w:vAlign w:val="bottom"/>
            <w:tcBorders>
              <w:bottom w:val="single" w:sz="8" w:color="auto"/>
            </w:tcBorders>
            <w:shd w:val="clear" w:color="auto" w:fill="CCCCCC"/>
          </w:tcPr>
          <w:p>
            <w:pPr>
              <w:jc w:val="right"/>
              <w:ind w:right="201"/>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CCCC"/>
          </w:tcPr>
          <w:p>
            <w:pPr>
              <w:spacing w:after="0"/>
              <w:rPr>
                <w:sz w:val="11"/>
                <w:szCs w:val="11"/>
                <w:color w:val="auto"/>
              </w:rPr>
            </w:pPr>
          </w:p>
        </w:tc>
        <w:tc>
          <w:tcPr>
            <w:tcW w:w="640" w:type="dxa"/>
            <w:vAlign w:val="bottom"/>
            <w:tcBorders>
              <w:bottom w:val="single" w:sz="8" w:color="auto"/>
              <w:right w:val="single" w:sz="8" w:color="CCCCCC"/>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(115)</w:t>
            </w:r>
          </w:p>
        </w:tc>
        <w:tc>
          <w:tcPr>
            <w:tcW w:w="220" w:type="dxa"/>
            <w:vAlign w:val="bottom"/>
            <w:shd w:val="clear" w:color="auto" w:fill="CCCCCC"/>
          </w:tcPr>
          <w:p>
            <w:pPr>
              <w:spacing w:after="0"/>
              <w:rPr>
                <w:sz w:val="11"/>
                <w:szCs w:val="11"/>
                <w:color w:val="auto"/>
              </w:rPr>
            </w:pPr>
          </w:p>
        </w:tc>
        <w:tc>
          <w:tcPr>
            <w:tcW w:w="340" w:type="dxa"/>
            <w:vAlign w:val="bottom"/>
            <w:tcBorders>
              <w:bottom w:val="single" w:sz="8" w:color="auto"/>
            </w:tcBorders>
            <w:shd w:val="clear" w:color="auto" w:fill="CCCCCC"/>
          </w:tcPr>
          <w:p>
            <w:pPr>
              <w:ind w:left="20"/>
              <w:spacing w:after="0" w:line="136"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CCCC"/>
          </w:tcPr>
          <w:p>
            <w:pPr>
              <w:spacing w:after="0"/>
              <w:rPr>
                <w:sz w:val="11"/>
                <w:szCs w:val="11"/>
                <w:color w:val="auto"/>
              </w:rPr>
            </w:pPr>
          </w:p>
        </w:tc>
        <w:tc>
          <w:tcPr>
            <w:tcW w:w="40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ind w:right="452"/>
              <w:spacing w:after="0" w:line="136" w:lineRule="exact"/>
              <w:rPr>
                <w:sz w:val="20"/>
                <w:szCs w:val="20"/>
                <w:color w:val="auto"/>
              </w:rPr>
            </w:pPr>
            <w:r>
              <w:rPr>
                <w:rFonts w:ascii="Arial" w:cs="Arial" w:eastAsia="Arial" w:hAnsi="Arial"/>
                <w:sz w:val="14"/>
                <w:szCs w:val="14"/>
                <w:color w:val="auto"/>
                <w:w w:val="81"/>
              </w:rPr>
              <w:t>(d)</w:t>
            </w:r>
          </w:p>
        </w:tc>
        <w:tc>
          <w:tcPr>
            <w:tcW w:w="12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CCCC"/>
          </w:tcPr>
          <w:p>
            <w:pPr>
              <w:jc w:val="right"/>
              <w:spacing w:after="0" w:line="136" w:lineRule="exact"/>
              <w:rPr>
                <w:sz w:val="20"/>
                <w:szCs w:val="20"/>
                <w:color w:val="auto"/>
              </w:rPr>
            </w:pPr>
            <w:r>
              <w:rPr>
                <w:rFonts w:ascii="Arial" w:cs="Arial" w:eastAsia="Arial" w:hAnsi="Arial"/>
                <w:sz w:val="14"/>
                <w:szCs w:val="14"/>
                <w:color w:val="auto"/>
              </w:rPr>
              <w:t>(1,046)</w:t>
            </w:r>
          </w:p>
        </w:tc>
        <w:tc>
          <w:tcPr>
            <w:tcW w:w="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3"/>
            <w:vMerge w:val="restart"/>
          </w:tcPr>
          <w:p>
            <w:pPr>
              <w:ind w:left="360"/>
              <w:spacing w:after="0"/>
              <w:rPr>
                <w:sz w:val="20"/>
                <w:szCs w:val="20"/>
                <w:color w:val="auto"/>
              </w:rPr>
            </w:pPr>
            <w:r>
              <w:rPr>
                <w:rFonts w:ascii="Arial" w:cs="Arial" w:eastAsia="Arial" w:hAnsi="Arial"/>
                <w:sz w:val="14"/>
                <w:szCs w:val="14"/>
                <w:color w:val="auto"/>
              </w:rPr>
              <w:t>Other comprehensive income before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reclassifications (b)</w:t>
            </w:r>
          </w:p>
        </w:tc>
        <w:tc>
          <w:tcPr>
            <w:tcW w:w="100" w:type="dxa"/>
            <w:vAlign w:val="bottom"/>
          </w:tcPr>
          <w:p>
            <w:pPr>
              <w:spacing w:after="0"/>
              <w:rPr>
                <w:sz w:val="13"/>
                <w:szCs w:val="13"/>
                <w:color w:val="auto"/>
              </w:rPr>
            </w:pPr>
          </w:p>
        </w:tc>
        <w:tc>
          <w:tcPr>
            <w:tcW w:w="15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1,584 (c)</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gridSpan w:val="3"/>
            <w:shd w:val="clear" w:color="auto" w:fill="CCCCCC"/>
          </w:tcPr>
          <w:p>
            <w:pPr>
              <w:ind w:left="360"/>
              <w:spacing w:after="0" w:line="138" w:lineRule="exact"/>
              <w:rPr>
                <w:sz w:val="20"/>
                <w:szCs w:val="20"/>
                <w:color w:val="auto"/>
              </w:rPr>
            </w:pPr>
            <w:r>
              <w:rPr>
                <w:rFonts w:ascii="Arial" w:cs="Arial" w:eastAsia="Arial" w:hAnsi="Arial"/>
                <w:sz w:val="14"/>
                <w:szCs w:val="14"/>
                <w:color w:val="auto"/>
              </w:rPr>
              <w:t>Amounts reclassified from accumulated other</w:t>
            </w:r>
          </w:p>
        </w:tc>
        <w:tc>
          <w:tcPr>
            <w:tcW w:w="100" w:type="dxa"/>
            <w:vAlign w:val="bottom"/>
            <w:shd w:val="clear" w:color="auto" w:fill="CCCCCC"/>
          </w:tcPr>
          <w:p>
            <w:pPr>
              <w:spacing w:after="0"/>
              <w:rPr>
                <w:sz w:val="11"/>
                <w:szCs w:val="11"/>
                <w:color w:val="auto"/>
              </w:rPr>
            </w:pPr>
          </w:p>
        </w:tc>
        <w:tc>
          <w:tcPr>
            <w:tcW w:w="1020" w:type="dxa"/>
            <w:vAlign w:val="bottom"/>
            <w:shd w:val="clear" w:color="auto" w:fill="CCCCCC"/>
          </w:tcPr>
          <w:p>
            <w:pPr>
              <w:spacing w:after="0"/>
              <w:rPr>
                <w:sz w:val="11"/>
                <w:szCs w:val="11"/>
                <w:color w:val="auto"/>
              </w:rPr>
            </w:pPr>
          </w:p>
        </w:tc>
        <w:tc>
          <w:tcPr>
            <w:tcW w:w="560" w:type="dxa"/>
            <w:vAlign w:val="bottom"/>
            <w:shd w:val="clear" w:color="auto" w:fill="CCCCCC"/>
          </w:tcPr>
          <w:p>
            <w:pPr>
              <w:spacing w:after="0"/>
              <w:rPr>
                <w:sz w:val="11"/>
                <w:szCs w:val="11"/>
                <w:color w:val="auto"/>
              </w:rPr>
            </w:pPr>
          </w:p>
        </w:tc>
        <w:tc>
          <w:tcPr>
            <w:tcW w:w="50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46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32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300" w:type="dxa"/>
            <w:vAlign w:val="bottom"/>
            <w:shd w:val="clear" w:color="auto" w:fill="CCCCCC"/>
          </w:tcPr>
          <w:p>
            <w:pPr>
              <w:spacing w:after="0"/>
              <w:rPr>
                <w:sz w:val="11"/>
                <w:szCs w:val="11"/>
                <w:color w:val="auto"/>
              </w:rPr>
            </w:pPr>
          </w:p>
        </w:tc>
        <w:tc>
          <w:tcPr>
            <w:tcW w:w="3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40" w:type="dxa"/>
            <w:vAlign w:val="bottom"/>
            <w:tcBorders>
              <w:right w:val="single" w:sz="8" w:color="CCCCCC"/>
            </w:tcBorders>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40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shd w:val="clear" w:color="auto" w:fill="CCCCCC"/>
          </w:tcPr>
          <w:p>
            <w:pPr>
              <w:ind w:left="400"/>
              <w:spacing w:after="0" w:line="159" w:lineRule="exact"/>
              <w:rPr>
                <w:sz w:val="20"/>
                <w:szCs w:val="20"/>
                <w:color w:val="auto"/>
              </w:rPr>
            </w:pPr>
            <w:r>
              <w:rPr>
                <w:rFonts w:ascii="Arial" w:cs="Arial" w:eastAsia="Arial" w:hAnsi="Arial"/>
                <w:sz w:val="14"/>
                <w:szCs w:val="14"/>
                <w:color w:val="auto"/>
              </w:rPr>
              <w:t>comprehensive income (b)</w:t>
            </w:r>
          </w:p>
        </w:tc>
        <w:tc>
          <w:tcPr>
            <w:tcW w:w="100" w:type="dxa"/>
            <w:vAlign w:val="bottom"/>
            <w:shd w:val="clear" w:color="auto" w:fill="CCCCCC"/>
          </w:tcPr>
          <w:p>
            <w:pPr>
              <w:spacing w:after="0"/>
              <w:rPr>
                <w:sz w:val="13"/>
                <w:szCs w:val="13"/>
                <w:color w:val="auto"/>
              </w:rPr>
            </w:pPr>
          </w:p>
        </w:tc>
        <w:tc>
          <w:tcPr>
            <w:tcW w:w="102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42</w:t>
            </w:r>
          </w:p>
        </w:tc>
        <w:tc>
          <w:tcPr>
            <w:tcW w:w="560" w:type="dxa"/>
            <w:vAlign w:val="bottom"/>
            <w:shd w:val="clear" w:color="auto" w:fill="CCCCCC"/>
          </w:tcPr>
          <w:p>
            <w:pPr>
              <w:spacing w:after="0"/>
              <w:rPr>
                <w:sz w:val="13"/>
                <w:szCs w:val="13"/>
                <w:color w:val="auto"/>
              </w:rPr>
            </w:pPr>
          </w:p>
        </w:tc>
        <w:tc>
          <w:tcPr>
            <w:tcW w:w="500" w:type="dxa"/>
            <w:vAlign w:val="bottom"/>
            <w:shd w:val="clear" w:color="auto" w:fill="CCCCCC"/>
          </w:tcPr>
          <w:p>
            <w:pPr>
              <w:spacing w:after="0"/>
              <w:rPr>
                <w:sz w:val="13"/>
                <w:szCs w:val="13"/>
                <w:color w:val="auto"/>
              </w:rPr>
            </w:pPr>
          </w:p>
        </w:tc>
        <w:tc>
          <w:tcPr>
            <w:tcW w:w="160" w:type="dxa"/>
            <w:vAlign w:val="bottom"/>
            <w:shd w:val="clear" w:color="auto" w:fill="CCCCCC"/>
          </w:tcPr>
          <w:p>
            <w:pPr>
              <w:spacing w:after="0"/>
              <w:rPr>
                <w:sz w:val="13"/>
                <w:szCs w:val="13"/>
                <w:color w:val="auto"/>
              </w:rPr>
            </w:pPr>
          </w:p>
        </w:tc>
        <w:tc>
          <w:tcPr>
            <w:tcW w:w="560" w:type="dxa"/>
            <w:vAlign w:val="bottom"/>
            <w:gridSpan w:val="2"/>
            <w:shd w:val="clear" w:color="auto" w:fill="CCCCCC"/>
          </w:tcPr>
          <w:p>
            <w:pPr>
              <w:jc w:val="right"/>
              <w:ind w:right="100"/>
              <w:spacing w:after="0" w:line="159" w:lineRule="exact"/>
              <w:rPr>
                <w:sz w:val="20"/>
                <w:szCs w:val="20"/>
                <w:color w:val="auto"/>
              </w:rPr>
            </w:pPr>
            <w:r>
              <w:rPr>
                <w:rFonts w:ascii="Arial" w:cs="Arial" w:eastAsia="Arial" w:hAnsi="Arial"/>
                <w:sz w:val="14"/>
                <w:szCs w:val="14"/>
                <w:color w:val="auto"/>
              </w:rPr>
              <w:t>(18)</w:t>
            </w:r>
          </w:p>
        </w:tc>
        <w:tc>
          <w:tcPr>
            <w:tcW w:w="340" w:type="dxa"/>
            <w:vAlign w:val="bottom"/>
            <w:shd w:val="clear" w:color="auto" w:fill="CCCCCC"/>
          </w:tcPr>
          <w:p>
            <w:pPr>
              <w:spacing w:after="0"/>
              <w:rPr>
                <w:sz w:val="13"/>
                <w:szCs w:val="13"/>
                <w:color w:val="auto"/>
              </w:rPr>
            </w:pPr>
          </w:p>
        </w:tc>
        <w:tc>
          <w:tcPr>
            <w:tcW w:w="320" w:type="dxa"/>
            <w:vAlign w:val="bottom"/>
            <w:shd w:val="clear" w:color="auto" w:fill="CCCCCC"/>
          </w:tcPr>
          <w:p>
            <w:pPr>
              <w:spacing w:after="0"/>
              <w:rPr>
                <w:sz w:val="13"/>
                <w:szCs w:val="13"/>
                <w:color w:val="auto"/>
              </w:rPr>
            </w:pPr>
          </w:p>
        </w:tc>
        <w:tc>
          <w:tcPr>
            <w:tcW w:w="160" w:type="dxa"/>
            <w:vAlign w:val="bottom"/>
            <w:shd w:val="clear" w:color="auto" w:fill="CCCCCC"/>
          </w:tcPr>
          <w:p>
            <w:pPr>
              <w:spacing w:after="0"/>
              <w:rPr>
                <w:sz w:val="13"/>
                <w:szCs w:val="13"/>
                <w:color w:val="auto"/>
              </w:rPr>
            </w:pPr>
          </w:p>
        </w:tc>
        <w:tc>
          <w:tcPr>
            <w:tcW w:w="860" w:type="dxa"/>
            <w:vAlign w:val="bottom"/>
            <w:gridSpan w:val="3"/>
            <w:shd w:val="clear" w:color="auto" w:fill="CCCCCC"/>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860" w:type="dxa"/>
            <w:vAlign w:val="bottom"/>
            <w:gridSpan w:val="2"/>
            <w:shd w:val="clear" w:color="auto" w:fill="CCCCC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1080" w:type="dxa"/>
            <w:vAlign w:val="bottom"/>
            <w:gridSpan w:val="2"/>
            <w:shd w:val="clear" w:color="auto" w:fill="CCCCCC"/>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3"/>
                <w:szCs w:val="13"/>
                <w:color w:val="auto"/>
              </w:rPr>
            </w:pPr>
          </w:p>
        </w:tc>
        <w:tc>
          <w:tcPr>
            <w:tcW w:w="54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24</w:t>
            </w:r>
          </w:p>
        </w:tc>
        <w:tc>
          <w:tcPr>
            <w:tcW w:w="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gridSpan w:val="3"/>
          </w:tcPr>
          <w:p>
            <w:pPr>
              <w:ind w:left="180"/>
              <w:spacing w:after="0" w:line="145" w:lineRule="exact"/>
              <w:rPr>
                <w:sz w:val="20"/>
                <w:szCs w:val="20"/>
                <w:color w:val="auto"/>
              </w:rPr>
            </w:pPr>
            <w:r>
              <w:rPr>
                <w:rFonts w:ascii="Arial" w:cs="Arial" w:eastAsia="Arial" w:hAnsi="Arial"/>
                <w:sz w:val="14"/>
                <w:szCs w:val="14"/>
                <w:color w:val="auto"/>
              </w:rPr>
              <w:t>Net current-period other comprehensive income</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(loss)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1,626</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1,654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3"/>
            <w:shd w:val="clear" w:color="auto" w:fill="CCCCCC"/>
          </w:tcPr>
          <w:p>
            <w:pPr>
              <w:spacing w:after="0" w:line="149" w:lineRule="exact"/>
              <w:rPr>
                <w:sz w:val="20"/>
                <w:szCs w:val="20"/>
                <w:color w:val="auto"/>
              </w:rPr>
            </w:pPr>
            <w:r>
              <w:rPr>
                <w:rFonts w:ascii="Arial" w:cs="Arial" w:eastAsia="Arial" w:hAnsi="Arial"/>
                <w:sz w:val="14"/>
                <w:szCs w:val="14"/>
                <w:color w:val="auto"/>
              </w:rPr>
              <w:t>Balance at December 31, 2013</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699</w:t>
            </w:r>
          </w:p>
        </w:tc>
        <w:tc>
          <w:tcPr>
            <w:tcW w:w="560" w:type="dxa"/>
            <w:vAlign w:val="bottom"/>
            <w:shd w:val="clear" w:color="auto" w:fill="CCCCCC"/>
          </w:tcPr>
          <w:p>
            <w:pPr>
              <w:spacing w:after="0"/>
              <w:rPr>
                <w:sz w:val="12"/>
                <w:szCs w:val="12"/>
                <w:color w:val="auto"/>
              </w:rPr>
            </w:pPr>
          </w:p>
        </w:tc>
        <w:tc>
          <w:tcPr>
            <w:tcW w:w="500" w:type="dxa"/>
            <w:vAlign w:val="bottom"/>
            <w:shd w:val="clear" w:color="auto" w:fill="CCCCCC"/>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CCCC"/>
          </w:tcPr>
          <w:p>
            <w:pPr>
              <w:spacing w:after="0"/>
              <w:rPr>
                <w:sz w:val="12"/>
                <w:szCs w:val="12"/>
                <w:color w:val="auto"/>
              </w:rPr>
            </w:pPr>
          </w:p>
        </w:tc>
        <w:tc>
          <w:tcPr>
            <w:tcW w:w="46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CCCC"/>
          </w:tcPr>
          <w:p>
            <w:pPr>
              <w:spacing w:after="0"/>
              <w:rPr>
                <w:sz w:val="12"/>
                <w:szCs w:val="12"/>
                <w:color w:val="auto"/>
              </w:rPr>
            </w:pPr>
          </w:p>
        </w:tc>
        <w:tc>
          <w:tcPr>
            <w:tcW w:w="660" w:type="dxa"/>
            <w:vAlign w:val="bottom"/>
            <w:gridSpan w:val="2"/>
            <w:shd w:val="clear" w:color="auto" w:fill="CCCCC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CCCC"/>
          </w:tcPr>
          <w:p>
            <w:pPr>
              <w:spacing w:after="0"/>
              <w:rPr>
                <w:sz w:val="12"/>
                <w:szCs w:val="12"/>
                <w:color w:val="auto"/>
              </w:rPr>
            </w:pPr>
          </w:p>
        </w:tc>
        <w:tc>
          <w:tcPr>
            <w:tcW w:w="4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CCCC"/>
          </w:tcPr>
          <w:p>
            <w:pPr>
              <w:spacing w:after="0"/>
              <w:rPr>
                <w:sz w:val="12"/>
                <w:szCs w:val="12"/>
                <w:color w:val="auto"/>
              </w:rPr>
            </w:pPr>
          </w:p>
        </w:tc>
        <w:tc>
          <w:tcPr>
            <w:tcW w:w="300" w:type="dxa"/>
            <w:vAlign w:val="bottom"/>
            <w:shd w:val="clear" w:color="auto" w:fill="CCCCCC"/>
          </w:tcPr>
          <w:p>
            <w:pPr>
              <w:spacing w:after="0"/>
              <w:rPr>
                <w:sz w:val="12"/>
                <w:szCs w:val="12"/>
                <w:color w:val="auto"/>
              </w:rPr>
            </w:pPr>
          </w:p>
        </w:tc>
        <w:tc>
          <w:tcPr>
            <w:tcW w:w="380" w:type="dxa"/>
            <w:vAlign w:val="bottom"/>
            <w:shd w:val="clear" w:color="auto" w:fill="CCCCCC"/>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340" w:type="dxa"/>
            <w:vAlign w:val="bottom"/>
            <w:shd w:val="clear" w:color="auto" w:fill="CCCCCC"/>
          </w:tcPr>
          <w:p>
            <w:pPr>
              <w:ind w:lef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spacing w:after="0"/>
              <w:rPr>
                <w:sz w:val="12"/>
                <w:szCs w:val="12"/>
                <w:color w:val="auto"/>
              </w:rPr>
            </w:pPr>
          </w:p>
        </w:tc>
        <w:tc>
          <w:tcPr>
            <w:tcW w:w="1080" w:type="dxa"/>
            <w:vAlign w:val="bottom"/>
            <w:gridSpan w:val="2"/>
            <w:shd w:val="clear" w:color="auto" w:fill="CCCCCC"/>
          </w:tcPr>
          <w:p>
            <w:pPr>
              <w:jc w:val="right"/>
              <w:ind w:right="452"/>
              <w:spacing w:after="0" w:line="149" w:lineRule="exact"/>
              <w:rPr>
                <w:sz w:val="20"/>
                <w:szCs w:val="20"/>
                <w:color w:val="auto"/>
              </w:rPr>
            </w:pPr>
            <w:r>
              <w:rPr>
                <w:rFonts w:ascii="Arial" w:cs="Arial" w:eastAsia="Arial" w:hAnsi="Arial"/>
                <w:sz w:val="14"/>
                <w:szCs w:val="14"/>
                <w:color w:val="auto"/>
              </w:rPr>
              <w:t>— (d)</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608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3"/>
            <w:vMerge w:val="restart"/>
          </w:tcPr>
          <w:p>
            <w:pPr>
              <w:ind w:left="360"/>
              <w:spacing w:after="0"/>
              <w:rPr>
                <w:sz w:val="20"/>
                <w:szCs w:val="20"/>
                <w:color w:val="auto"/>
              </w:rPr>
            </w:pPr>
            <w:r>
              <w:rPr>
                <w:rFonts w:ascii="Arial" w:cs="Arial" w:eastAsia="Arial" w:hAnsi="Arial"/>
                <w:sz w:val="14"/>
                <w:szCs w:val="14"/>
                <w:color w:val="auto"/>
              </w:rPr>
              <w:t>Other comprehensive loss before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reclassifications (b)</w:t>
            </w:r>
          </w:p>
        </w:tc>
        <w:tc>
          <w:tcPr>
            <w:tcW w:w="100" w:type="dxa"/>
            <w:vAlign w:val="bottom"/>
          </w:tcPr>
          <w:p>
            <w:pPr>
              <w:spacing w:after="0"/>
              <w:rPr>
                <w:sz w:val="13"/>
                <w:szCs w:val="13"/>
                <w:color w:val="auto"/>
              </w:rPr>
            </w:pPr>
          </w:p>
        </w:tc>
        <w:tc>
          <w:tcPr>
            <w:tcW w:w="15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(1,106)(c)</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(599)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(1,705)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gridSpan w:val="3"/>
            <w:shd w:val="clear" w:color="auto" w:fill="CCCCCC"/>
          </w:tcPr>
          <w:p>
            <w:pPr>
              <w:ind w:left="360"/>
              <w:spacing w:after="0" w:line="138" w:lineRule="exact"/>
              <w:rPr>
                <w:sz w:val="20"/>
                <w:szCs w:val="20"/>
                <w:color w:val="auto"/>
              </w:rPr>
            </w:pPr>
            <w:r>
              <w:rPr>
                <w:rFonts w:ascii="Arial" w:cs="Arial" w:eastAsia="Arial" w:hAnsi="Arial"/>
                <w:sz w:val="14"/>
                <w:szCs w:val="14"/>
                <w:color w:val="auto"/>
              </w:rPr>
              <w:t>Amounts reclassified from accumulated other</w:t>
            </w:r>
          </w:p>
        </w:tc>
        <w:tc>
          <w:tcPr>
            <w:tcW w:w="100" w:type="dxa"/>
            <w:vAlign w:val="bottom"/>
            <w:shd w:val="clear" w:color="auto" w:fill="CCCCCC"/>
          </w:tcPr>
          <w:p>
            <w:pPr>
              <w:spacing w:after="0"/>
              <w:rPr>
                <w:sz w:val="11"/>
                <w:szCs w:val="11"/>
                <w:color w:val="auto"/>
              </w:rPr>
            </w:pPr>
          </w:p>
        </w:tc>
        <w:tc>
          <w:tcPr>
            <w:tcW w:w="1020" w:type="dxa"/>
            <w:vAlign w:val="bottom"/>
            <w:shd w:val="clear" w:color="auto" w:fill="CCCCCC"/>
          </w:tcPr>
          <w:p>
            <w:pPr>
              <w:spacing w:after="0"/>
              <w:rPr>
                <w:sz w:val="11"/>
                <w:szCs w:val="11"/>
                <w:color w:val="auto"/>
              </w:rPr>
            </w:pPr>
          </w:p>
        </w:tc>
        <w:tc>
          <w:tcPr>
            <w:tcW w:w="560" w:type="dxa"/>
            <w:vAlign w:val="bottom"/>
            <w:shd w:val="clear" w:color="auto" w:fill="CCCCCC"/>
          </w:tcPr>
          <w:p>
            <w:pPr>
              <w:spacing w:after="0"/>
              <w:rPr>
                <w:sz w:val="11"/>
                <w:szCs w:val="11"/>
                <w:color w:val="auto"/>
              </w:rPr>
            </w:pPr>
          </w:p>
        </w:tc>
        <w:tc>
          <w:tcPr>
            <w:tcW w:w="50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46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32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300" w:type="dxa"/>
            <w:vAlign w:val="bottom"/>
            <w:shd w:val="clear" w:color="auto" w:fill="CCCCCC"/>
          </w:tcPr>
          <w:p>
            <w:pPr>
              <w:spacing w:after="0"/>
              <w:rPr>
                <w:sz w:val="11"/>
                <w:szCs w:val="11"/>
                <w:color w:val="auto"/>
              </w:rPr>
            </w:pPr>
          </w:p>
        </w:tc>
        <w:tc>
          <w:tcPr>
            <w:tcW w:w="3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40" w:type="dxa"/>
            <w:vAlign w:val="bottom"/>
            <w:tcBorders>
              <w:right w:val="single" w:sz="8" w:color="CCCCCC"/>
            </w:tcBorders>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40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shd w:val="clear" w:color="auto" w:fill="CCCCCC"/>
          </w:tcPr>
          <w:p>
            <w:pPr>
              <w:ind w:left="400"/>
              <w:spacing w:after="0" w:line="159" w:lineRule="exact"/>
              <w:rPr>
                <w:sz w:val="20"/>
                <w:szCs w:val="20"/>
                <w:color w:val="auto"/>
              </w:rPr>
            </w:pPr>
            <w:r>
              <w:rPr>
                <w:rFonts w:ascii="Arial" w:cs="Arial" w:eastAsia="Arial" w:hAnsi="Arial"/>
                <w:sz w:val="14"/>
                <w:szCs w:val="14"/>
                <w:color w:val="auto"/>
              </w:rPr>
              <w:t>comprehensive income (b)</w:t>
            </w:r>
          </w:p>
        </w:tc>
        <w:tc>
          <w:tcPr>
            <w:tcW w:w="100" w:type="dxa"/>
            <w:vAlign w:val="bottom"/>
            <w:shd w:val="clear" w:color="auto" w:fill="CCCCCC"/>
          </w:tcPr>
          <w:p>
            <w:pPr>
              <w:spacing w:after="0"/>
              <w:rPr>
                <w:sz w:val="13"/>
                <w:szCs w:val="13"/>
                <w:color w:val="auto"/>
              </w:rPr>
            </w:pPr>
          </w:p>
        </w:tc>
        <w:tc>
          <w:tcPr>
            <w:tcW w:w="102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(65)</w:t>
            </w:r>
          </w:p>
        </w:tc>
        <w:tc>
          <w:tcPr>
            <w:tcW w:w="560" w:type="dxa"/>
            <w:vAlign w:val="bottom"/>
            <w:shd w:val="clear" w:color="auto" w:fill="CCCCCC"/>
          </w:tcPr>
          <w:p>
            <w:pPr>
              <w:spacing w:after="0"/>
              <w:rPr>
                <w:sz w:val="13"/>
                <w:szCs w:val="13"/>
                <w:color w:val="auto"/>
              </w:rPr>
            </w:pPr>
          </w:p>
        </w:tc>
        <w:tc>
          <w:tcPr>
            <w:tcW w:w="500" w:type="dxa"/>
            <w:vAlign w:val="bottom"/>
            <w:shd w:val="clear" w:color="auto" w:fill="CCCCCC"/>
          </w:tcPr>
          <w:p>
            <w:pPr>
              <w:spacing w:after="0"/>
              <w:rPr>
                <w:sz w:val="13"/>
                <w:szCs w:val="13"/>
                <w:color w:val="auto"/>
              </w:rPr>
            </w:pPr>
          </w:p>
        </w:tc>
        <w:tc>
          <w:tcPr>
            <w:tcW w:w="160" w:type="dxa"/>
            <w:vAlign w:val="bottom"/>
            <w:shd w:val="clear" w:color="auto" w:fill="CCCCCC"/>
          </w:tcPr>
          <w:p>
            <w:pPr>
              <w:spacing w:after="0"/>
              <w:rPr>
                <w:sz w:val="13"/>
                <w:szCs w:val="13"/>
                <w:color w:val="auto"/>
              </w:rPr>
            </w:pPr>
          </w:p>
        </w:tc>
        <w:tc>
          <w:tcPr>
            <w:tcW w:w="46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CCCC"/>
          </w:tcPr>
          <w:p>
            <w:pPr>
              <w:spacing w:after="0"/>
              <w:rPr>
                <w:sz w:val="13"/>
                <w:szCs w:val="13"/>
                <w:color w:val="auto"/>
              </w:rPr>
            </w:pPr>
          </w:p>
        </w:tc>
        <w:tc>
          <w:tcPr>
            <w:tcW w:w="340" w:type="dxa"/>
            <w:vAlign w:val="bottom"/>
            <w:shd w:val="clear" w:color="auto" w:fill="CCCCCC"/>
          </w:tcPr>
          <w:p>
            <w:pPr>
              <w:spacing w:after="0"/>
              <w:rPr>
                <w:sz w:val="13"/>
                <w:szCs w:val="13"/>
                <w:color w:val="auto"/>
              </w:rPr>
            </w:pPr>
          </w:p>
        </w:tc>
        <w:tc>
          <w:tcPr>
            <w:tcW w:w="320" w:type="dxa"/>
            <w:vAlign w:val="bottom"/>
            <w:shd w:val="clear" w:color="auto" w:fill="CCCCCC"/>
          </w:tcPr>
          <w:p>
            <w:pPr>
              <w:spacing w:after="0"/>
              <w:rPr>
                <w:sz w:val="13"/>
                <w:szCs w:val="13"/>
                <w:color w:val="auto"/>
              </w:rPr>
            </w:pPr>
          </w:p>
        </w:tc>
        <w:tc>
          <w:tcPr>
            <w:tcW w:w="160" w:type="dxa"/>
            <w:vAlign w:val="bottom"/>
            <w:shd w:val="clear" w:color="auto" w:fill="CCCCCC"/>
          </w:tcPr>
          <w:p>
            <w:pPr>
              <w:spacing w:after="0"/>
              <w:rPr>
                <w:sz w:val="13"/>
                <w:szCs w:val="13"/>
                <w:color w:val="auto"/>
              </w:rPr>
            </w:pPr>
          </w:p>
        </w:tc>
        <w:tc>
          <w:tcPr>
            <w:tcW w:w="44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shd w:val="clear" w:color="auto" w:fill="CCCCCC"/>
          </w:tcPr>
          <w:p>
            <w:pPr>
              <w:spacing w:after="0"/>
              <w:rPr>
                <w:sz w:val="13"/>
                <w:szCs w:val="13"/>
                <w:color w:val="auto"/>
              </w:rPr>
            </w:pPr>
          </w:p>
        </w:tc>
        <w:tc>
          <w:tcPr>
            <w:tcW w:w="300" w:type="dxa"/>
            <w:vAlign w:val="bottom"/>
            <w:shd w:val="clear" w:color="auto" w:fill="CCCCCC"/>
          </w:tcPr>
          <w:p>
            <w:pPr>
              <w:spacing w:after="0"/>
              <w:rPr>
                <w:sz w:val="13"/>
                <w:szCs w:val="13"/>
                <w:color w:val="auto"/>
              </w:rPr>
            </w:pPr>
          </w:p>
        </w:tc>
        <w:tc>
          <w:tcPr>
            <w:tcW w:w="38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860" w:type="dxa"/>
            <w:vAlign w:val="bottom"/>
            <w:gridSpan w:val="2"/>
            <w:shd w:val="clear" w:color="auto" w:fill="CCCCC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1080" w:type="dxa"/>
            <w:vAlign w:val="bottom"/>
            <w:gridSpan w:val="2"/>
            <w:shd w:val="clear" w:color="auto" w:fill="CCCCCC"/>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3"/>
                <w:szCs w:val="13"/>
                <w:color w:val="auto"/>
              </w:rPr>
            </w:pPr>
          </w:p>
        </w:tc>
        <w:tc>
          <w:tcPr>
            <w:tcW w:w="54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gridSpan w:val="3"/>
          </w:tcPr>
          <w:p>
            <w:pPr>
              <w:ind w:left="180"/>
              <w:spacing w:after="0" w:line="145" w:lineRule="exact"/>
              <w:rPr>
                <w:sz w:val="20"/>
                <w:szCs w:val="20"/>
                <w:color w:val="auto"/>
              </w:rPr>
            </w:pPr>
            <w:r>
              <w:rPr>
                <w:rFonts w:ascii="Arial" w:cs="Arial" w:eastAsia="Arial" w:hAnsi="Arial"/>
                <w:sz w:val="14"/>
                <w:szCs w:val="14"/>
                <w:color w:val="auto"/>
              </w:rPr>
              <w:t>Net current-period other comprehensive income</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(loss)</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(1,171)</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(510)</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(1,687)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3"/>
            <w:shd w:val="clear" w:color="auto" w:fill="CCCCCC"/>
          </w:tcPr>
          <w:p>
            <w:pPr>
              <w:spacing w:after="0" w:line="149" w:lineRule="exact"/>
              <w:rPr>
                <w:sz w:val="20"/>
                <w:szCs w:val="20"/>
                <w:color w:val="auto"/>
              </w:rPr>
            </w:pPr>
            <w:r>
              <w:rPr>
                <w:rFonts w:ascii="Arial" w:cs="Arial" w:eastAsia="Arial" w:hAnsi="Arial"/>
                <w:sz w:val="14"/>
                <w:szCs w:val="14"/>
                <w:color w:val="auto"/>
              </w:rPr>
              <w:t>Balance at December 31, 2014</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(472)</w:t>
            </w:r>
          </w:p>
        </w:tc>
        <w:tc>
          <w:tcPr>
            <w:tcW w:w="560" w:type="dxa"/>
            <w:vAlign w:val="bottom"/>
            <w:shd w:val="clear" w:color="auto" w:fill="CCCCCC"/>
          </w:tcPr>
          <w:p>
            <w:pPr>
              <w:spacing w:after="0"/>
              <w:rPr>
                <w:sz w:val="12"/>
                <w:szCs w:val="12"/>
                <w:color w:val="auto"/>
              </w:rPr>
            </w:pPr>
          </w:p>
        </w:tc>
        <w:tc>
          <w:tcPr>
            <w:tcW w:w="500" w:type="dxa"/>
            <w:vAlign w:val="bottom"/>
            <w:shd w:val="clear" w:color="auto" w:fill="CCCCCC"/>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CCCC"/>
          </w:tcPr>
          <w:p>
            <w:pPr>
              <w:spacing w:after="0"/>
              <w:rPr>
                <w:sz w:val="12"/>
                <w:szCs w:val="12"/>
                <w:color w:val="auto"/>
              </w:rPr>
            </w:pPr>
          </w:p>
        </w:tc>
        <w:tc>
          <w:tcPr>
            <w:tcW w:w="56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660" w:type="dxa"/>
            <w:vAlign w:val="bottom"/>
            <w:gridSpan w:val="2"/>
            <w:shd w:val="clear" w:color="auto" w:fill="CCCCC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CCCC"/>
          </w:tcPr>
          <w:p>
            <w:pPr>
              <w:spacing w:after="0"/>
              <w:rPr>
                <w:sz w:val="12"/>
                <w:szCs w:val="12"/>
                <w:color w:val="auto"/>
              </w:rPr>
            </w:pPr>
          </w:p>
        </w:tc>
        <w:tc>
          <w:tcPr>
            <w:tcW w:w="4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CCCC"/>
          </w:tcPr>
          <w:p>
            <w:pPr>
              <w:spacing w:after="0"/>
              <w:rPr>
                <w:sz w:val="12"/>
                <w:szCs w:val="12"/>
                <w:color w:val="auto"/>
              </w:rPr>
            </w:pPr>
          </w:p>
        </w:tc>
        <w:tc>
          <w:tcPr>
            <w:tcW w:w="300" w:type="dxa"/>
            <w:vAlign w:val="bottom"/>
            <w:shd w:val="clear" w:color="auto" w:fill="CCCCCC"/>
          </w:tcPr>
          <w:p>
            <w:pPr>
              <w:spacing w:after="0"/>
              <w:rPr>
                <w:sz w:val="12"/>
                <w:szCs w:val="12"/>
                <w:color w:val="auto"/>
              </w:rPr>
            </w:pPr>
          </w:p>
        </w:tc>
        <w:tc>
          <w:tcPr>
            <w:tcW w:w="380" w:type="dxa"/>
            <w:vAlign w:val="bottom"/>
            <w:shd w:val="clear" w:color="auto" w:fill="CCCCCC"/>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340" w:type="dxa"/>
            <w:vAlign w:val="bottom"/>
            <w:shd w:val="clear" w:color="auto" w:fill="CCCCCC"/>
          </w:tcPr>
          <w:p>
            <w:pPr>
              <w:ind w:lef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spacing w:after="0"/>
              <w:rPr>
                <w:sz w:val="12"/>
                <w:szCs w:val="12"/>
                <w:color w:val="auto"/>
              </w:rPr>
            </w:pPr>
          </w:p>
        </w:tc>
        <w:tc>
          <w:tcPr>
            <w:tcW w:w="1080" w:type="dxa"/>
            <w:vAlign w:val="bottom"/>
            <w:gridSpan w:val="2"/>
            <w:shd w:val="clear" w:color="auto" w:fill="CCCCCC"/>
          </w:tcPr>
          <w:p>
            <w:pPr>
              <w:jc w:val="right"/>
              <w:ind w:right="452"/>
              <w:spacing w:after="0" w:line="149" w:lineRule="exact"/>
              <w:rPr>
                <w:sz w:val="20"/>
                <w:szCs w:val="20"/>
                <w:color w:val="auto"/>
              </w:rPr>
            </w:pPr>
            <w:r>
              <w:rPr>
                <w:rFonts w:ascii="Arial" w:cs="Arial" w:eastAsia="Arial" w:hAnsi="Arial"/>
                <w:sz w:val="14"/>
                <w:szCs w:val="14"/>
                <w:color w:val="auto"/>
              </w:rPr>
              <w:t>— (d)</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(1,079)</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3"/>
            <w:vMerge w:val="restart"/>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reclassifications</w:t>
            </w:r>
          </w:p>
        </w:tc>
        <w:tc>
          <w:tcPr>
            <w:tcW w:w="100" w:type="dxa"/>
            <w:vAlign w:val="bottom"/>
          </w:tcPr>
          <w:p>
            <w:pPr>
              <w:spacing w:after="0"/>
              <w:rPr>
                <w:sz w:val="13"/>
                <w:szCs w:val="13"/>
                <w:color w:val="auto"/>
              </w:rPr>
            </w:pPr>
          </w:p>
        </w:tc>
        <w:tc>
          <w:tcPr>
            <w:tcW w:w="15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78 (c)</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(320)</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(28)</w:t>
            </w:r>
          </w:p>
        </w:tc>
        <w:tc>
          <w:tcPr>
            <w:tcW w:w="34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gridSpan w:val="3"/>
            <w:shd w:val="clear" w:color="auto" w:fill="CCCCCC"/>
          </w:tcPr>
          <w:p>
            <w:pPr>
              <w:ind w:left="360"/>
              <w:spacing w:after="0" w:line="138" w:lineRule="exact"/>
              <w:rPr>
                <w:sz w:val="20"/>
                <w:szCs w:val="20"/>
                <w:color w:val="auto"/>
              </w:rPr>
            </w:pPr>
            <w:r>
              <w:rPr>
                <w:rFonts w:ascii="Arial" w:cs="Arial" w:eastAsia="Arial" w:hAnsi="Arial"/>
                <w:sz w:val="14"/>
                <w:szCs w:val="14"/>
                <w:color w:val="auto"/>
              </w:rPr>
              <w:t>Amounts reclassified from accumulated other</w:t>
            </w:r>
          </w:p>
        </w:tc>
        <w:tc>
          <w:tcPr>
            <w:tcW w:w="100" w:type="dxa"/>
            <w:vAlign w:val="bottom"/>
            <w:shd w:val="clear" w:color="auto" w:fill="CCCCCC"/>
          </w:tcPr>
          <w:p>
            <w:pPr>
              <w:spacing w:after="0"/>
              <w:rPr>
                <w:sz w:val="11"/>
                <w:szCs w:val="11"/>
                <w:color w:val="auto"/>
              </w:rPr>
            </w:pPr>
          </w:p>
        </w:tc>
        <w:tc>
          <w:tcPr>
            <w:tcW w:w="1020" w:type="dxa"/>
            <w:vAlign w:val="bottom"/>
            <w:shd w:val="clear" w:color="auto" w:fill="CCCCCC"/>
          </w:tcPr>
          <w:p>
            <w:pPr>
              <w:spacing w:after="0"/>
              <w:rPr>
                <w:sz w:val="11"/>
                <w:szCs w:val="11"/>
                <w:color w:val="auto"/>
              </w:rPr>
            </w:pPr>
          </w:p>
        </w:tc>
        <w:tc>
          <w:tcPr>
            <w:tcW w:w="560" w:type="dxa"/>
            <w:vAlign w:val="bottom"/>
            <w:shd w:val="clear" w:color="auto" w:fill="CCCCCC"/>
          </w:tcPr>
          <w:p>
            <w:pPr>
              <w:spacing w:after="0"/>
              <w:rPr>
                <w:sz w:val="11"/>
                <w:szCs w:val="11"/>
                <w:color w:val="auto"/>
              </w:rPr>
            </w:pPr>
          </w:p>
        </w:tc>
        <w:tc>
          <w:tcPr>
            <w:tcW w:w="50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46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320" w:type="dxa"/>
            <w:vAlign w:val="bottom"/>
            <w:shd w:val="clear" w:color="auto" w:fill="CCCCCC"/>
          </w:tcPr>
          <w:p>
            <w:pPr>
              <w:spacing w:after="0"/>
              <w:rPr>
                <w:sz w:val="11"/>
                <w:szCs w:val="11"/>
                <w:color w:val="auto"/>
              </w:rPr>
            </w:pPr>
          </w:p>
        </w:tc>
        <w:tc>
          <w:tcPr>
            <w:tcW w:w="160" w:type="dxa"/>
            <w:vAlign w:val="bottom"/>
            <w:shd w:val="clear" w:color="auto" w:fill="CCCCCC"/>
          </w:tcPr>
          <w:p>
            <w:pPr>
              <w:spacing w:after="0"/>
              <w:rPr>
                <w:sz w:val="11"/>
                <w:szCs w:val="11"/>
                <w:color w:val="auto"/>
              </w:rPr>
            </w:pPr>
          </w:p>
        </w:tc>
        <w:tc>
          <w:tcPr>
            <w:tcW w:w="44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300" w:type="dxa"/>
            <w:vAlign w:val="bottom"/>
            <w:shd w:val="clear" w:color="auto" w:fill="CCCCCC"/>
          </w:tcPr>
          <w:p>
            <w:pPr>
              <w:spacing w:after="0"/>
              <w:rPr>
                <w:sz w:val="11"/>
                <w:szCs w:val="11"/>
                <w:color w:val="auto"/>
              </w:rPr>
            </w:pPr>
          </w:p>
        </w:tc>
        <w:tc>
          <w:tcPr>
            <w:tcW w:w="3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640" w:type="dxa"/>
            <w:vAlign w:val="bottom"/>
            <w:tcBorders>
              <w:right w:val="single" w:sz="8" w:color="CCCCCC"/>
            </w:tcBorders>
            <w:shd w:val="clear" w:color="auto" w:fill="CCCCCC"/>
          </w:tcPr>
          <w:p>
            <w:pPr>
              <w:spacing w:after="0"/>
              <w:rPr>
                <w:sz w:val="11"/>
                <w:szCs w:val="11"/>
                <w:color w:val="auto"/>
              </w:rPr>
            </w:pPr>
          </w:p>
        </w:tc>
        <w:tc>
          <w:tcPr>
            <w:tcW w:w="220" w:type="dxa"/>
            <w:vAlign w:val="bottom"/>
            <w:shd w:val="clear" w:color="auto" w:fill="CCCCCC"/>
          </w:tcPr>
          <w:p>
            <w:pPr>
              <w:spacing w:after="0"/>
              <w:rPr>
                <w:sz w:val="11"/>
                <w:szCs w:val="11"/>
                <w:color w:val="auto"/>
              </w:rPr>
            </w:pPr>
          </w:p>
        </w:tc>
        <w:tc>
          <w:tcPr>
            <w:tcW w:w="340" w:type="dxa"/>
            <w:vAlign w:val="bottom"/>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40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540" w:type="dxa"/>
            <w:vAlign w:val="bottom"/>
            <w:shd w:val="clear" w:color="auto" w:fill="CCCCCC"/>
          </w:tcPr>
          <w:p>
            <w:pPr>
              <w:spacing w:after="0"/>
              <w:rPr>
                <w:sz w:val="11"/>
                <w:szCs w:val="11"/>
                <w:color w:val="auto"/>
              </w:rPr>
            </w:pPr>
          </w:p>
        </w:tc>
        <w:tc>
          <w:tcPr>
            <w:tcW w:w="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shd w:val="clear" w:color="auto" w:fill="CCCCCC"/>
          </w:tcPr>
          <w:p>
            <w:pPr>
              <w:ind w:left="400"/>
              <w:spacing w:after="0" w:line="15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CCCC"/>
          </w:tcPr>
          <w:p>
            <w:pPr>
              <w:spacing w:after="0"/>
              <w:rPr>
                <w:sz w:val="13"/>
                <w:szCs w:val="13"/>
                <w:color w:val="auto"/>
              </w:rPr>
            </w:pPr>
          </w:p>
        </w:tc>
        <w:tc>
          <w:tcPr>
            <w:tcW w:w="102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31</w:t>
            </w:r>
          </w:p>
        </w:tc>
        <w:tc>
          <w:tcPr>
            <w:tcW w:w="560" w:type="dxa"/>
            <w:vAlign w:val="bottom"/>
            <w:shd w:val="clear" w:color="auto" w:fill="CCCCCC"/>
          </w:tcPr>
          <w:p>
            <w:pPr>
              <w:spacing w:after="0"/>
              <w:rPr>
                <w:sz w:val="13"/>
                <w:szCs w:val="13"/>
                <w:color w:val="auto"/>
              </w:rPr>
            </w:pPr>
          </w:p>
        </w:tc>
        <w:tc>
          <w:tcPr>
            <w:tcW w:w="500" w:type="dxa"/>
            <w:vAlign w:val="bottom"/>
            <w:shd w:val="clear" w:color="auto" w:fill="CCCCCC"/>
          </w:tcPr>
          <w:p>
            <w:pPr>
              <w:spacing w:after="0"/>
              <w:rPr>
                <w:sz w:val="13"/>
                <w:szCs w:val="13"/>
                <w:color w:val="auto"/>
              </w:rPr>
            </w:pPr>
          </w:p>
        </w:tc>
        <w:tc>
          <w:tcPr>
            <w:tcW w:w="160" w:type="dxa"/>
            <w:vAlign w:val="bottom"/>
            <w:shd w:val="clear" w:color="auto" w:fill="CCCCCC"/>
          </w:tcPr>
          <w:p>
            <w:pPr>
              <w:spacing w:after="0"/>
              <w:rPr>
                <w:sz w:val="13"/>
                <w:szCs w:val="13"/>
                <w:color w:val="auto"/>
              </w:rPr>
            </w:pPr>
          </w:p>
        </w:tc>
        <w:tc>
          <w:tcPr>
            <w:tcW w:w="46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604</w:t>
            </w:r>
          </w:p>
        </w:tc>
        <w:tc>
          <w:tcPr>
            <w:tcW w:w="100" w:type="dxa"/>
            <w:vAlign w:val="bottom"/>
            <w:shd w:val="clear" w:color="auto" w:fill="CCCCCC"/>
          </w:tcPr>
          <w:p>
            <w:pPr>
              <w:spacing w:after="0"/>
              <w:rPr>
                <w:sz w:val="13"/>
                <w:szCs w:val="13"/>
                <w:color w:val="auto"/>
              </w:rPr>
            </w:pPr>
          </w:p>
        </w:tc>
        <w:tc>
          <w:tcPr>
            <w:tcW w:w="340" w:type="dxa"/>
            <w:vAlign w:val="bottom"/>
            <w:shd w:val="clear" w:color="auto" w:fill="CCCCCC"/>
          </w:tcPr>
          <w:p>
            <w:pPr>
              <w:spacing w:after="0"/>
              <w:rPr>
                <w:sz w:val="13"/>
                <w:szCs w:val="13"/>
                <w:color w:val="auto"/>
              </w:rPr>
            </w:pPr>
          </w:p>
        </w:tc>
        <w:tc>
          <w:tcPr>
            <w:tcW w:w="320" w:type="dxa"/>
            <w:vAlign w:val="bottom"/>
            <w:shd w:val="clear" w:color="auto" w:fill="CCCCCC"/>
          </w:tcPr>
          <w:p>
            <w:pPr>
              <w:spacing w:after="0"/>
              <w:rPr>
                <w:sz w:val="13"/>
                <w:szCs w:val="13"/>
                <w:color w:val="auto"/>
              </w:rPr>
            </w:pPr>
          </w:p>
        </w:tc>
        <w:tc>
          <w:tcPr>
            <w:tcW w:w="160" w:type="dxa"/>
            <w:vAlign w:val="bottom"/>
            <w:shd w:val="clear" w:color="auto" w:fill="CCCCCC"/>
          </w:tcPr>
          <w:p>
            <w:pPr>
              <w:spacing w:after="0"/>
              <w:rPr>
                <w:sz w:val="13"/>
                <w:szCs w:val="13"/>
                <w:color w:val="auto"/>
              </w:rPr>
            </w:pPr>
          </w:p>
        </w:tc>
        <w:tc>
          <w:tcPr>
            <w:tcW w:w="860" w:type="dxa"/>
            <w:vAlign w:val="bottom"/>
            <w:gridSpan w:val="3"/>
            <w:shd w:val="clear" w:color="auto" w:fill="CCCCCC"/>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CCCC"/>
          </w:tcPr>
          <w:p>
            <w:pPr>
              <w:spacing w:after="0"/>
              <w:rPr>
                <w:sz w:val="13"/>
                <w:szCs w:val="13"/>
                <w:color w:val="auto"/>
              </w:rPr>
            </w:pPr>
          </w:p>
        </w:tc>
        <w:tc>
          <w:tcPr>
            <w:tcW w:w="100" w:type="dxa"/>
            <w:vAlign w:val="bottom"/>
            <w:shd w:val="clear" w:color="auto" w:fill="CCCCCC"/>
          </w:tcPr>
          <w:p>
            <w:pPr>
              <w:spacing w:after="0"/>
              <w:rPr>
                <w:sz w:val="13"/>
                <w:szCs w:val="13"/>
                <w:color w:val="auto"/>
              </w:rPr>
            </w:pPr>
          </w:p>
        </w:tc>
        <w:tc>
          <w:tcPr>
            <w:tcW w:w="860" w:type="dxa"/>
            <w:vAlign w:val="bottom"/>
            <w:gridSpan w:val="2"/>
            <w:shd w:val="clear" w:color="auto" w:fill="CCCCCC"/>
          </w:tcPr>
          <w:p>
            <w:pPr>
              <w:jc w:val="right"/>
              <w:ind w:right="220"/>
              <w:spacing w:after="0" w:line="15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CCCC"/>
          </w:tcPr>
          <w:p>
            <w:pPr>
              <w:spacing w:after="0"/>
              <w:rPr>
                <w:sz w:val="13"/>
                <w:szCs w:val="13"/>
                <w:color w:val="auto"/>
              </w:rPr>
            </w:pPr>
          </w:p>
        </w:tc>
        <w:tc>
          <w:tcPr>
            <w:tcW w:w="440" w:type="dxa"/>
            <w:vAlign w:val="bottom"/>
            <w:gridSpan w:val="2"/>
            <w:shd w:val="clear" w:color="auto" w:fill="CCCCCC"/>
          </w:tcPr>
          <w:p>
            <w:pPr>
              <w:ind w:left="140"/>
              <w:spacing w:after="0" w:line="159" w:lineRule="exact"/>
              <w:rPr>
                <w:sz w:val="20"/>
                <w:szCs w:val="20"/>
                <w:color w:val="auto"/>
              </w:rPr>
            </w:pPr>
            <w:r>
              <w:rPr>
                <w:rFonts w:ascii="Arial" w:cs="Arial" w:eastAsia="Arial" w:hAnsi="Arial"/>
                <w:sz w:val="14"/>
                <w:szCs w:val="14"/>
                <w:color w:val="auto"/>
                <w:w w:val="85"/>
              </w:rPr>
              <w:t>(217)</w:t>
            </w:r>
          </w:p>
        </w:tc>
        <w:tc>
          <w:tcPr>
            <w:tcW w:w="680" w:type="dxa"/>
            <w:vAlign w:val="bottom"/>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54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407</w:t>
            </w:r>
          </w:p>
        </w:tc>
        <w:tc>
          <w:tcPr>
            <w:tcW w:w="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00" w:type="dxa"/>
            <w:vAlign w:val="bottom"/>
            <w:gridSpan w:val="3"/>
          </w:tcPr>
          <w:p>
            <w:pPr>
              <w:ind w:left="180"/>
              <w:spacing w:after="0" w:line="145" w:lineRule="exact"/>
              <w:rPr>
                <w:sz w:val="20"/>
                <w:szCs w:val="20"/>
                <w:color w:val="auto"/>
              </w:rPr>
            </w:pPr>
            <w:r>
              <w:rPr>
                <w:rFonts w:ascii="Arial" w:cs="Arial" w:eastAsia="Arial" w:hAnsi="Arial"/>
                <w:sz w:val="14"/>
                <w:szCs w:val="14"/>
                <w:color w:val="auto"/>
              </w:rPr>
              <w:t>Net current-period other comprehensive income</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(loss)</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109</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(39)</w:t>
            </w:r>
          </w:p>
        </w:tc>
        <w:tc>
          <w:tcPr>
            <w:tcW w:w="340" w:type="dxa"/>
            <w:vAlign w:val="bottom"/>
          </w:tcPr>
          <w:p>
            <w:pPr>
              <w:spacing w:after="0"/>
              <w:rPr>
                <w:sz w:val="13"/>
                <w:szCs w:val="13"/>
                <w:color w:val="auto"/>
              </w:rPr>
            </w:pPr>
          </w:p>
        </w:tc>
        <w:tc>
          <w:tcPr>
            <w:tcW w:w="44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85"/>
              </w:rPr>
              <w:t>(102)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3"/>
            <w:shd w:val="clear" w:color="auto" w:fill="CCCCCC"/>
          </w:tcPr>
          <w:p>
            <w:pPr>
              <w:spacing w:after="0" w:line="149" w:lineRule="exact"/>
              <w:rPr>
                <w:sz w:val="20"/>
                <w:szCs w:val="20"/>
                <w:color w:val="auto"/>
              </w:rPr>
            </w:pPr>
            <w:r>
              <w:rPr>
                <w:rFonts w:ascii="Arial" w:cs="Arial" w:eastAsia="Arial" w:hAnsi="Arial"/>
                <w:sz w:val="14"/>
                <w:szCs w:val="14"/>
                <w:color w:val="auto"/>
              </w:rPr>
              <w:t>Balance at December 31, 2015</w:t>
            </w: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(363)</w:t>
            </w:r>
          </w:p>
        </w:tc>
        <w:tc>
          <w:tcPr>
            <w:tcW w:w="560" w:type="dxa"/>
            <w:vAlign w:val="bottom"/>
            <w:shd w:val="clear" w:color="auto" w:fill="CCCCCC"/>
          </w:tcPr>
          <w:p>
            <w:pPr>
              <w:spacing w:after="0"/>
              <w:rPr>
                <w:sz w:val="12"/>
                <w:szCs w:val="12"/>
                <w:color w:val="auto"/>
              </w:rPr>
            </w:pPr>
          </w:p>
        </w:tc>
        <w:tc>
          <w:tcPr>
            <w:tcW w:w="500" w:type="dxa"/>
            <w:vAlign w:val="bottom"/>
            <w:shd w:val="clear" w:color="auto" w:fill="CCCCCC"/>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CCCC"/>
          </w:tcPr>
          <w:p>
            <w:pPr>
              <w:spacing w:after="0"/>
              <w:rPr>
                <w:sz w:val="12"/>
                <w:szCs w:val="12"/>
                <w:color w:val="auto"/>
              </w:rPr>
            </w:pPr>
          </w:p>
        </w:tc>
        <w:tc>
          <w:tcPr>
            <w:tcW w:w="560" w:type="dxa"/>
            <w:vAlign w:val="bottom"/>
            <w:gridSpan w:val="2"/>
            <w:shd w:val="clear" w:color="auto" w:fill="CCCCCC"/>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660" w:type="dxa"/>
            <w:vAlign w:val="bottom"/>
            <w:gridSpan w:val="2"/>
            <w:shd w:val="clear" w:color="auto" w:fill="CCCCC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CCCC"/>
          </w:tcPr>
          <w:p>
            <w:pPr>
              <w:spacing w:after="0"/>
              <w:rPr>
                <w:sz w:val="12"/>
                <w:szCs w:val="12"/>
                <w:color w:val="auto"/>
              </w:rPr>
            </w:pPr>
          </w:p>
        </w:tc>
        <w:tc>
          <w:tcPr>
            <w:tcW w:w="4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CCCC"/>
          </w:tcPr>
          <w:p>
            <w:pPr>
              <w:spacing w:after="0"/>
              <w:rPr>
                <w:sz w:val="12"/>
                <w:szCs w:val="12"/>
                <w:color w:val="auto"/>
              </w:rPr>
            </w:pPr>
          </w:p>
        </w:tc>
        <w:tc>
          <w:tcPr>
            <w:tcW w:w="300" w:type="dxa"/>
            <w:vAlign w:val="bottom"/>
            <w:shd w:val="clear" w:color="auto" w:fill="CCCCCC"/>
          </w:tcPr>
          <w:p>
            <w:pPr>
              <w:spacing w:after="0"/>
              <w:rPr>
                <w:sz w:val="12"/>
                <w:szCs w:val="12"/>
                <w:color w:val="auto"/>
              </w:rPr>
            </w:pPr>
          </w:p>
        </w:tc>
        <w:tc>
          <w:tcPr>
            <w:tcW w:w="380" w:type="dxa"/>
            <w:vAlign w:val="bottom"/>
            <w:shd w:val="clear" w:color="auto" w:fill="CCCCCC"/>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spacing w:after="0"/>
              <w:rPr>
                <w:sz w:val="12"/>
                <w:szCs w:val="12"/>
                <w:color w:val="auto"/>
              </w:rPr>
            </w:pPr>
          </w:p>
        </w:tc>
        <w:tc>
          <w:tcPr>
            <w:tcW w:w="860" w:type="dxa"/>
            <w:vAlign w:val="bottom"/>
            <w:gridSpan w:val="2"/>
            <w:shd w:val="clear" w:color="auto" w:fill="CCCCCC"/>
          </w:tcPr>
          <w:p>
            <w:pPr>
              <w:jc w:val="right"/>
              <w:ind w:right="220"/>
              <w:spacing w:after="0" w:line="149" w:lineRule="exact"/>
              <w:rPr>
                <w:sz w:val="20"/>
                <w:szCs w:val="20"/>
                <w:color w:val="auto"/>
              </w:rPr>
            </w:pPr>
            <w:r>
              <w:rPr>
                <w:rFonts w:ascii="Arial" w:cs="Arial" w:eastAsia="Arial" w:hAnsi="Arial"/>
                <w:sz w:val="14"/>
                <w:szCs w:val="14"/>
                <w:color w:val="auto"/>
              </w:rPr>
              <w:t>(154)</w:t>
            </w:r>
          </w:p>
        </w:tc>
        <w:tc>
          <w:tcPr>
            <w:tcW w:w="340" w:type="dxa"/>
            <w:vAlign w:val="bottom"/>
            <w:shd w:val="clear" w:color="auto" w:fill="CCCCCC"/>
          </w:tcPr>
          <w:p>
            <w:pPr>
              <w:ind w:left="2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CCCC"/>
          </w:tcPr>
          <w:p>
            <w:pPr>
              <w:ind w:left="140"/>
              <w:spacing w:after="0" w:line="149" w:lineRule="exact"/>
              <w:rPr>
                <w:sz w:val="20"/>
                <w:szCs w:val="20"/>
                <w:color w:val="auto"/>
              </w:rPr>
            </w:pPr>
            <w:r>
              <w:rPr>
                <w:rFonts w:ascii="Arial" w:cs="Arial" w:eastAsia="Arial" w:hAnsi="Arial"/>
                <w:sz w:val="14"/>
                <w:szCs w:val="14"/>
                <w:color w:val="auto"/>
                <w:w w:val="85"/>
              </w:rPr>
              <w:t>(102)</w:t>
            </w:r>
          </w:p>
        </w:tc>
        <w:tc>
          <w:tcPr>
            <w:tcW w:w="680" w:type="dxa"/>
            <w:vAlign w:val="bottom"/>
            <w:shd w:val="clear" w:color="auto" w:fill="CCCCCC"/>
          </w:tcPr>
          <w:p>
            <w:pPr>
              <w:spacing w:after="0"/>
              <w:rPr>
                <w:sz w:val="12"/>
                <w:szCs w:val="12"/>
                <w:color w:val="auto"/>
              </w:rPr>
            </w:pP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(831)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Arial" w:cs="Arial" w:eastAsia="Arial" w:hAnsi="Arial"/>
                <w:sz w:val="18"/>
                <w:szCs w:val="18"/>
                <w:b w:val="1"/>
                <w:bCs w:val="1"/>
                <w:color w:val="auto"/>
                <w:w w:val="94"/>
              </w:rPr>
              <w:t>Affected Line Item in</w:t>
            </w:r>
          </w:p>
        </w:tc>
        <w:tc>
          <w:tcPr>
            <w:tcW w:w="0" w:type="dxa"/>
            <w:vAlign w:val="bottom"/>
          </w:tcPr>
          <w:p>
            <w:pPr>
              <w:spacing w:after="0"/>
              <w:rPr>
                <w:sz w:val="1"/>
                <w:szCs w:val="1"/>
                <w:color w:val="auto"/>
              </w:rPr>
            </w:pPr>
          </w:p>
        </w:tc>
      </w:tr>
      <w:tr>
        <w:trPr>
          <w:trHeight w:val="216"/>
        </w:trPr>
        <w:tc>
          <w:tcPr>
            <w:tcW w:w="3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Details about AOCI Components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2"/>
          </w:tcPr>
          <w:p>
            <w:pPr>
              <w:jc w:val="center"/>
              <w:ind w:right="400"/>
              <w:spacing w:after="0"/>
              <w:rPr>
                <w:sz w:val="20"/>
                <w:szCs w:val="20"/>
                <w:color w:val="auto"/>
              </w:rPr>
            </w:pPr>
            <w:r>
              <w:rPr>
                <w:rFonts w:ascii="Arial" w:cs="Arial" w:eastAsia="Arial" w:hAnsi="Arial"/>
                <w:sz w:val="18"/>
                <w:szCs w:val="18"/>
                <w:b w:val="1"/>
                <w:bCs w:val="1"/>
                <w:color w:val="auto"/>
                <w:w w:val="90"/>
              </w:rPr>
              <w:t>Amount Reclassified from AOCI to</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5"/>
          </w:tcPr>
          <w:p>
            <w:pPr>
              <w:ind w:left="100"/>
              <w:spacing w:after="0"/>
              <w:rPr>
                <w:sz w:val="20"/>
                <w:szCs w:val="20"/>
                <w:color w:val="auto"/>
              </w:rPr>
            </w:pPr>
            <w:r>
              <w:rPr>
                <w:rFonts w:ascii="Arial" w:cs="Arial" w:eastAsia="Arial" w:hAnsi="Arial"/>
                <w:sz w:val="18"/>
                <w:szCs w:val="18"/>
                <w:b w:val="1"/>
                <w:bCs w:val="1"/>
                <w:color w:val="auto"/>
                <w:w w:val="93"/>
              </w:rPr>
              <w:t>the Statement Where</w:t>
            </w:r>
          </w:p>
        </w:tc>
        <w:tc>
          <w:tcPr>
            <w:tcW w:w="0" w:type="dxa"/>
            <w:vAlign w:val="bottom"/>
          </w:tcPr>
          <w:p>
            <w:pPr>
              <w:spacing w:after="0"/>
              <w:rPr>
                <w:sz w:val="1"/>
                <w:szCs w:val="1"/>
                <w:color w:val="auto"/>
              </w:rPr>
            </w:pPr>
          </w:p>
        </w:tc>
      </w:tr>
      <w:tr>
        <w:trPr>
          <w:trHeight w:val="224"/>
        </w:trPr>
        <w:tc>
          <w:tcPr>
            <w:tcW w:w="33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Income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5"/>
          </w:tcPr>
          <w:p>
            <w:pPr>
              <w:spacing w:after="0"/>
              <w:rPr>
                <w:sz w:val="20"/>
                <w:szCs w:val="20"/>
                <w:color w:val="auto"/>
              </w:rPr>
            </w:pPr>
            <w:r>
              <w:rPr>
                <w:rFonts w:ascii="Arial" w:cs="Arial" w:eastAsia="Arial" w:hAnsi="Arial"/>
                <w:sz w:val="18"/>
                <w:szCs w:val="18"/>
                <w:b w:val="1"/>
                <w:bCs w:val="1"/>
                <w:color w:val="auto"/>
                <w:w w:val="85"/>
              </w:rPr>
              <w:t>Net Income is Presented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8"/>
          </w:tcPr>
          <w:p>
            <w:pPr>
              <w:jc w:val="center"/>
              <w:ind w:right="100"/>
              <w:spacing w:after="0"/>
              <w:rPr>
                <w:sz w:val="20"/>
                <w:szCs w:val="20"/>
                <w:color w:val="auto"/>
              </w:rPr>
            </w:pPr>
            <w:r>
              <w:rPr>
                <w:rFonts w:ascii="Arial" w:cs="Arial" w:eastAsia="Arial" w:hAnsi="Arial"/>
                <w:sz w:val="18"/>
                <w:szCs w:val="18"/>
                <w:b w:val="1"/>
                <w:bCs w:val="1"/>
                <w:color w:val="auto"/>
                <w:w w:val="87"/>
              </w:rPr>
              <w:t>Year Ended December 31,</w:t>
            </w:r>
          </w:p>
        </w:tc>
        <w:tc>
          <w:tcPr>
            <w:tcW w:w="6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gridSpan w:val="4"/>
            <w:vMerge w:val="restart"/>
          </w:tcPr>
          <w:p>
            <w:pPr>
              <w:spacing w:after="0"/>
              <w:rPr>
                <w:sz w:val="20"/>
                <w:szCs w:val="20"/>
                <w:color w:val="auto"/>
              </w:rPr>
            </w:pPr>
            <w:r>
              <w:rPr>
                <w:rFonts w:ascii="Arial" w:cs="Arial" w:eastAsia="Arial" w:hAnsi="Arial"/>
                <w:sz w:val="18"/>
                <w:szCs w:val="18"/>
                <w:color w:val="auto"/>
                <w:w w:val="94"/>
              </w:rPr>
              <w:t>Derivatives designated as cash flow hedges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6"/>
            <w:shd w:val="clear" w:color="auto" w:fill="CCCCCC"/>
          </w:tcPr>
          <w:p>
            <w:pPr>
              <w:ind w:left="160"/>
              <w:spacing w:after="0"/>
              <w:rPr>
                <w:sz w:val="20"/>
                <w:szCs w:val="20"/>
                <w:color w:val="auto"/>
              </w:rPr>
            </w:pPr>
            <w:r>
              <w:rPr>
                <w:rFonts w:ascii="Arial" w:cs="Arial" w:eastAsia="Arial" w:hAnsi="Arial"/>
                <w:sz w:val="18"/>
                <w:szCs w:val="18"/>
                <w:color w:val="auto"/>
                <w:w w:val="97"/>
              </w:rPr>
              <w:t>Fuel contracts-reclassifications of (gains) losses into earnings</w:t>
            </w:r>
          </w:p>
        </w:tc>
        <w:tc>
          <w:tcPr>
            <w:tcW w:w="660" w:type="dxa"/>
            <w:vAlign w:val="bottom"/>
            <w:gridSpan w:val="2"/>
            <w:shd w:val="clear" w:color="auto" w:fill="CCCCCC"/>
          </w:tcPr>
          <w:p>
            <w:pPr>
              <w:jc w:val="center"/>
              <w:ind w:left="42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604</w:t>
            </w:r>
          </w:p>
        </w:tc>
        <w:tc>
          <w:tcPr>
            <w:tcW w:w="82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CCCC"/>
          </w:tcPr>
          <w:p>
            <w:pPr>
              <w:spacing w:after="0"/>
              <w:rPr>
                <w:sz w:val="18"/>
                <w:szCs w:val="18"/>
                <w:color w:val="auto"/>
              </w:rPr>
            </w:pPr>
          </w:p>
        </w:tc>
        <w:tc>
          <w:tcPr>
            <w:tcW w:w="4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1120" w:type="dxa"/>
            <w:vAlign w:val="bottom"/>
            <w:gridSpan w:val="3"/>
            <w:shd w:val="clear" w:color="auto" w:fill="CCCCCC"/>
          </w:tcPr>
          <w:p>
            <w:pPr>
              <w:ind w:left="40"/>
              <w:spacing w:after="0"/>
              <w:rPr>
                <w:sz w:val="20"/>
                <w:szCs w:val="20"/>
                <w:color w:val="auto"/>
              </w:rPr>
            </w:pPr>
            <w:r>
              <w:rPr>
                <w:rFonts w:ascii="Arial" w:cs="Arial" w:eastAsia="Arial" w:hAnsi="Arial"/>
                <w:sz w:val="18"/>
                <w:szCs w:val="18"/>
                <w:color w:val="auto"/>
              </w:rPr>
              <w:t>Aircraft fuel</w:t>
            </w: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6"/>
          </w:tcPr>
          <w:p>
            <w:pPr>
              <w:spacing w:after="0"/>
              <w:rPr>
                <w:sz w:val="20"/>
                <w:szCs w:val="20"/>
                <w:color w:val="auto"/>
              </w:rPr>
            </w:pPr>
            <w:r>
              <w:rPr>
                <w:rFonts w:ascii="Arial" w:cs="Arial" w:eastAsia="Arial" w:hAnsi="Arial"/>
                <w:sz w:val="18"/>
                <w:szCs w:val="18"/>
                <w:color w:val="auto"/>
              </w:rPr>
              <w:t>Amortization of pension and postretirement items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6"/>
            <w:shd w:val="clear" w:color="auto" w:fill="CCCCCC"/>
          </w:tcPr>
          <w:p>
            <w:pPr>
              <w:ind w:left="160"/>
              <w:spacing w:after="0"/>
              <w:rPr>
                <w:sz w:val="20"/>
                <w:szCs w:val="20"/>
                <w:color w:val="auto"/>
              </w:rPr>
            </w:pPr>
            <w:r>
              <w:rPr>
                <w:rFonts w:ascii="Arial" w:cs="Arial" w:eastAsia="Arial" w:hAnsi="Arial"/>
                <w:sz w:val="18"/>
                <w:szCs w:val="18"/>
                <w:color w:val="auto"/>
              </w:rPr>
              <w:t>Amortization of unrecognized (gains) losses and prior</w:t>
            </w:r>
          </w:p>
        </w:tc>
        <w:tc>
          <w:tcPr>
            <w:tcW w:w="5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4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3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40" w:type="dxa"/>
            <w:vAlign w:val="bottom"/>
            <w:tcBorders>
              <w:right w:val="single" w:sz="8" w:color="CCCCCC"/>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4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gridSpan w:val="6"/>
            <w:shd w:val="clear" w:color="auto" w:fill="CCCCCC"/>
          </w:tcPr>
          <w:p>
            <w:pPr>
              <w:ind w:left="160"/>
              <w:spacing w:after="0"/>
              <w:rPr>
                <w:sz w:val="20"/>
                <w:szCs w:val="20"/>
                <w:color w:val="auto"/>
              </w:rPr>
            </w:pPr>
            <w:r>
              <w:rPr>
                <w:rFonts w:ascii="Arial" w:cs="Arial" w:eastAsia="Arial" w:hAnsi="Arial"/>
                <w:sz w:val="18"/>
                <w:szCs w:val="18"/>
                <w:color w:val="auto"/>
                <w:w w:val="97"/>
              </w:rPr>
              <w:t>service cost and the effect of curtailments and settlements (e)</w:t>
            </w:r>
          </w:p>
        </w:tc>
        <w:tc>
          <w:tcPr>
            <w:tcW w:w="500" w:type="dxa"/>
            <w:vAlign w:val="bottom"/>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5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CCCC"/>
          </w:tcPr>
          <w:p>
            <w:pPr>
              <w:spacing w:after="0"/>
              <w:rPr>
                <w:sz w:val="20"/>
                <w:szCs w:val="20"/>
                <w:color w:val="auto"/>
              </w:rPr>
            </w:pPr>
          </w:p>
        </w:tc>
        <w:tc>
          <w:tcPr>
            <w:tcW w:w="320" w:type="dxa"/>
            <w:vAlign w:val="bottom"/>
            <w:shd w:val="clear" w:color="auto" w:fill="CCCCCC"/>
          </w:tcPr>
          <w:p>
            <w:pPr>
              <w:spacing w:after="0"/>
              <w:rPr>
                <w:sz w:val="20"/>
                <w:szCs w:val="20"/>
                <w:color w:val="auto"/>
              </w:rPr>
            </w:pPr>
          </w:p>
        </w:tc>
        <w:tc>
          <w:tcPr>
            <w:tcW w:w="160" w:type="dxa"/>
            <w:vAlign w:val="bottom"/>
            <w:shd w:val="clear" w:color="auto" w:fill="CCCCCC"/>
          </w:tcPr>
          <w:p>
            <w:pPr>
              <w:spacing w:after="0"/>
              <w:rPr>
                <w:sz w:val="20"/>
                <w:szCs w:val="20"/>
                <w:color w:val="auto"/>
              </w:rPr>
            </w:pPr>
          </w:p>
        </w:tc>
        <w:tc>
          <w:tcPr>
            <w:tcW w:w="860" w:type="dxa"/>
            <w:vAlign w:val="bottom"/>
            <w:gridSpan w:val="3"/>
            <w:shd w:val="clear" w:color="auto" w:fill="CCCCCC"/>
          </w:tcPr>
          <w:p>
            <w:pPr>
              <w:jc w:val="right"/>
              <w:ind w:right="300"/>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c>
          <w:tcPr>
            <w:tcW w:w="640" w:type="dxa"/>
            <w:vAlign w:val="bottom"/>
            <w:tcBorders>
              <w:right w:val="single" w:sz="8" w:color="CCCCCC"/>
            </w:tcBorders>
            <w:shd w:val="clear" w:color="auto" w:fill="CCCCC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CCCC"/>
          </w:tcPr>
          <w:p>
            <w:pPr>
              <w:spacing w:after="0"/>
              <w:rPr>
                <w:sz w:val="20"/>
                <w:szCs w:val="20"/>
                <w:color w:val="auto"/>
              </w:rPr>
            </w:pPr>
          </w:p>
        </w:tc>
        <w:tc>
          <w:tcPr>
            <w:tcW w:w="340" w:type="dxa"/>
            <w:vAlign w:val="bottom"/>
            <w:shd w:val="clear" w:color="auto" w:fill="CCCCCC"/>
          </w:tcPr>
          <w:p>
            <w:pPr>
              <w:spacing w:after="0"/>
              <w:rPr>
                <w:sz w:val="20"/>
                <w:szCs w:val="20"/>
                <w:color w:val="auto"/>
              </w:rPr>
            </w:pPr>
          </w:p>
        </w:tc>
        <w:tc>
          <w:tcPr>
            <w:tcW w:w="1840" w:type="dxa"/>
            <w:vAlign w:val="bottom"/>
            <w:gridSpan w:val="6"/>
            <w:shd w:val="clear" w:color="auto" w:fill="CCCCCC"/>
          </w:tcPr>
          <w:p>
            <w:pPr>
              <w:ind w:left="40"/>
              <w:spacing w:after="0"/>
              <w:rPr>
                <w:sz w:val="20"/>
                <w:szCs w:val="20"/>
                <w:color w:val="auto"/>
              </w:rPr>
            </w:pPr>
            <w:r>
              <w:rPr>
                <w:rFonts w:ascii="Arial" w:cs="Arial" w:eastAsia="Arial" w:hAnsi="Arial"/>
                <w:sz w:val="18"/>
                <w:szCs w:val="18"/>
                <w:color w:val="auto"/>
                <w:w w:val="85"/>
              </w:rPr>
              <w:t>Salaries and related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Investments and other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6"/>
            <w:shd w:val="clear" w:color="auto" w:fill="CCCCCC"/>
          </w:tcPr>
          <w:p>
            <w:pPr>
              <w:ind w:left="160"/>
              <w:spacing w:after="0"/>
              <w:rPr>
                <w:sz w:val="20"/>
                <w:szCs w:val="20"/>
                <w:color w:val="auto"/>
              </w:rPr>
            </w:pPr>
            <w:r>
              <w:rPr>
                <w:rFonts w:ascii="Arial" w:cs="Arial" w:eastAsia="Arial" w:hAnsi="Arial"/>
                <w:sz w:val="18"/>
                <w:szCs w:val="18"/>
                <w:color w:val="auto"/>
              </w:rPr>
              <w:t>Available-for-sale securities—reclassifications of gains into</w:t>
            </w:r>
          </w:p>
        </w:tc>
        <w:tc>
          <w:tcPr>
            <w:tcW w:w="5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44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3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40" w:type="dxa"/>
            <w:vAlign w:val="bottom"/>
            <w:tcBorders>
              <w:right w:val="single" w:sz="8" w:color="CCCCCC"/>
            </w:tcBorders>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400" w:type="dxa"/>
            <w:vAlign w:val="bottom"/>
            <w:shd w:val="clear" w:color="auto" w:fill="CCCCCC"/>
          </w:tcPr>
          <w:p>
            <w:pPr>
              <w:spacing w:after="0"/>
              <w:rPr>
                <w:sz w:val="18"/>
                <w:szCs w:val="18"/>
                <w:color w:val="auto"/>
              </w:rPr>
            </w:pPr>
          </w:p>
        </w:tc>
        <w:tc>
          <w:tcPr>
            <w:tcW w:w="68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40" w:type="dxa"/>
            <w:vAlign w:val="bottom"/>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gridSpan w:val="3"/>
            <w:shd w:val="clear" w:color="auto" w:fill="CCCCCC"/>
          </w:tcPr>
          <w:p>
            <w:pPr>
              <w:ind w:left="180"/>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CCCC"/>
          </w:tcPr>
          <w:p>
            <w:pPr>
              <w:spacing w:after="0"/>
              <w:rPr>
                <w:sz w:val="19"/>
                <w:szCs w:val="19"/>
                <w:color w:val="auto"/>
              </w:rPr>
            </w:pPr>
          </w:p>
        </w:tc>
        <w:tc>
          <w:tcPr>
            <w:tcW w:w="1020" w:type="dxa"/>
            <w:vAlign w:val="bottom"/>
            <w:shd w:val="clear" w:color="auto" w:fill="CCCCCC"/>
          </w:tcPr>
          <w:p>
            <w:pPr>
              <w:spacing w:after="0"/>
              <w:rPr>
                <w:sz w:val="19"/>
                <w:szCs w:val="19"/>
                <w:color w:val="auto"/>
              </w:rPr>
            </w:pPr>
          </w:p>
        </w:tc>
        <w:tc>
          <w:tcPr>
            <w:tcW w:w="560" w:type="dxa"/>
            <w:vAlign w:val="bottom"/>
            <w:shd w:val="clear" w:color="auto" w:fill="CCCCCC"/>
          </w:tcPr>
          <w:p>
            <w:pPr>
              <w:spacing w:after="0"/>
              <w:rPr>
                <w:sz w:val="19"/>
                <w:szCs w:val="19"/>
                <w:color w:val="auto"/>
              </w:rPr>
            </w:pPr>
          </w:p>
        </w:tc>
        <w:tc>
          <w:tcPr>
            <w:tcW w:w="500" w:type="dxa"/>
            <w:vAlign w:val="bottom"/>
            <w:shd w:val="clear" w:color="auto" w:fill="CCCCCC"/>
          </w:tcPr>
          <w:p>
            <w:pPr>
              <w:spacing w:after="0"/>
              <w:rPr>
                <w:sz w:val="19"/>
                <w:szCs w:val="19"/>
                <w:color w:val="auto"/>
              </w:rPr>
            </w:pPr>
          </w:p>
        </w:tc>
        <w:tc>
          <w:tcPr>
            <w:tcW w:w="160" w:type="dxa"/>
            <w:vAlign w:val="bottom"/>
            <w:shd w:val="clear" w:color="auto" w:fill="CCCCCC"/>
          </w:tcPr>
          <w:p>
            <w:pPr>
              <w:spacing w:after="0"/>
              <w:rPr>
                <w:sz w:val="19"/>
                <w:szCs w:val="19"/>
                <w:color w:val="auto"/>
              </w:rPr>
            </w:pPr>
          </w:p>
        </w:tc>
        <w:tc>
          <w:tcPr>
            <w:tcW w:w="5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CCCC"/>
          </w:tcPr>
          <w:p>
            <w:pPr>
              <w:spacing w:after="0"/>
              <w:rPr>
                <w:sz w:val="19"/>
                <w:szCs w:val="19"/>
                <w:color w:val="auto"/>
              </w:rPr>
            </w:pPr>
          </w:p>
        </w:tc>
        <w:tc>
          <w:tcPr>
            <w:tcW w:w="320" w:type="dxa"/>
            <w:vAlign w:val="bottom"/>
            <w:shd w:val="clear" w:color="auto" w:fill="CCCCCC"/>
          </w:tcPr>
          <w:p>
            <w:pPr>
              <w:spacing w:after="0"/>
              <w:rPr>
                <w:sz w:val="19"/>
                <w:szCs w:val="19"/>
                <w:color w:val="auto"/>
              </w:rPr>
            </w:pPr>
          </w:p>
        </w:tc>
        <w:tc>
          <w:tcPr>
            <w:tcW w:w="160" w:type="dxa"/>
            <w:vAlign w:val="bottom"/>
            <w:shd w:val="clear" w:color="auto" w:fill="CCCCCC"/>
          </w:tcPr>
          <w:p>
            <w:pPr>
              <w:spacing w:after="0"/>
              <w:rPr>
                <w:sz w:val="19"/>
                <w:szCs w:val="19"/>
                <w:color w:val="auto"/>
              </w:rPr>
            </w:pPr>
          </w:p>
        </w:tc>
        <w:tc>
          <w:tcPr>
            <w:tcW w:w="860" w:type="dxa"/>
            <w:vAlign w:val="bottom"/>
            <w:gridSpan w:val="3"/>
            <w:shd w:val="clear" w:color="auto" w:fill="CCCCCC"/>
          </w:tcPr>
          <w:p>
            <w:pPr>
              <w:jc w:val="right"/>
              <w:ind w:right="30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860" w:type="dxa"/>
            <w:vAlign w:val="bottom"/>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CCCC"/>
          </w:tcPr>
          <w:p>
            <w:pPr>
              <w:spacing w:after="0"/>
              <w:rPr>
                <w:sz w:val="19"/>
                <w:szCs w:val="19"/>
                <w:color w:val="auto"/>
              </w:rPr>
            </w:pPr>
          </w:p>
        </w:tc>
        <w:tc>
          <w:tcPr>
            <w:tcW w:w="1840" w:type="dxa"/>
            <w:vAlign w:val="bottom"/>
            <w:gridSpan w:val="6"/>
            <w:shd w:val="clear" w:color="auto" w:fill="CCCCCC"/>
          </w:tcPr>
          <w:p>
            <w:pPr>
              <w:ind w:left="40"/>
              <w:spacing w:after="0"/>
              <w:rPr>
                <w:sz w:val="20"/>
                <w:szCs w:val="20"/>
                <w:color w:val="auto"/>
              </w:rPr>
            </w:pPr>
            <w:r>
              <w:rPr>
                <w:rFonts w:ascii="Arial" w:cs="Arial" w:eastAsia="Arial" w:hAnsi="Arial"/>
                <w:sz w:val="18"/>
                <w:szCs w:val="18"/>
                <w:color w:val="auto"/>
              </w:rPr>
              <w:t>Miscellaneous,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right="40" w:firstLine="8"/>
        <w:spacing w:after="0" w:line="230" w:lineRule="auto"/>
        <w:tabs>
          <w:tab w:leader="none" w:pos="184" w:val="left"/>
        </w:tabs>
        <w:numPr>
          <w:ilvl w:val="0"/>
          <w:numId w:val="27"/>
        </w:numPr>
        <w:rPr>
          <w:rFonts w:ascii="Arial" w:cs="Arial" w:eastAsia="Arial" w:hAnsi="Arial"/>
          <w:sz w:val="14"/>
          <w:szCs w:val="14"/>
          <w:color w:val="auto"/>
        </w:rPr>
      </w:pPr>
      <w:r>
        <w:rPr>
          <w:rFonts w:ascii="Arial" w:cs="Arial" w:eastAsia="Arial" w:hAnsi="Arial"/>
          <w:sz w:val="14"/>
          <w:szCs w:val="14"/>
          <w:color w:val="auto"/>
        </w:rPr>
        <w:t>UAL and United amounts are substantially the same except for an additional $1 million and $6 million of additional gains related to investments and other and an income tax benefit, respectively, at United in 2013.</w:t>
      </w:r>
    </w:p>
    <w:p>
      <w:pPr>
        <w:ind w:left="200" w:hanging="192"/>
        <w:spacing w:after="0" w:line="221" w:lineRule="auto"/>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Income tax expense for these items was offset by the Company’s valuation allowance.</w:t>
      </w:r>
    </w:p>
    <w:p>
      <w:pPr>
        <w:ind w:right="520" w:firstLine="8"/>
        <w:spacing w:after="0" w:line="221" w:lineRule="auto"/>
        <w:tabs>
          <w:tab w:leader="none" w:pos="184"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Prior service credits increased by $0 million, $3 million and $331 million and actuarial gains (losses) increased by approximately $78 million, $(1.1) billion and $1.3 billion for 2015, 2014 and 2013, respectively.</w:t>
      </w:r>
    </w:p>
    <w:p>
      <w:pPr>
        <w:ind w:left="200" w:hanging="192"/>
        <w:spacing w:after="0" w:line="221" w:lineRule="auto"/>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Deferred tax balance was offset by the Company’s valuation allowance.</w:t>
      </w:r>
    </w:p>
    <w:p>
      <w:pPr>
        <w:ind w:left="200" w:hanging="192"/>
        <w:spacing w:after="0"/>
        <w:tabs>
          <w:tab w:leader="none" w:pos="2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This accumulated other comprehensive income component is included in the computation of net periodic pension and other postretirement costs (see Note 8 of this report for additional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8"/>
        </w:trPr>
        <w:tc>
          <w:tcPr>
            <w:tcW w:w="8400" w:type="dxa"/>
            <w:vAlign w:val="bottom"/>
          </w:tcPr>
          <w:p>
            <w:pPr>
              <w:spacing w:after="0"/>
              <w:rPr>
                <w:sz w:val="20"/>
                <w:szCs w:val="20"/>
                <w:color w:val="auto"/>
              </w:rPr>
            </w:pPr>
            <w:r>
              <w:rPr>
                <w:rFonts w:ascii="Arial" w:cs="Arial" w:eastAsia="Arial" w:hAnsi="Arial"/>
                <w:sz w:val="18"/>
                <w:szCs w:val="18"/>
                <w:b w:val="1"/>
                <w:bCs w:val="1"/>
                <w:color w:val="auto"/>
              </w:rPr>
              <w:t>NOTE 7 - INCOME TAXES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The significant components of the income tax expense (benefit) are as follows (in millions):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2"/>
        </w:trPr>
        <w:tc>
          <w:tcPr>
            <w:tcW w:w="8400" w:type="dxa"/>
            <w:vAlign w:val="bottom"/>
          </w:tcPr>
          <w:p>
            <w:pPr>
              <w:ind w:left="402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w w:val="97"/>
              </w:rPr>
              <w:t>UAL</w:t>
            </w:r>
          </w:p>
        </w:tc>
        <w:tc>
          <w:tcPr>
            <w:tcW w:w="860" w:type="dxa"/>
            <w:vAlign w:val="bottom"/>
          </w:tcPr>
          <w:p>
            <w:pPr>
              <w:spacing w:after="0"/>
              <w:rPr>
                <w:sz w:val="24"/>
                <w:szCs w:val="24"/>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b w:val="1"/>
                <w:bCs w:val="1"/>
                <w:color w:val="auto"/>
              </w:rPr>
              <w:t>United</w:t>
            </w:r>
          </w:p>
        </w:tc>
      </w:tr>
      <w:tr>
        <w:trPr>
          <w:trHeight w:val="211"/>
        </w:trPr>
        <w:tc>
          <w:tcPr>
            <w:tcW w:w="8400" w:type="dxa"/>
            <w:vAlign w:val="bottom"/>
            <w:tcBorders>
              <w:top w:val="single" w:sz="8" w:color="auto"/>
            </w:tcBorders>
            <w:shd w:val="clear" w:color="auto" w:fill="CCCCCC"/>
          </w:tcPr>
          <w:p>
            <w:pPr>
              <w:ind w:left="440"/>
              <w:spacing w:after="0"/>
              <w:rPr>
                <w:sz w:val="20"/>
                <w:szCs w:val="20"/>
                <w:color w:val="auto"/>
              </w:rPr>
            </w:pPr>
            <w:r>
              <w:rPr>
                <w:rFonts w:ascii="Arial" w:cs="Arial" w:eastAsia="Arial" w:hAnsi="Arial"/>
                <w:sz w:val="18"/>
                <w:szCs w:val="18"/>
                <w:color w:val="auto"/>
              </w:rPr>
              <w:t>Current</w:t>
            </w:r>
          </w:p>
        </w:tc>
        <w:tc>
          <w:tcPr>
            <w:tcW w:w="76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56</w:t>
            </w:r>
          </w:p>
        </w:tc>
        <w:tc>
          <w:tcPr>
            <w:tcW w:w="86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CCCC"/>
            </w:tcBorders>
            <w:shd w:val="clear" w:color="auto" w:fill="CCCCCC"/>
          </w:tcPr>
          <w:p>
            <w:pPr>
              <w:spacing w:after="0"/>
              <w:rPr>
                <w:sz w:val="18"/>
                <w:szCs w:val="18"/>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Deferred</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(3,177)</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(3,136)</w:t>
            </w:r>
          </w:p>
        </w:tc>
        <w:tc>
          <w:tcPr>
            <w:tcW w:w="100" w:type="dxa"/>
            <w:vAlign w:val="bottom"/>
          </w:tcPr>
          <w:p>
            <w:pPr>
              <w:spacing w:after="0"/>
              <w:rPr>
                <w:sz w:val="19"/>
                <w:szCs w:val="19"/>
                <w:color w:val="auto"/>
              </w:rPr>
            </w:pPr>
          </w:p>
        </w:tc>
      </w:tr>
      <w:tr>
        <w:trPr>
          <w:trHeight w:val="256"/>
        </w:trPr>
        <w:tc>
          <w:tcPr>
            <w:tcW w:w="8400" w:type="dxa"/>
            <w:vAlign w:val="bottom"/>
            <w:shd w:val="clear" w:color="auto" w:fill="CCCCCC"/>
          </w:tcPr>
          <w:p>
            <w:pPr>
              <w:spacing w:after="0"/>
              <w:rPr>
                <w:sz w:val="22"/>
                <w:szCs w:val="22"/>
                <w:color w:val="auto"/>
              </w:rPr>
            </w:pPr>
          </w:p>
        </w:tc>
        <w:tc>
          <w:tcPr>
            <w:tcW w:w="90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7"/>
              </w:rPr>
              <w:t>(3,121)</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(3,080)</w:t>
            </w:r>
          </w:p>
        </w:tc>
        <w:tc>
          <w:tcPr>
            <w:tcW w:w="100" w:type="dxa"/>
            <w:vAlign w:val="bottom"/>
            <w:shd w:val="clear" w:color="auto" w:fill="CCCCCC"/>
          </w:tcPr>
          <w:p>
            <w:pPr>
              <w:spacing w:after="0"/>
              <w:rPr>
                <w:sz w:val="22"/>
                <w:szCs w:val="22"/>
                <w:color w:val="auto"/>
              </w:rPr>
            </w:pPr>
          </w:p>
        </w:tc>
      </w:tr>
      <w:tr>
        <w:trPr>
          <w:trHeight w:val="393"/>
        </w:trPr>
        <w:tc>
          <w:tcPr>
            <w:tcW w:w="8400" w:type="dxa"/>
            <w:vAlign w:val="bottom"/>
            <w:tcBorders>
              <w:top w:val="single" w:sz="8" w:color="CCCCCC"/>
              <w:bottom w:val="single" w:sz="8" w:color="auto"/>
            </w:tcBorders>
          </w:tcPr>
          <w:p>
            <w:pPr>
              <w:ind w:left="4020"/>
              <w:spacing w:after="0"/>
              <w:rPr>
                <w:sz w:val="20"/>
                <w:szCs w:val="20"/>
                <w:color w:val="auto"/>
              </w:rPr>
            </w:pPr>
            <w:r>
              <w:rPr>
                <w:rFonts w:ascii="Arial" w:cs="Arial" w:eastAsia="Arial" w:hAnsi="Arial"/>
                <w:sz w:val="18"/>
                <w:szCs w:val="18"/>
                <w:b w:val="1"/>
                <w:bCs w:val="1"/>
                <w:color w:val="auto"/>
              </w:rPr>
              <w:t>2014</w:t>
            </w:r>
          </w:p>
        </w:tc>
        <w:tc>
          <w:tcPr>
            <w:tcW w:w="760" w:type="dxa"/>
            <w:vAlign w:val="bottom"/>
            <w:tcBorders>
              <w:top w:val="single" w:sz="8" w:color="CCCCCC"/>
              <w:bottom w:val="single" w:sz="8" w:color="CCCCCC"/>
            </w:tcBorders>
          </w:tcPr>
          <w:p>
            <w:pPr>
              <w:spacing w:after="0"/>
              <w:rPr>
                <w:sz w:val="24"/>
                <w:szCs w:val="24"/>
                <w:color w:val="auto"/>
              </w:rPr>
            </w:pPr>
          </w:p>
        </w:tc>
        <w:tc>
          <w:tcPr>
            <w:tcW w:w="140" w:type="dxa"/>
            <w:vAlign w:val="bottom"/>
            <w:tcBorders>
              <w:top w:val="single" w:sz="8" w:color="auto"/>
              <w:bottom w:val="single" w:sz="8" w:color="CCCCCC"/>
            </w:tcBorders>
          </w:tcPr>
          <w:p>
            <w:pPr>
              <w:spacing w:after="0"/>
              <w:rPr>
                <w:sz w:val="24"/>
                <w:szCs w:val="24"/>
                <w:color w:val="auto"/>
              </w:rPr>
            </w:pPr>
          </w:p>
        </w:tc>
        <w:tc>
          <w:tcPr>
            <w:tcW w:w="520" w:type="dxa"/>
            <w:vAlign w:val="bottom"/>
            <w:tcBorders>
              <w:top w:val="single" w:sz="8" w:color="auto"/>
              <w:bottom w:val="single" w:sz="8" w:color="CCCCCC"/>
            </w:tcBorders>
          </w:tcPr>
          <w:p>
            <w:pPr>
              <w:spacing w:after="0"/>
              <w:rPr>
                <w:sz w:val="24"/>
                <w:szCs w:val="24"/>
                <w:color w:val="auto"/>
              </w:rPr>
            </w:pPr>
          </w:p>
        </w:tc>
        <w:tc>
          <w:tcPr>
            <w:tcW w:w="860" w:type="dxa"/>
            <w:vAlign w:val="bottom"/>
            <w:tcBorders>
              <w:top w:val="single" w:sz="8" w:color="CCCCCC"/>
              <w:bottom w:val="single" w:sz="8" w:color="CCCCCC"/>
            </w:tcBorders>
          </w:tcPr>
          <w:p>
            <w:pPr>
              <w:spacing w:after="0"/>
              <w:rPr>
                <w:sz w:val="24"/>
                <w:szCs w:val="24"/>
                <w:color w:val="auto"/>
              </w:rPr>
            </w:pPr>
          </w:p>
        </w:tc>
        <w:tc>
          <w:tcPr>
            <w:tcW w:w="140" w:type="dxa"/>
            <w:vAlign w:val="bottom"/>
            <w:tcBorders>
              <w:top w:val="single" w:sz="8" w:color="auto"/>
              <w:bottom w:val="single" w:sz="8" w:color="CCCCCC"/>
            </w:tcBorders>
          </w:tcPr>
          <w:p>
            <w:pPr>
              <w:spacing w:after="0"/>
              <w:rPr>
                <w:sz w:val="24"/>
                <w:szCs w:val="24"/>
                <w:color w:val="auto"/>
              </w:rPr>
            </w:pPr>
          </w:p>
        </w:tc>
        <w:tc>
          <w:tcPr>
            <w:tcW w:w="500" w:type="dxa"/>
            <w:vAlign w:val="bottom"/>
            <w:tcBorders>
              <w:top w:val="single" w:sz="8" w:color="auto"/>
              <w:bottom w:val="single" w:sz="8" w:color="CCCCCC"/>
            </w:tcBorders>
          </w:tcPr>
          <w:p>
            <w:pPr>
              <w:spacing w:after="0"/>
              <w:rPr>
                <w:sz w:val="24"/>
                <w:szCs w:val="24"/>
                <w:color w:val="auto"/>
              </w:rPr>
            </w:pPr>
          </w:p>
        </w:tc>
        <w:tc>
          <w:tcPr>
            <w:tcW w:w="100" w:type="dxa"/>
            <w:vAlign w:val="bottom"/>
            <w:tcBorders>
              <w:top w:val="single" w:sz="8" w:color="CCCCCC"/>
              <w:bottom w:val="single" w:sz="8" w:color="CCCCCC"/>
            </w:tcBorders>
          </w:tcPr>
          <w:p>
            <w:pPr>
              <w:spacing w:after="0"/>
              <w:rPr>
                <w:sz w:val="24"/>
                <w:szCs w:val="24"/>
                <w:color w:val="auto"/>
              </w:rPr>
            </w:pPr>
          </w:p>
        </w:tc>
      </w:tr>
      <w:tr>
        <w:trPr>
          <w:trHeight w:val="216"/>
        </w:trPr>
        <w:tc>
          <w:tcPr>
            <w:tcW w:w="8400" w:type="dxa"/>
            <w:vAlign w:val="bottom"/>
            <w:shd w:val="clear" w:color="auto" w:fill="CCCCCC"/>
          </w:tcPr>
          <w:p>
            <w:pPr>
              <w:ind w:left="440"/>
              <w:spacing w:after="0"/>
              <w:rPr>
                <w:sz w:val="20"/>
                <w:szCs w:val="20"/>
                <w:color w:val="auto"/>
              </w:rPr>
            </w:pPr>
            <w:r>
              <w:rPr>
                <w:rFonts w:ascii="Arial" w:cs="Arial" w:eastAsia="Arial" w:hAnsi="Arial"/>
                <w:sz w:val="18"/>
                <w:szCs w:val="18"/>
                <w:color w:val="auto"/>
              </w:rPr>
              <w:t>Current</w:t>
            </w:r>
          </w:p>
        </w:tc>
        <w:tc>
          <w:tcPr>
            <w:tcW w:w="9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CCCC"/>
          </w:tcPr>
          <w:p>
            <w:pPr>
              <w:spacing w:after="0"/>
              <w:rPr>
                <w:sz w:val="18"/>
                <w:szCs w:val="18"/>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Deferred</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56"/>
        </w:trPr>
        <w:tc>
          <w:tcPr>
            <w:tcW w:w="8400" w:type="dxa"/>
            <w:vAlign w:val="bottom"/>
            <w:shd w:val="clear" w:color="auto" w:fill="CCCCCC"/>
          </w:tcPr>
          <w:p>
            <w:pPr>
              <w:spacing w:after="0"/>
              <w:rPr>
                <w:sz w:val="22"/>
                <w:szCs w:val="22"/>
                <w:color w:val="auto"/>
              </w:rPr>
            </w:pPr>
          </w:p>
        </w:tc>
        <w:tc>
          <w:tcPr>
            <w:tcW w:w="9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CCCC"/>
          </w:tcPr>
          <w:p>
            <w:pPr>
              <w:spacing w:after="0"/>
              <w:rPr>
                <w:sz w:val="22"/>
                <w:szCs w:val="22"/>
                <w:color w:val="auto"/>
              </w:rPr>
            </w:pPr>
          </w:p>
        </w:tc>
      </w:tr>
      <w:tr>
        <w:trPr>
          <w:trHeight w:val="393"/>
        </w:trPr>
        <w:tc>
          <w:tcPr>
            <w:tcW w:w="8400" w:type="dxa"/>
            <w:vAlign w:val="bottom"/>
            <w:tcBorders>
              <w:top w:val="single" w:sz="8" w:color="CCCCCC"/>
              <w:bottom w:val="single" w:sz="8" w:color="auto"/>
            </w:tcBorders>
          </w:tcPr>
          <w:p>
            <w:pPr>
              <w:ind w:left="4020"/>
              <w:spacing w:after="0"/>
              <w:rPr>
                <w:sz w:val="20"/>
                <w:szCs w:val="20"/>
                <w:color w:val="auto"/>
              </w:rPr>
            </w:pPr>
            <w:r>
              <w:rPr>
                <w:rFonts w:ascii="Arial" w:cs="Arial" w:eastAsia="Arial" w:hAnsi="Arial"/>
                <w:sz w:val="18"/>
                <w:szCs w:val="18"/>
                <w:b w:val="1"/>
                <w:bCs w:val="1"/>
                <w:color w:val="auto"/>
              </w:rPr>
              <w:t>2013</w:t>
            </w:r>
          </w:p>
        </w:tc>
        <w:tc>
          <w:tcPr>
            <w:tcW w:w="760" w:type="dxa"/>
            <w:vAlign w:val="bottom"/>
            <w:tcBorders>
              <w:top w:val="single" w:sz="8" w:color="CCCCCC"/>
              <w:bottom w:val="single" w:sz="8" w:color="CCCCCC"/>
            </w:tcBorders>
          </w:tcPr>
          <w:p>
            <w:pPr>
              <w:spacing w:after="0"/>
              <w:rPr>
                <w:sz w:val="24"/>
                <w:szCs w:val="24"/>
                <w:color w:val="auto"/>
              </w:rPr>
            </w:pPr>
          </w:p>
        </w:tc>
        <w:tc>
          <w:tcPr>
            <w:tcW w:w="140" w:type="dxa"/>
            <w:vAlign w:val="bottom"/>
            <w:tcBorders>
              <w:top w:val="single" w:sz="8" w:color="auto"/>
              <w:bottom w:val="single" w:sz="8" w:color="CCCCCC"/>
            </w:tcBorders>
          </w:tcPr>
          <w:p>
            <w:pPr>
              <w:spacing w:after="0"/>
              <w:rPr>
                <w:sz w:val="24"/>
                <w:szCs w:val="24"/>
                <w:color w:val="auto"/>
              </w:rPr>
            </w:pPr>
          </w:p>
        </w:tc>
        <w:tc>
          <w:tcPr>
            <w:tcW w:w="520" w:type="dxa"/>
            <w:vAlign w:val="bottom"/>
            <w:tcBorders>
              <w:top w:val="single" w:sz="8" w:color="auto"/>
              <w:bottom w:val="single" w:sz="8" w:color="CCCCCC"/>
            </w:tcBorders>
          </w:tcPr>
          <w:p>
            <w:pPr>
              <w:spacing w:after="0"/>
              <w:rPr>
                <w:sz w:val="24"/>
                <w:szCs w:val="24"/>
                <w:color w:val="auto"/>
              </w:rPr>
            </w:pPr>
          </w:p>
        </w:tc>
        <w:tc>
          <w:tcPr>
            <w:tcW w:w="860" w:type="dxa"/>
            <w:vAlign w:val="bottom"/>
            <w:tcBorders>
              <w:top w:val="single" w:sz="8" w:color="CCCCCC"/>
              <w:bottom w:val="single" w:sz="8" w:color="CCCCCC"/>
            </w:tcBorders>
          </w:tcPr>
          <w:p>
            <w:pPr>
              <w:spacing w:after="0"/>
              <w:rPr>
                <w:sz w:val="24"/>
                <w:szCs w:val="24"/>
                <w:color w:val="auto"/>
              </w:rPr>
            </w:pPr>
          </w:p>
        </w:tc>
        <w:tc>
          <w:tcPr>
            <w:tcW w:w="140" w:type="dxa"/>
            <w:vAlign w:val="bottom"/>
            <w:tcBorders>
              <w:top w:val="single" w:sz="8" w:color="auto"/>
              <w:bottom w:val="single" w:sz="8" w:color="CCCCCC"/>
            </w:tcBorders>
          </w:tcPr>
          <w:p>
            <w:pPr>
              <w:spacing w:after="0"/>
              <w:rPr>
                <w:sz w:val="24"/>
                <w:szCs w:val="24"/>
                <w:color w:val="auto"/>
              </w:rPr>
            </w:pPr>
          </w:p>
        </w:tc>
        <w:tc>
          <w:tcPr>
            <w:tcW w:w="500" w:type="dxa"/>
            <w:vAlign w:val="bottom"/>
            <w:tcBorders>
              <w:top w:val="single" w:sz="8" w:color="auto"/>
              <w:bottom w:val="single" w:sz="8" w:color="CCCCCC"/>
            </w:tcBorders>
          </w:tcPr>
          <w:p>
            <w:pPr>
              <w:spacing w:after="0"/>
              <w:rPr>
                <w:sz w:val="24"/>
                <w:szCs w:val="24"/>
                <w:color w:val="auto"/>
              </w:rPr>
            </w:pPr>
          </w:p>
        </w:tc>
        <w:tc>
          <w:tcPr>
            <w:tcW w:w="100" w:type="dxa"/>
            <w:vAlign w:val="bottom"/>
            <w:tcBorders>
              <w:top w:val="single" w:sz="8" w:color="CCCCCC"/>
              <w:bottom w:val="single" w:sz="8" w:color="CCCCCC"/>
            </w:tcBorders>
          </w:tcPr>
          <w:p>
            <w:pPr>
              <w:spacing w:after="0"/>
              <w:rPr>
                <w:sz w:val="24"/>
                <w:szCs w:val="24"/>
                <w:color w:val="auto"/>
              </w:rPr>
            </w:pPr>
          </w:p>
        </w:tc>
      </w:tr>
      <w:tr>
        <w:trPr>
          <w:trHeight w:val="216"/>
        </w:trPr>
        <w:tc>
          <w:tcPr>
            <w:tcW w:w="8400" w:type="dxa"/>
            <w:vAlign w:val="bottom"/>
            <w:shd w:val="clear" w:color="auto" w:fill="CCCCCC"/>
          </w:tcPr>
          <w:p>
            <w:pPr>
              <w:ind w:left="440"/>
              <w:spacing w:after="0"/>
              <w:rPr>
                <w:sz w:val="20"/>
                <w:szCs w:val="20"/>
                <w:color w:val="auto"/>
              </w:rPr>
            </w:pPr>
            <w:r>
              <w:rPr>
                <w:rFonts w:ascii="Arial" w:cs="Arial" w:eastAsia="Arial" w:hAnsi="Arial"/>
                <w:sz w:val="18"/>
                <w:szCs w:val="18"/>
                <w:color w:val="auto"/>
              </w:rPr>
              <w:t>Current</w:t>
            </w:r>
          </w:p>
        </w:tc>
        <w:tc>
          <w:tcPr>
            <w:tcW w:w="9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CCCC"/>
          </w:tcPr>
          <w:p>
            <w:pPr>
              <w:spacing w:after="0"/>
              <w:rPr>
                <w:sz w:val="18"/>
                <w:szCs w:val="18"/>
                <w:color w:val="auto"/>
              </w:rPr>
            </w:pPr>
          </w:p>
        </w:tc>
      </w:tr>
      <w:tr>
        <w:trPr>
          <w:trHeight w:val="223"/>
        </w:trPr>
        <w:tc>
          <w:tcPr>
            <w:tcW w:w="8400" w:type="dxa"/>
            <w:vAlign w:val="bottom"/>
          </w:tcPr>
          <w:p>
            <w:pPr>
              <w:ind w:left="440"/>
              <w:spacing w:after="0"/>
              <w:rPr>
                <w:sz w:val="20"/>
                <w:szCs w:val="20"/>
                <w:color w:val="auto"/>
              </w:rPr>
            </w:pPr>
            <w:r>
              <w:rPr>
                <w:rFonts w:ascii="Arial" w:cs="Arial" w:eastAsia="Arial" w:hAnsi="Arial"/>
                <w:sz w:val="18"/>
                <w:szCs w:val="18"/>
                <w:color w:val="auto"/>
              </w:rPr>
              <w:t>Deferred</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56"/>
        </w:trPr>
        <w:tc>
          <w:tcPr>
            <w:tcW w:w="8400" w:type="dxa"/>
            <w:vAlign w:val="bottom"/>
            <w:shd w:val="clear" w:color="auto" w:fill="CCCCCC"/>
          </w:tcPr>
          <w:p>
            <w:pPr>
              <w:spacing w:after="0"/>
              <w:rPr>
                <w:sz w:val="22"/>
                <w:szCs w:val="22"/>
                <w:color w:val="auto"/>
              </w:rPr>
            </w:pPr>
          </w:p>
        </w:tc>
        <w:tc>
          <w:tcPr>
            <w:tcW w:w="9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CCCC"/>
          </w:tcPr>
          <w:p>
            <w:pPr>
              <w:spacing w:after="0"/>
              <w:rPr>
                <w:sz w:val="22"/>
                <w:szCs w:val="22"/>
                <w:color w:val="auto"/>
              </w:rPr>
            </w:pPr>
          </w:p>
        </w:tc>
      </w:tr>
      <w:tr>
        <w:trPr>
          <w:trHeight w:val="357"/>
        </w:trPr>
        <w:tc>
          <w:tcPr>
            <w:tcW w:w="8400" w:type="dxa"/>
            <w:vAlign w:val="bottom"/>
            <w:tcBorders>
              <w:top w:val="single" w:sz="8" w:color="CCCCCC"/>
            </w:tcBorders>
          </w:tcPr>
          <w:p>
            <w:pPr>
              <w:ind w:left="5620"/>
              <w:spacing w:after="0"/>
              <w:rPr>
                <w:sz w:val="20"/>
                <w:szCs w:val="20"/>
                <w:color w:val="auto"/>
              </w:rPr>
            </w:pPr>
            <w:r>
              <w:rPr>
                <w:rFonts w:ascii="Arial" w:cs="Arial" w:eastAsia="Arial" w:hAnsi="Arial"/>
                <w:sz w:val="18"/>
                <w:szCs w:val="18"/>
                <w:color w:val="auto"/>
              </w:rPr>
              <w:t>78</w:t>
            </w:r>
          </w:p>
        </w:tc>
        <w:tc>
          <w:tcPr>
            <w:tcW w:w="760" w:type="dxa"/>
            <w:vAlign w:val="bottom"/>
            <w:tcBorders>
              <w:top w:val="single" w:sz="8" w:color="CCCC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CCCC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CCCC"/>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income tax provision differed from amounts computed at the statutory federal income tax rate,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Pr>
          <w:p>
            <w:pPr>
              <w:spacing w:after="0"/>
              <w:rPr>
                <w:sz w:val="20"/>
                <w:szCs w:val="20"/>
                <w:color w:val="auto"/>
              </w:rPr>
            </w:pPr>
            <w:r>
              <w:rPr>
                <w:rFonts w:ascii="Arial" w:cs="Arial" w:eastAsia="Arial" w:hAnsi="Arial"/>
                <w:sz w:val="18"/>
                <w:szCs w:val="18"/>
                <w:b w:val="1"/>
                <w:bCs w:val="1"/>
                <w:color w:val="auto"/>
              </w:rPr>
              <w:t>UAL</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2015</w:t>
            </w:r>
          </w:p>
        </w:tc>
        <w:tc>
          <w:tcPr>
            <w:tcW w:w="9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r>
      <w:tr>
        <w:trPr>
          <w:trHeight w:val="211"/>
        </w:trPr>
        <w:tc>
          <w:tcPr>
            <w:tcW w:w="692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Income tax provision at statutory rate</w:t>
            </w:r>
          </w:p>
        </w:tc>
        <w:tc>
          <w:tcPr>
            <w:tcW w:w="8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7"/>
              </w:rPr>
              <w:t>1,477</w:t>
            </w:r>
          </w:p>
        </w:tc>
        <w:tc>
          <w:tcPr>
            <w:tcW w:w="9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395</w:t>
            </w:r>
          </w:p>
        </w:tc>
        <w:tc>
          <w:tcPr>
            <w:tcW w:w="9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income taxes, net of federal income tax</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6920" w:type="dxa"/>
            <w:vAlign w:val="bottom"/>
            <w:shd w:val="clear" w:color="auto" w:fill="CCCCCC"/>
          </w:tcPr>
          <w:p>
            <w:pPr>
              <w:spacing w:after="0"/>
              <w:rPr>
                <w:sz w:val="20"/>
                <w:szCs w:val="20"/>
                <w:color w:val="auto"/>
              </w:rPr>
            </w:pPr>
            <w:r>
              <w:rPr>
                <w:rFonts w:ascii="Arial" w:cs="Arial" w:eastAsia="Arial" w:hAnsi="Arial"/>
                <w:sz w:val="18"/>
                <w:szCs w:val="18"/>
                <w:color w:val="auto"/>
              </w:rPr>
              <w:t>Foreign income taxes</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CC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Nondeductible employee meals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6920" w:type="dxa"/>
            <w:vAlign w:val="bottom"/>
            <w:shd w:val="clear" w:color="auto" w:fill="CCCCCC"/>
          </w:tcPr>
          <w:p>
            <w:pPr>
              <w:spacing w:after="0"/>
              <w:rPr>
                <w:sz w:val="20"/>
                <w:szCs w:val="20"/>
                <w:color w:val="auto"/>
              </w:rPr>
            </w:pPr>
            <w:r>
              <w:rPr>
                <w:rFonts w:ascii="Arial" w:cs="Arial" w:eastAsia="Arial" w:hAnsi="Arial"/>
                <w:sz w:val="18"/>
                <w:szCs w:val="18"/>
                <w:color w:val="auto"/>
              </w:rPr>
              <w:t>State rate change</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440" w:type="dxa"/>
            <w:vAlign w:val="bottom"/>
            <w:gridSpan w:val="2"/>
            <w:shd w:val="clear" w:color="auto" w:fill="CCCCCC"/>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CC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(4,684)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(441)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(219)</w:t>
            </w:r>
          </w:p>
        </w:tc>
        <w:tc>
          <w:tcPr>
            <w:tcW w:w="100" w:type="dxa"/>
            <w:vAlign w:val="bottom"/>
          </w:tcPr>
          <w:p>
            <w:pPr>
              <w:spacing w:after="0"/>
              <w:rPr>
                <w:sz w:val="18"/>
                <w:szCs w:val="18"/>
                <w:color w:val="auto"/>
              </w:rPr>
            </w:pPr>
          </w:p>
        </w:tc>
      </w:tr>
      <w:tr>
        <w:trPr>
          <w:trHeight w:val="223"/>
        </w:trPr>
        <w:tc>
          <w:tcPr>
            <w:tcW w:w="692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CCCCCC"/>
            </w:tcBorders>
            <w:shd w:val="clear" w:color="auto" w:fill="CCCCCC"/>
          </w:tcPr>
          <w:p>
            <w:pPr>
              <w:spacing w:after="0"/>
              <w:rPr>
                <w:sz w:val="19"/>
                <w:szCs w:val="19"/>
                <w:color w:val="auto"/>
              </w:rPr>
            </w:pPr>
          </w:p>
        </w:tc>
        <w:tc>
          <w:tcPr>
            <w:tcW w:w="140" w:type="dxa"/>
            <w:vAlign w:val="bottom"/>
            <w:tcBorders>
              <w:bottom w:val="single" w:sz="8" w:color="auto"/>
            </w:tcBorders>
            <w:shd w:val="clear" w:color="auto" w:fill="CCCCCC"/>
          </w:tcPr>
          <w:p>
            <w:pPr>
              <w:spacing w:after="0"/>
              <w:rPr>
                <w:sz w:val="19"/>
                <w:szCs w:val="19"/>
                <w:color w:val="auto"/>
              </w:rPr>
            </w:pPr>
          </w:p>
        </w:tc>
        <w:tc>
          <w:tcPr>
            <w:tcW w:w="5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w:t>
            </w:r>
          </w:p>
        </w:tc>
        <w:tc>
          <w:tcPr>
            <w:tcW w:w="940" w:type="dxa"/>
            <w:vAlign w:val="bottom"/>
            <w:tcBorders>
              <w:bottom w:val="single" w:sz="8" w:color="CCCCCC"/>
            </w:tcBorders>
            <w:shd w:val="clear" w:color="auto" w:fill="CCCCCC"/>
          </w:tcPr>
          <w:p>
            <w:pPr>
              <w:spacing w:after="0"/>
              <w:rPr>
                <w:sz w:val="19"/>
                <w:szCs w:val="19"/>
                <w:color w:val="auto"/>
              </w:rPr>
            </w:pPr>
          </w:p>
        </w:tc>
        <w:tc>
          <w:tcPr>
            <w:tcW w:w="140" w:type="dxa"/>
            <w:vAlign w:val="bottom"/>
            <w:tcBorders>
              <w:bottom w:val="single" w:sz="8" w:color="auto"/>
            </w:tcBorders>
            <w:shd w:val="clear" w:color="auto" w:fill="CCCCCC"/>
          </w:tcPr>
          <w:p>
            <w:pPr>
              <w:spacing w:after="0"/>
              <w:rPr>
                <w:sz w:val="19"/>
                <w:szCs w:val="19"/>
                <w:color w:val="auto"/>
              </w:rPr>
            </w:pPr>
          </w:p>
        </w:tc>
        <w:tc>
          <w:tcPr>
            <w:tcW w:w="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w:t>
            </w:r>
          </w:p>
        </w:tc>
        <w:tc>
          <w:tcPr>
            <w:tcW w:w="940" w:type="dxa"/>
            <w:vAlign w:val="bottom"/>
            <w:tcBorders>
              <w:bottom w:val="single" w:sz="8" w:color="CCCCCC"/>
            </w:tcBorders>
            <w:shd w:val="clear" w:color="auto" w:fill="CCCCCC"/>
          </w:tcPr>
          <w:p>
            <w:pPr>
              <w:spacing w:after="0"/>
              <w:rPr>
                <w:sz w:val="19"/>
                <w:szCs w:val="19"/>
                <w:color w:val="auto"/>
              </w:rPr>
            </w:pPr>
          </w:p>
        </w:tc>
        <w:tc>
          <w:tcPr>
            <w:tcW w:w="140" w:type="dxa"/>
            <w:vAlign w:val="bottom"/>
            <w:tcBorders>
              <w:bottom w:val="single" w:sz="8" w:color="auto"/>
            </w:tcBorders>
            <w:shd w:val="clear" w:color="auto" w:fill="CCCCCC"/>
          </w:tcPr>
          <w:p>
            <w:pPr>
              <w:spacing w:after="0"/>
              <w:rPr>
                <w:sz w:val="19"/>
                <w:szCs w:val="19"/>
                <w:color w:val="auto"/>
              </w:rPr>
            </w:pPr>
          </w:p>
        </w:tc>
        <w:tc>
          <w:tcPr>
            <w:tcW w:w="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CCCC"/>
            </w:tcBorders>
            <w:shd w:val="clear" w:color="auto" w:fill="CCCCCC"/>
          </w:tcPr>
          <w:p>
            <w:pPr>
              <w:spacing w:after="0"/>
              <w:rPr>
                <w:sz w:val="19"/>
                <w:szCs w:val="19"/>
                <w:color w:val="auto"/>
              </w:rPr>
            </w:pPr>
          </w:p>
        </w:tc>
      </w:tr>
      <w:tr>
        <w:trPr>
          <w:trHeight w:val="216"/>
        </w:trPr>
        <w:tc>
          <w:tcPr>
            <w:tcW w:w="69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(3,121)</w:t>
            </w:r>
          </w:p>
        </w:tc>
        <w:tc>
          <w:tcPr>
            <w:tcW w:w="9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Pr>
          <w:p>
            <w:pPr>
              <w:spacing w:after="0"/>
              <w:rPr>
                <w:sz w:val="20"/>
                <w:szCs w:val="20"/>
                <w:color w:val="auto"/>
              </w:rPr>
            </w:pPr>
            <w:r>
              <w:rPr>
                <w:rFonts w:ascii="Arial" w:cs="Arial" w:eastAsia="Arial" w:hAnsi="Arial"/>
                <w:sz w:val="18"/>
                <w:szCs w:val="18"/>
                <w:b w:val="1"/>
                <w:bCs w:val="1"/>
                <w:color w:val="auto"/>
              </w:rPr>
              <w:t>United</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94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r>
      <w:tr>
        <w:trPr>
          <w:trHeight w:val="211"/>
        </w:trPr>
        <w:tc>
          <w:tcPr>
            <w:tcW w:w="692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Income tax provision at statutory rate</w:t>
            </w:r>
          </w:p>
        </w:tc>
        <w:tc>
          <w:tcPr>
            <w:tcW w:w="8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7"/>
              </w:rPr>
              <w:t>1,477</w:t>
            </w:r>
          </w:p>
        </w:tc>
        <w:tc>
          <w:tcPr>
            <w:tcW w:w="9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388</w:t>
            </w:r>
          </w:p>
        </w:tc>
        <w:tc>
          <w:tcPr>
            <w:tcW w:w="9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income taxes, net of federal income tax</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6920" w:type="dxa"/>
            <w:vAlign w:val="bottom"/>
            <w:shd w:val="clear" w:color="auto" w:fill="CCCCCC"/>
          </w:tcPr>
          <w:p>
            <w:pPr>
              <w:spacing w:after="0"/>
              <w:rPr>
                <w:sz w:val="20"/>
                <w:szCs w:val="20"/>
                <w:color w:val="auto"/>
              </w:rPr>
            </w:pPr>
            <w:r>
              <w:rPr>
                <w:rFonts w:ascii="Arial" w:cs="Arial" w:eastAsia="Arial" w:hAnsi="Arial"/>
                <w:sz w:val="18"/>
                <w:szCs w:val="18"/>
                <w:color w:val="auto"/>
              </w:rPr>
              <w:t>Foreign income taxes</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CC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Nondeductible employee meals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6920" w:type="dxa"/>
            <w:vAlign w:val="bottom"/>
            <w:shd w:val="clear" w:color="auto" w:fill="CCCCCC"/>
          </w:tcPr>
          <w:p>
            <w:pPr>
              <w:spacing w:after="0"/>
              <w:rPr>
                <w:sz w:val="20"/>
                <w:szCs w:val="20"/>
                <w:color w:val="auto"/>
              </w:rPr>
            </w:pPr>
            <w:r>
              <w:rPr>
                <w:rFonts w:ascii="Arial" w:cs="Arial" w:eastAsia="Arial" w:hAnsi="Arial"/>
                <w:sz w:val="18"/>
                <w:szCs w:val="18"/>
                <w:color w:val="auto"/>
              </w:rPr>
              <w:t>Derivative market adjustment</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440" w:type="dxa"/>
            <w:vAlign w:val="bottom"/>
            <w:gridSpan w:val="2"/>
            <w:shd w:val="clear" w:color="auto" w:fill="CCCCCC"/>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CCC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rate change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6920" w:type="dxa"/>
            <w:vAlign w:val="bottom"/>
            <w:shd w:val="clear" w:color="auto" w:fill="CCCCCC"/>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4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(4,643)</w:t>
            </w: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5"/>
              </w:rPr>
              <w:t>(426)</w:t>
            </w:r>
          </w:p>
        </w:tc>
        <w:tc>
          <w:tcPr>
            <w:tcW w:w="9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5"/>
              </w:rPr>
              <w:t>(229)</w:t>
            </w:r>
          </w:p>
        </w:tc>
        <w:tc>
          <w:tcPr>
            <w:tcW w:w="100" w:type="dxa"/>
            <w:vAlign w:val="bottom"/>
            <w:shd w:val="clear" w:color="auto" w:fill="CCCCCC"/>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36"/>
        </w:trPr>
        <w:tc>
          <w:tcPr>
            <w:tcW w:w="6920" w:type="dxa"/>
            <w:vAlign w:val="bottom"/>
            <w:shd w:val="clear" w:color="auto" w:fill="CCCCCC"/>
          </w:tcPr>
          <w:p>
            <w:pPr>
              <w:spacing w:after="0"/>
              <w:rPr>
                <w:sz w:val="20"/>
                <w:szCs w:val="20"/>
                <w:color w:val="auto"/>
              </w:rPr>
            </w:pPr>
          </w:p>
        </w:tc>
        <w:tc>
          <w:tcPr>
            <w:tcW w:w="840" w:type="dxa"/>
            <w:vAlign w:val="bottom"/>
            <w:shd w:val="clear" w:color="auto" w:fill="CCCCCC"/>
          </w:tcPr>
          <w:p>
            <w:pPr>
              <w:spacing w:after="0"/>
              <w:rPr>
                <w:sz w:val="20"/>
                <w:szCs w:val="20"/>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(3,080)</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CCCC"/>
          </w:tcPr>
          <w:p>
            <w:pPr>
              <w:spacing w:after="0"/>
              <w:rPr>
                <w:sz w:val="20"/>
                <w:szCs w:val="20"/>
                <w:color w:val="auto"/>
              </w:rPr>
            </w:pPr>
          </w:p>
        </w:tc>
      </w:tr>
      <w:tr>
        <w:trPr>
          <w:trHeight w:val="20"/>
        </w:trPr>
        <w:tc>
          <w:tcPr>
            <w:tcW w:w="6920" w:type="dxa"/>
            <w:vAlign w:val="bottom"/>
            <w:tcBorders>
              <w:top w:val="single" w:sz="8" w:color="CCCCCC"/>
            </w:tcBorders>
            <w:shd w:val="clear" w:color="auto" w:fill="CCCCCC"/>
          </w:tcPr>
          <w:p>
            <w:pPr>
              <w:spacing w:after="0" w:line="20" w:lineRule="exact"/>
              <w:rPr>
                <w:sz w:val="1"/>
                <w:szCs w:val="1"/>
                <w:color w:val="auto"/>
              </w:rPr>
            </w:pPr>
          </w:p>
        </w:tc>
        <w:tc>
          <w:tcPr>
            <w:tcW w:w="840" w:type="dxa"/>
            <w:vAlign w:val="bottom"/>
            <w:tcBorders>
              <w:top w:val="single" w:sz="8" w:color="CCCCCC"/>
            </w:tcBorders>
            <w:shd w:val="clear" w:color="auto" w:fill="CCCC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CCCC"/>
            </w:tcBorders>
            <w:shd w:val="clear" w:color="auto" w:fill="CCCC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CCCC"/>
            </w:tcBorders>
            <w:shd w:val="clear" w:color="auto" w:fill="CCCC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and carryforwards that give rise to deferred tax assets and liabilities at December 31, 2015 and 2014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97"/>
              </w:rPr>
              <w:t>UAL</w:t>
            </w:r>
          </w:p>
        </w:tc>
        <w:tc>
          <w:tcPr>
            <w:tcW w:w="5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89"/>
              </w:rPr>
              <w:t>United</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asset (liability):</w:t>
            </w:r>
          </w:p>
        </w:tc>
        <w:tc>
          <w:tcPr>
            <w:tcW w:w="1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2014</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2015</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2"/>
            <w:vMerge w:val="continue"/>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CCCC"/>
          </w:tcPr>
          <w:p>
            <w:pPr>
              <w:spacing w:after="0"/>
              <w:rPr>
                <w:sz w:val="20"/>
                <w:szCs w:val="20"/>
                <w:color w:val="auto"/>
              </w:rPr>
            </w:pPr>
            <w:r>
              <w:rPr>
                <w:rFonts w:ascii="Arial" w:cs="Arial" w:eastAsia="Arial" w:hAnsi="Arial"/>
                <w:sz w:val="18"/>
                <w:szCs w:val="18"/>
                <w:color w:val="auto"/>
              </w:rPr>
              <w:t>Federal and state net operating loss (“NOL”) carryforwards</w:t>
            </w:r>
          </w:p>
        </w:tc>
        <w:tc>
          <w:tcPr>
            <w:tcW w:w="21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2,897</w:t>
            </w:r>
          </w:p>
        </w:tc>
        <w:tc>
          <w:tcPr>
            <w:tcW w:w="20" w:type="dxa"/>
            <w:vAlign w:val="bottom"/>
            <w:shd w:val="clear" w:color="auto" w:fill="CCCCCC"/>
          </w:tcPr>
          <w:p>
            <w:pPr>
              <w:spacing w:after="0"/>
              <w:rPr>
                <w:sz w:val="18"/>
                <w:szCs w:val="18"/>
                <w:color w:val="auto"/>
              </w:rPr>
            </w:pPr>
          </w:p>
        </w:tc>
        <w:tc>
          <w:tcPr>
            <w:tcW w:w="6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3,491</w:t>
            </w:r>
          </w:p>
        </w:tc>
        <w:tc>
          <w:tcPr>
            <w:tcW w:w="520" w:type="dxa"/>
            <w:vAlign w:val="bottom"/>
            <w:shd w:val="clear" w:color="auto" w:fill="CCCCCC"/>
          </w:tcPr>
          <w:p>
            <w:pPr>
              <w:spacing w:after="0"/>
              <w:rPr>
                <w:sz w:val="18"/>
                <w:szCs w:val="18"/>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2,855</w:t>
            </w:r>
          </w:p>
        </w:tc>
        <w:tc>
          <w:tcPr>
            <w:tcW w:w="6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7"/>
              </w:rPr>
              <w:t>3,423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revenue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CCCC"/>
          </w:tcPr>
          <w:p>
            <w:pPr>
              <w:spacing w:after="0"/>
              <w:rPr>
                <w:sz w:val="20"/>
                <w:szCs w:val="20"/>
                <w:color w:val="auto"/>
              </w:rPr>
            </w:pPr>
            <w:r>
              <w:rPr>
                <w:rFonts w:ascii="Arial" w:cs="Arial" w:eastAsia="Arial" w:hAnsi="Arial"/>
                <w:sz w:val="18"/>
                <w:szCs w:val="18"/>
                <w:color w:val="auto"/>
                <w:w w:val="97"/>
              </w:rPr>
              <w:t>Employee benefits, including pension, postretirement and medical</w:t>
            </w:r>
          </w:p>
        </w:tc>
        <w:tc>
          <w:tcPr>
            <w:tcW w:w="198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1,662</w:t>
            </w:r>
          </w:p>
        </w:tc>
        <w:tc>
          <w:tcPr>
            <w:tcW w:w="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1,943</w:t>
            </w:r>
          </w:p>
        </w:tc>
        <w:tc>
          <w:tcPr>
            <w:tcW w:w="52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1,662</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7"/>
              </w:rPr>
              <w:t>1,943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Alternative minimum tax (“AMT”) credit carryforwards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CCC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657</w:t>
            </w:r>
          </w:p>
        </w:tc>
        <w:tc>
          <w:tcPr>
            <w:tcW w:w="52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566</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(4,751)</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CCCC"/>
          </w:tcPr>
          <w:p>
            <w:pPr>
              <w:spacing w:after="0"/>
              <w:rPr>
                <w:sz w:val="20"/>
                <w:szCs w:val="20"/>
                <w:color w:val="auto"/>
              </w:rPr>
            </w:pPr>
            <w:r>
              <w:rPr>
                <w:rFonts w:ascii="Arial" w:cs="Arial" w:eastAsia="Arial" w:hAnsi="Arial"/>
                <w:sz w:val="18"/>
                <w:szCs w:val="18"/>
                <w:color w:val="auto"/>
              </w:rPr>
              <w:t>Total deferred tax assets</w:t>
            </w:r>
          </w:p>
        </w:tc>
        <w:tc>
          <w:tcPr>
            <w:tcW w:w="1980" w:type="dxa"/>
            <w:vAlign w:val="bottom"/>
            <w:shd w:val="clear" w:color="auto" w:fill="CCCCCC"/>
          </w:tcPr>
          <w:p>
            <w:pPr>
              <w:spacing w:after="0"/>
              <w:rPr>
                <w:sz w:val="18"/>
                <w:szCs w:val="18"/>
                <w:color w:val="auto"/>
              </w:rPr>
            </w:pPr>
          </w:p>
        </w:tc>
        <w:tc>
          <w:tcPr>
            <w:tcW w:w="16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7,469</w:t>
            </w:r>
          </w:p>
        </w:tc>
        <w:tc>
          <w:tcPr>
            <w:tcW w:w="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3,841</w:t>
            </w:r>
          </w:p>
        </w:tc>
        <w:tc>
          <w:tcPr>
            <w:tcW w:w="520" w:type="dxa"/>
            <w:vAlign w:val="bottom"/>
            <w:shd w:val="clear" w:color="auto" w:fill="CCCCCC"/>
          </w:tcPr>
          <w:p>
            <w:pPr>
              <w:spacing w:after="0"/>
              <w:rPr>
                <w:sz w:val="18"/>
                <w:szCs w:val="18"/>
                <w:color w:val="auto"/>
              </w:rPr>
            </w:pPr>
          </w:p>
        </w:tc>
        <w:tc>
          <w:tcPr>
            <w:tcW w:w="1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7,427</w:t>
            </w:r>
          </w:p>
        </w:tc>
        <w:tc>
          <w:tcPr>
            <w:tcW w:w="520" w:type="dxa"/>
            <w:vAlign w:val="bottom"/>
            <w:shd w:val="clear" w:color="auto" w:fill="CCCCCC"/>
          </w:tcPr>
          <w:p>
            <w:pPr>
              <w:spacing w:after="0"/>
              <w:rPr>
                <w:sz w:val="18"/>
                <w:szCs w:val="18"/>
                <w:color w:val="auto"/>
              </w:rPr>
            </w:pPr>
          </w:p>
        </w:tc>
        <w:tc>
          <w:tcPr>
            <w:tcW w:w="14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7"/>
              </w:rPr>
              <w:t>3,805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Depreciation, capitalized interest and other</w:t>
            </w: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(3,921)</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(3,212)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(3,921)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(3,212)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CCCC"/>
          </w:tcPr>
          <w:p>
            <w:pPr>
              <w:spacing w:after="0"/>
              <w:rPr>
                <w:sz w:val="20"/>
                <w:szCs w:val="20"/>
                <w:color w:val="auto"/>
              </w:rPr>
            </w:pPr>
            <w:r>
              <w:rPr>
                <w:rFonts w:ascii="Arial" w:cs="Arial" w:eastAsia="Arial" w:hAnsi="Arial"/>
                <w:sz w:val="18"/>
                <w:szCs w:val="18"/>
                <w:color w:val="auto"/>
              </w:rPr>
              <w:t>Intangibles</w:t>
            </w:r>
          </w:p>
        </w:tc>
        <w:tc>
          <w:tcPr>
            <w:tcW w:w="198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58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w w:val="94"/>
              </w:rPr>
              <w:t>(1,511)</w:t>
            </w:r>
          </w:p>
        </w:tc>
        <w:tc>
          <w:tcPr>
            <w:tcW w:w="5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1040" w:type="dxa"/>
            <w:vAlign w:val="bottom"/>
            <w:gridSpan w:val="2"/>
            <w:shd w:val="clear" w:color="auto" w:fill="CCCCCC"/>
          </w:tcPr>
          <w:p>
            <w:pPr>
              <w:jc w:val="right"/>
              <w:ind w:right="520"/>
              <w:spacing w:after="0"/>
              <w:rPr>
                <w:sz w:val="20"/>
                <w:szCs w:val="20"/>
                <w:color w:val="auto"/>
              </w:rPr>
            </w:pPr>
            <w:r>
              <w:rPr>
                <w:rFonts w:ascii="Arial" w:cs="Arial" w:eastAsia="Arial" w:hAnsi="Arial"/>
                <w:sz w:val="18"/>
                <w:szCs w:val="18"/>
                <w:color w:val="auto"/>
                <w:w w:val="87"/>
              </w:rPr>
              <w:t>(1,545)</w:t>
            </w:r>
          </w:p>
        </w:tc>
        <w:tc>
          <w:tcPr>
            <w:tcW w:w="120" w:type="dxa"/>
            <w:vAlign w:val="bottom"/>
            <w:shd w:val="clear" w:color="auto" w:fill="CCCCCC"/>
          </w:tcPr>
          <w:p>
            <w:pPr>
              <w:spacing w:after="0"/>
              <w:rPr>
                <w:sz w:val="18"/>
                <w:szCs w:val="18"/>
                <w:color w:val="auto"/>
              </w:rPr>
            </w:pP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7"/>
              </w:rPr>
              <w:t>(1,511)</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(1,545)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CCCC"/>
          </w:tcPr>
          <w:p>
            <w:pPr>
              <w:spacing w:after="0"/>
              <w:rPr>
                <w:sz w:val="20"/>
                <w:szCs w:val="20"/>
                <w:color w:val="auto"/>
              </w:rPr>
            </w:pPr>
            <w:r>
              <w:rPr>
                <w:rFonts w:ascii="Arial" w:cs="Arial" w:eastAsia="Arial" w:hAnsi="Arial"/>
                <w:sz w:val="18"/>
                <w:szCs w:val="18"/>
                <w:color w:val="auto"/>
              </w:rPr>
              <w:t>Total deferred tax liabilities</w:t>
            </w:r>
          </w:p>
        </w:tc>
        <w:tc>
          <w:tcPr>
            <w:tcW w:w="1980" w:type="dxa"/>
            <w:vAlign w:val="bottom"/>
            <w:shd w:val="clear" w:color="auto" w:fill="CCCCCC"/>
          </w:tcPr>
          <w:p>
            <w:pPr>
              <w:spacing w:after="0"/>
              <w:rPr>
                <w:sz w:val="18"/>
                <w:szCs w:val="18"/>
                <w:color w:val="auto"/>
              </w:rPr>
            </w:pP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4"/>
              </w:rPr>
              <w:t>(5,432)</w:t>
            </w:r>
          </w:p>
        </w:tc>
        <w:tc>
          <w:tcPr>
            <w:tcW w:w="2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9"/>
              </w:rPr>
              <w:t>$</w:t>
            </w:r>
          </w:p>
        </w:tc>
        <w:tc>
          <w:tcPr>
            <w:tcW w:w="1040" w:type="dxa"/>
            <w:vAlign w:val="bottom"/>
            <w:gridSpan w:val="2"/>
            <w:shd w:val="clear" w:color="auto" w:fill="CCCCCC"/>
          </w:tcPr>
          <w:p>
            <w:pPr>
              <w:jc w:val="right"/>
              <w:ind w:right="520"/>
              <w:spacing w:after="0"/>
              <w:rPr>
                <w:sz w:val="20"/>
                <w:szCs w:val="20"/>
                <w:color w:val="auto"/>
              </w:rPr>
            </w:pPr>
            <w:r>
              <w:rPr>
                <w:rFonts w:ascii="Arial" w:cs="Arial" w:eastAsia="Arial" w:hAnsi="Arial"/>
                <w:sz w:val="18"/>
                <w:szCs w:val="18"/>
                <w:color w:val="auto"/>
                <w:w w:val="87"/>
              </w:rPr>
              <w:t>(4,841)</w:t>
            </w: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7"/>
              </w:rPr>
              <w:t>(5,432)</w:t>
            </w:r>
          </w:p>
        </w:tc>
        <w:tc>
          <w:tcPr>
            <w:tcW w:w="66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(4,805)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1,995</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980" w:type="dxa"/>
            <w:vAlign w:val="bottom"/>
            <w:vMerge w:val="restart"/>
          </w:tcPr>
          <w:p>
            <w:pPr>
              <w:jc w:val="right"/>
              <w:ind w:right="1232"/>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9" w:name="page80"/>
    <w:bookmarkEnd w:id="79"/>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and its domestic consolidated subsidiaries file a consolidated federal income tax return with UAL. Under an intercompany tax allocation policy, United and its subsidiaries compute, record and pay UAL for their own tax liability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only if they would be able to use those benefits on a separate company basis.</w:t>
      </w:r>
    </w:p>
    <w:p>
      <w:pPr>
        <w:spacing w:after="0" w:line="5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federal and state NOL carryforwards relate to prior years’ NOLs, which may be used to reduce tax liabilities in future years. These tax benefits are mostly attributable to federal pre-tax NOL carryforwards of $8.0 billion for UAL. If not utilized these federal pre-tax NOLs will expire as follows (in billions): $2.1 in 2025, $2.0 in 2026, $1.4 in 2027 and $2.5 after 2028. In addition, the majority of tax benefits of the state net operating losses of $103 million for UAL will expire over a five to 20-year period. Additionally, the Company has $232 million of AMT credit carryforwards which do not expire.</w:t>
      </w:r>
    </w:p>
    <w:p>
      <w:pPr>
        <w:spacing w:after="0" w:line="5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Company’s income tax benefit was $3.1 billion for the year ended December 31, 2015. A discrete tax benefit of $3.1 billion for the reduction to the U.S. net federal and state deferred tax asset valuation allowance was included in the income tax benefit for the year ended December 31, 2015.</w:t>
      </w:r>
    </w:p>
    <w:p>
      <w:pPr>
        <w:spacing w:after="0" w:line="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2015, after considering all positive and negative evidence and the four sources of taxable income, the Company concluded that its deferred income tax assets are more likely than not to be realized. In evaluating the likelihood of utilizing the Company’s net federal and state deferred tax assets, the significant relevant factors that the Company considered are: (1) its recent history and forecasted profitability; (2) growth in the U.S. and global economies; and (3) future impact of taxable temporary differences. Although the Company was not in a three-year cumulative loss position at December 31, 2014, management concluded that the low level of cumulative pre-tax income, coupled with the Company’s history of operating losses resulted in a determination that a valuation allowance was still necessary. We considered past profitability and future expectations of profitability to determine whether it is more likely than not that we will generate sufficient taxable income to realize our net deferred tax assets. Management placed significant weight on past performance (i.e., losses or near break-even results in 2009 to 2013) as it is more objectively verifiable than projections of future taxable income. However, during 2015, the Company’s pre-tax profit of $4.2 billion benefited from lower oil prices and improved efficiency that resulted in significant taxable income. Additionally, based upon current projection of future earnings, the Company evaluated the NOLs expiration periods and change in ownership limitations under Section 382 of the Internal Revenue Code of 1986, as amended, and determined the NOLs would be realized before expiring beginning in 2025. Therefore, the Company released almost all of its valuation allowance in 2015, resulting in a $3.1 billion benefit in its provision for income taxes. The valuation allowance recorded in AOCI in prior years was released through the income statement and resulted in remaining debits within AOCI of $285 million and $180 million related to pension and derivatives, respectively, which will not be recognized into income tax expense until either the plans are exited or the Company no longer has any outstanding derivatives.</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has retained a valuation allowance of $48 million against certain state and local NOLs and credit carryforwards at the end of 2015. The Company expects these NOLs and credits will expire unused due to limited carryforward periods. The ability to utilize these state NOLs and credits will be evaluated on a quarterly basis to determine if there are any significant events or any prudent and feasible tax planning strategies that would affect the Company’s ability to realize these deferred tax assets.</w:t>
      </w:r>
    </w:p>
    <w:p>
      <w:pPr>
        <w:spacing w:after="0" w:line="8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effective tax rates differ from the federal statutory rate of 35% primarily because of the impact of changes to existing valuation allowances. The change in the effective tax rate each period is impacted by a number of factors, including the relative mix of domestic and state income tax expense in the U.S., adjustments to the valuation allowances and discrete items. During 2015, the Company reversed a significant portion of valuation allowances. Of the $4.7 billion reversed, $1.5 billion relates to current year income.</w:t>
      </w:r>
    </w:p>
    <w:p>
      <w:pPr>
        <w:spacing w:after="0" w:line="8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Company’s unrecognized tax benefits related to uncertain tax positions were $24 million, $9 million and $14 million at 2015, 2014 and 2013, respectively. Included in the ending balance at 2015 is $21 million that would affect the Company’s effective tax rate if recognized. The changes in unrecognized tax benefits relating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settlements with taxing authorities, unrecognized tax benefits as a result of tax positions taken during a prior period and unrecognized tax benefits relating from a lapse of the statute of limitations were immaterial during 2015, 2014 and 2013. The Company does not expect significant increases or decreases in their unrecognized tax benefits within the next 12 months.</w:t>
      </w:r>
    </w:p>
    <w:p>
      <w:pPr>
        <w:spacing w:after="0" w:line="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are no significant amounts included in the balance at December 31, 2015 for tax positions for which the ultimate deductibility is highly certain but for which there is uncertainty about the timing of such deductibility.</w:t>
      </w:r>
    </w:p>
    <w:p>
      <w:pPr>
        <w:spacing w:after="0" w:line="7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Company’s federal income tax returns for tax years after 2002 remain subject to examination by the Internal Revenue Service (“IRS”) and state taxing jurisdictions. Currently, there are no ongoing examinations of the Company’s prior year tax returns being conducted by the IRS.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AND OTHER POSTRETIREMENT PLANS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significant pension and other postretirement plans of United: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Plans</w:t>
      </w:r>
    </w:p>
    <w:p>
      <w:pPr>
        <w:spacing w:after="0" w:line="11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United maintains two primary defined benefit pension plans, one covering certain pilot employees and another covering certain U.S. non-pilot employees. Each of these plans provide benefits based on a combination of years of benefit accruals service and an employee’s final average compensation. Additional benefit accruals were frozen under the plan covering certain pilot employees during 2005 and management and administrative employees as of December 31, 2013 at which time any existing accrued benefits for those employees were preserved. Benefit accruals for certain non-pilot employees under its other primary defined benefit pension plan continue. United maintains additional defined benefit pension plans, which cover certain international employees.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Postretirement Plans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maintain postretirement medical programs which provide medical benefits to certain retirees and eligible dependents, as well as life insurance benefits to certain retirees participating in the plan. Benefits provided are subject to applicable contributions, co-payments, deductibles and other limits as described in the specific plan documentation.</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Changes in benefits that either qualified as curtailments (which reduced prior actuarial losses) or negative plan amendments are detailed in the tables below. Actuarial assumption changes are reflected as a component of the net actuarial gains/(losses) during 2015 and 2014. These amounts will be amortized over the average remaining service life of the covered active employees or the average life expectancy of inactive participants and will impact 2015 and 2014 pension and retiree medical expense as described below.</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280" w:right="319" w:bottom="1440" w:gutter="0" w:footer="0" w:header="0"/>
        </w:sectPr>
      </w:pPr>
    </w:p>
    <w:bookmarkStart w:id="81" w:name="page82"/>
    <w:bookmarkEnd w:id="8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Pension Benefits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3"/>
          </w:tcPr>
          <w:p>
            <w:pPr>
              <w:jc w:val="center"/>
              <w:ind w:right="1520"/>
              <w:spacing w:after="0" w:line="197" w:lineRule="exact"/>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7"/>
                <w:szCs w:val="17"/>
                <w:color w:val="auto"/>
              </w:rPr>
            </w:pPr>
          </w:p>
        </w:tc>
        <w:tc>
          <w:tcPr>
            <w:tcW w:w="1220" w:type="dxa"/>
            <w:vAlign w:val="bottom"/>
          </w:tcPr>
          <w:p>
            <w:pPr>
              <w:jc w:val="center"/>
              <w:ind w:right="92"/>
              <w:spacing w:after="0" w:line="197"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700" w:type="dxa"/>
            <w:vAlign w:val="bottom"/>
            <w:gridSpan w:val="5"/>
          </w:tcPr>
          <w:p>
            <w:pPr>
              <w:jc w:val="center"/>
              <w:ind w:right="1280"/>
              <w:spacing w:after="0"/>
              <w:rPr>
                <w:sz w:val="20"/>
                <w:szCs w:val="20"/>
                <w:color w:val="auto"/>
              </w:rPr>
            </w:pPr>
            <w:r>
              <w:rPr>
                <w:rFonts w:ascii="Arial" w:cs="Arial" w:eastAsia="Arial" w:hAnsi="Arial"/>
                <w:sz w:val="18"/>
                <w:szCs w:val="18"/>
                <w:b w:val="1"/>
                <w:bCs w:val="1"/>
                <w:color w:val="auto"/>
                <w:w w:val="87"/>
              </w:rPr>
              <w:t>December 31, 2015</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 2014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8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Accumulated benefit obligation:</w:t>
            </w:r>
          </w:p>
        </w:tc>
        <w:tc>
          <w:tcPr>
            <w:tcW w:w="1800" w:type="dxa"/>
            <w:vAlign w:val="bottom"/>
            <w:tcBorders>
              <w:top w:val="single" w:sz="8" w:color="CCCCCC"/>
            </w:tcBorders>
            <w:shd w:val="clear" w:color="auto" w:fill="CCCCCC"/>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Borders>
              <w:top w:val="single" w:sz="8" w:color="CCCCCC"/>
            </w:tcBorders>
            <w:shd w:val="clear" w:color="auto" w:fill="CCCCCC"/>
          </w:tcPr>
          <w:p>
            <w:pPr>
              <w:spacing w:after="0"/>
              <w:rPr>
                <w:sz w:val="18"/>
                <w:szCs w:val="18"/>
                <w:color w:val="auto"/>
              </w:rPr>
            </w:pPr>
          </w:p>
        </w:tc>
        <w:tc>
          <w:tcPr>
            <w:tcW w:w="118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Change in projected benefit obligation:</w:t>
            </w: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Projected benefit obligation at beginning of year</w:t>
            </w:r>
          </w:p>
        </w:tc>
        <w:tc>
          <w:tcPr>
            <w:tcW w:w="2060" w:type="dxa"/>
            <w:vAlign w:val="bottom"/>
            <w:gridSpan w:val="3"/>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Service cost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Interest cost</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Actuarial (gain) loss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(298)</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Gross benefits paid and settlements</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26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(343)</w:t>
            </w: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(13)</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Projected benefit obligation at end of year</w:t>
            </w:r>
          </w:p>
        </w:tc>
        <w:tc>
          <w:tcPr>
            <w:tcW w:w="1800" w:type="dxa"/>
            <w:vAlign w:val="bottom"/>
            <w:shd w:val="clear" w:color="auto" w:fill="CCCCCC"/>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2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Change in plan assets:</w:t>
            </w: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Fair value of plan assets at beginning of year</w:t>
            </w:r>
          </w:p>
        </w:tc>
        <w:tc>
          <w:tcPr>
            <w:tcW w:w="2060" w:type="dxa"/>
            <w:vAlign w:val="bottom"/>
            <w:gridSpan w:val="3"/>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Actual gain (loss) on plan assets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(59)</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Employer contributions</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Gross benefits paid and settlements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
              <w:spacing w:after="0"/>
              <w:rPr>
                <w:sz w:val="20"/>
                <w:szCs w:val="20"/>
                <w:color w:val="auto"/>
              </w:rPr>
            </w:pPr>
            <w:r>
              <w:rPr>
                <w:rFonts w:ascii="Arial" w:cs="Arial" w:eastAsia="Arial" w:hAnsi="Arial"/>
                <w:sz w:val="18"/>
                <w:szCs w:val="18"/>
                <w:color w:val="auto"/>
              </w:rPr>
              <w:t>(343)</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26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18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Funded status—Net amount recognized</w:t>
            </w:r>
          </w:p>
        </w:tc>
        <w:tc>
          <w:tcPr>
            <w:tcW w:w="1800" w:type="dxa"/>
            <w:vAlign w:val="bottom"/>
            <w:shd w:val="clear" w:color="auto" w:fill="CCCCCC"/>
          </w:tcPr>
          <w:p>
            <w:pPr>
              <w:spacing w:after="0"/>
              <w:rPr>
                <w:sz w:val="18"/>
                <w:szCs w:val="18"/>
                <w:color w:val="auto"/>
              </w:rPr>
            </w:pPr>
          </w:p>
        </w:tc>
        <w:tc>
          <w:tcPr>
            <w:tcW w:w="260" w:type="dxa"/>
            <w:vAlign w:val="bottom"/>
            <w:gridSpan w:val="2"/>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CCCC"/>
          </w:tcPr>
          <w:p>
            <w:pPr>
              <w:jc w:val="right"/>
              <w:ind w:right="12"/>
              <w:spacing w:after="0"/>
              <w:rPr>
                <w:sz w:val="20"/>
                <w:szCs w:val="20"/>
                <w:color w:val="auto"/>
              </w:rPr>
            </w:pPr>
            <w:r>
              <w:rPr>
                <w:rFonts w:ascii="Arial" w:cs="Arial" w:eastAsia="Arial" w:hAnsi="Arial"/>
                <w:sz w:val="18"/>
                <w:szCs w:val="18"/>
                <w:color w:val="auto"/>
              </w:rPr>
              <w:t>(1,498)</w:t>
            </w: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w w:val="88"/>
              </w:rPr>
              <w:t>Pension Benefits</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spacing w:after="0"/>
              <w:rPr>
                <w:sz w:val="20"/>
                <w:szCs w:val="20"/>
                <w:color w:val="auto"/>
              </w:rPr>
            </w:pPr>
            <w:r>
              <w:rPr>
                <w:rFonts w:ascii="Arial" w:cs="Arial" w:eastAsia="Arial" w:hAnsi="Arial"/>
                <w:sz w:val="18"/>
                <w:szCs w:val="18"/>
                <w:b w:val="1"/>
                <w:bCs w:val="1"/>
                <w:color w:val="auto"/>
              </w:rPr>
              <w:t>December 31, 2015</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December 31, 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gridSpan w:val="2"/>
            <w:vMerge w:val="continue"/>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Noncurrent asset</w:t>
            </w:r>
          </w:p>
        </w:tc>
        <w:tc>
          <w:tcPr>
            <w:tcW w:w="2060" w:type="dxa"/>
            <w:vAlign w:val="bottom"/>
            <w:gridSpan w:val="3"/>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Current liability</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right"/>
              <w:ind w:right="11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Noncurrent liability</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tcBorders>
              <w:bottom w:val="single" w:sz="8" w:color="auto"/>
            </w:tcBorders>
            <w:shd w:val="clear" w:color="auto" w:fill="CCCCCC"/>
          </w:tcPr>
          <w:p>
            <w:pPr>
              <w:spacing w:after="0"/>
              <w:rPr>
                <w:sz w:val="18"/>
                <w:szCs w:val="18"/>
                <w:color w:val="auto"/>
              </w:rPr>
            </w:pPr>
          </w:p>
        </w:tc>
        <w:tc>
          <w:tcPr>
            <w:tcW w:w="126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(1,488)</w:t>
            </w:r>
          </w:p>
        </w:tc>
        <w:tc>
          <w:tcPr>
            <w:tcW w:w="1180" w:type="dxa"/>
            <w:vAlign w:val="bottom"/>
            <w:shd w:val="clear" w:color="auto" w:fill="CCCCCC"/>
          </w:tcPr>
          <w:p>
            <w:pPr>
              <w:spacing w:after="0"/>
              <w:rPr>
                <w:sz w:val="18"/>
                <w:szCs w:val="18"/>
                <w:color w:val="auto"/>
              </w:rPr>
            </w:pPr>
          </w:p>
        </w:tc>
        <w:tc>
          <w:tcPr>
            <w:tcW w:w="200" w:type="dxa"/>
            <w:vAlign w:val="bottom"/>
            <w:tcBorders>
              <w:bottom w:val="single" w:sz="8" w:color="auto"/>
            </w:tcBorders>
            <w:shd w:val="clear" w:color="auto" w:fill="CCCCCC"/>
          </w:tcPr>
          <w:p>
            <w:pPr>
              <w:spacing w:after="0"/>
              <w:rPr>
                <w:sz w:val="18"/>
                <w:szCs w:val="18"/>
                <w:color w:val="auto"/>
              </w:rPr>
            </w:pPr>
          </w:p>
        </w:tc>
        <w:tc>
          <w:tcPr>
            <w:tcW w:w="1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Total liability</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3"/>
          </w:tcPr>
          <w:p>
            <w:pPr>
              <w:jc w:val="right"/>
              <w:ind w:right="1180"/>
              <w:spacing w:after="0"/>
              <w:rPr>
                <w:sz w:val="20"/>
                <w:szCs w:val="20"/>
                <w:color w:val="auto"/>
              </w:rPr>
            </w:pPr>
            <w:r>
              <w:rPr>
                <w:rFonts w:ascii="Arial" w:cs="Arial" w:eastAsia="Arial" w:hAnsi="Arial"/>
                <w:sz w:val="18"/>
                <w:szCs w:val="18"/>
                <w:color w:val="auto"/>
              </w:rPr>
              <w:t>(1,498)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w w:val="91"/>
              </w:rPr>
              <w:t>Amounts recognized in accumulated other comprehensive loss consist of:</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1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actuarial loss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3"/>
          </w:tcPr>
          <w:p>
            <w:pPr>
              <w:jc w:val="right"/>
              <w:ind w:right="1180"/>
              <w:spacing w:after="0"/>
              <w:rPr>
                <w:sz w:val="20"/>
                <w:szCs w:val="20"/>
                <w:color w:val="auto"/>
              </w:rPr>
            </w:pPr>
            <w:r>
              <w:rPr>
                <w:rFonts w:ascii="Arial" w:cs="Arial" w:eastAsia="Arial" w:hAnsi="Arial"/>
                <w:sz w:val="18"/>
                <w:szCs w:val="18"/>
                <w:color w:val="auto"/>
              </w:rPr>
              <w:t>(844)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CCCC"/>
          </w:tcPr>
          <w:p>
            <w:pPr>
              <w:spacing w:after="0"/>
              <w:rPr>
                <w:sz w:val="20"/>
                <w:szCs w:val="20"/>
                <w:color w:val="auto"/>
              </w:rPr>
            </w:pPr>
            <w:r>
              <w:rPr>
                <w:rFonts w:ascii="Arial" w:cs="Arial" w:eastAsia="Arial" w:hAnsi="Arial"/>
                <w:sz w:val="18"/>
                <w:szCs w:val="18"/>
                <w:color w:val="auto"/>
              </w:rPr>
              <w:t>Prior service loss</w:t>
            </w:r>
          </w:p>
        </w:tc>
        <w:tc>
          <w:tcPr>
            <w:tcW w:w="180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60" w:type="dxa"/>
            <w:vAlign w:val="bottom"/>
            <w:tcBorders>
              <w:bottom w:val="single" w:sz="8" w:color="auto"/>
            </w:tcBorders>
            <w:shd w:val="clear" w:color="auto" w:fill="CCCCCC"/>
          </w:tcPr>
          <w:p>
            <w:pPr>
              <w:spacing w:after="0"/>
              <w:rPr>
                <w:sz w:val="18"/>
                <w:szCs w:val="18"/>
                <w:color w:val="auto"/>
              </w:rPr>
            </w:pPr>
          </w:p>
        </w:tc>
        <w:tc>
          <w:tcPr>
            <w:tcW w:w="126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CCCC"/>
          </w:tcPr>
          <w:p>
            <w:pPr>
              <w:spacing w:after="0"/>
              <w:rPr>
                <w:sz w:val="18"/>
                <w:szCs w:val="18"/>
                <w:color w:val="auto"/>
              </w:rPr>
            </w:pPr>
          </w:p>
        </w:tc>
        <w:tc>
          <w:tcPr>
            <w:tcW w:w="200" w:type="dxa"/>
            <w:vAlign w:val="bottom"/>
            <w:tcBorders>
              <w:bottom w:val="single" w:sz="8" w:color="auto"/>
            </w:tcBorders>
            <w:shd w:val="clear" w:color="auto" w:fill="CCCCCC"/>
          </w:tcPr>
          <w:p>
            <w:pPr>
              <w:spacing w:after="0"/>
              <w:rPr>
                <w:sz w:val="18"/>
                <w:szCs w:val="18"/>
                <w:color w:val="auto"/>
              </w:rPr>
            </w:pPr>
          </w:p>
        </w:tc>
        <w:tc>
          <w:tcPr>
            <w:tcW w:w="1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 loss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40" w:type="dxa"/>
            <w:vAlign w:val="bottom"/>
            <w:gridSpan w:val="3"/>
          </w:tcPr>
          <w:p>
            <w:pPr>
              <w:jc w:val="right"/>
              <w:ind w:right="1180"/>
              <w:spacing w:after="0"/>
              <w:rPr>
                <w:sz w:val="20"/>
                <w:szCs w:val="20"/>
                <w:color w:val="auto"/>
              </w:rPr>
            </w:pPr>
            <w:r>
              <w:rPr>
                <w:rFonts w:ascii="Arial" w:cs="Arial" w:eastAsia="Arial" w:hAnsi="Arial"/>
                <w:sz w:val="18"/>
                <w:szCs w:val="18"/>
                <w:color w:val="auto"/>
              </w:rPr>
              <w:t>(845)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0" w:type="dxa"/>
            <w:vAlign w:val="bottom"/>
            <w:vMerge w:val="restart"/>
          </w:tcPr>
          <w:p>
            <w:pPr>
              <w:jc w:val="right"/>
              <w:ind w:right="13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5"/>
          </w:tcPr>
          <w:p>
            <w:pPr>
              <w:ind w:left="74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197"/>
        </w:trPr>
        <w:tc>
          <w:tcPr>
            <w:tcW w:w="7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2"/>
          </w:tcPr>
          <w:p>
            <w:pPr>
              <w:jc w:val="center"/>
              <w:ind w:right="1460"/>
              <w:spacing w:after="0" w:line="197" w:lineRule="exact"/>
              <w:rPr>
                <w:sz w:val="20"/>
                <w:szCs w:val="20"/>
                <w:color w:val="auto"/>
              </w:rPr>
            </w:pPr>
            <w:r>
              <w:rPr>
                <w:rFonts w:ascii="Arial" w:cs="Arial" w:eastAsia="Arial" w:hAnsi="Arial"/>
                <w:sz w:val="18"/>
                <w:szCs w:val="18"/>
                <w:b w:val="1"/>
                <w:bCs w:val="1"/>
                <w:color w:val="auto"/>
                <w:w w:val="88"/>
              </w:rPr>
              <w:t>Year Ended</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72"/>
              <w:spacing w:after="0" w:line="197" w:lineRule="exact"/>
              <w:rPr>
                <w:sz w:val="20"/>
                <w:szCs w:val="20"/>
                <w:color w:val="auto"/>
              </w:rPr>
            </w:pPr>
            <w:r>
              <w:rPr>
                <w:rFonts w:ascii="Arial" w:cs="Arial" w:eastAsia="Arial" w:hAnsi="Arial"/>
                <w:sz w:val="18"/>
                <w:szCs w:val="18"/>
                <w:b w:val="1"/>
                <w:bCs w:val="1"/>
                <w:color w:val="auto"/>
                <w:w w:val="94"/>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vMerge w:val="restart"/>
          </w:tcPr>
          <w:p>
            <w:pPr>
              <w:spacing w:after="0"/>
              <w:rPr>
                <w:sz w:val="20"/>
                <w:szCs w:val="20"/>
                <w:color w:val="auto"/>
              </w:rPr>
            </w:pPr>
            <w:r>
              <w:rPr>
                <w:rFonts w:ascii="Arial" w:cs="Arial" w:eastAsia="Arial" w:hAnsi="Arial"/>
                <w:sz w:val="18"/>
                <w:szCs w:val="18"/>
                <w:color w:val="auto"/>
              </w:rPr>
              <w:t>Change in benefit obligation:</w:t>
            </w:r>
          </w:p>
        </w:tc>
        <w:tc>
          <w:tcPr>
            <w:tcW w:w="27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7"/>
              </w:rPr>
              <w:t>December 31, 2015</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2014</w:t>
            </w:r>
          </w:p>
        </w:tc>
        <w:tc>
          <w:tcPr>
            <w:tcW w:w="0" w:type="dxa"/>
            <w:vAlign w:val="bottom"/>
          </w:tcPr>
          <w:p>
            <w:pPr>
              <w:spacing w:after="0"/>
              <w:rPr>
                <w:sz w:val="1"/>
                <w:szCs w:val="1"/>
                <w:color w:val="auto"/>
              </w:rPr>
            </w:pPr>
          </w:p>
        </w:tc>
      </w:tr>
      <w:tr>
        <w:trPr>
          <w:trHeight w:val="195"/>
        </w:trPr>
        <w:tc>
          <w:tcPr>
            <w:tcW w:w="72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Benefit obligation at beginning of year</w:t>
            </w: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2,052</w:t>
            </w:r>
          </w:p>
        </w:tc>
        <w:tc>
          <w:tcPr>
            <w:tcW w:w="128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82</w:t>
            </w:r>
          </w:p>
        </w:tc>
        <w:tc>
          <w:tcPr>
            <w:tcW w:w="12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Benefits paid</w:t>
            </w: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(205)</w:t>
            </w:r>
          </w:p>
        </w:tc>
        <w:tc>
          <w:tcPr>
            <w:tcW w:w="12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Actuarial (gain) loss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CCCC"/>
          </w:tcPr>
          <w:p>
            <w:pPr>
              <w:spacing w:after="0"/>
              <w:rPr>
                <w:sz w:val="18"/>
                <w:szCs w:val="18"/>
                <w:color w:val="auto"/>
              </w:rPr>
            </w:pPr>
          </w:p>
        </w:tc>
        <w:tc>
          <w:tcPr>
            <w:tcW w:w="1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280" w:type="dxa"/>
            <w:vAlign w:val="bottom"/>
            <w:shd w:val="clear" w:color="auto" w:fill="CCCCCC"/>
          </w:tcPr>
          <w:p>
            <w:pPr>
              <w:spacing w:after="0"/>
              <w:rPr>
                <w:sz w:val="18"/>
                <w:szCs w:val="18"/>
                <w:color w:val="auto"/>
              </w:rPr>
            </w:pPr>
          </w:p>
        </w:tc>
        <w:tc>
          <w:tcPr>
            <w:tcW w:w="200" w:type="dxa"/>
            <w:vAlign w:val="bottom"/>
            <w:tcBorders>
              <w:bottom w:val="single" w:sz="8" w:color="auto"/>
            </w:tcBorders>
            <w:shd w:val="clear" w:color="auto" w:fill="CCCCCC"/>
          </w:tcPr>
          <w:p>
            <w:pPr>
              <w:spacing w:after="0"/>
              <w:rPr>
                <w:sz w:val="18"/>
                <w:szCs w:val="18"/>
                <w:color w:val="auto"/>
              </w:rPr>
            </w:pPr>
          </w:p>
        </w:tc>
        <w:tc>
          <w:tcPr>
            <w:tcW w:w="1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Change in plan assets:</w:t>
            </w: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spacing w:after="0"/>
              <w:rPr>
                <w:sz w:val="18"/>
                <w:szCs w:val="18"/>
                <w:color w:val="auto"/>
              </w:rPr>
            </w:pPr>
          </w:p>
        </w:tc>
        <w:tc>
          <w:tcPr>
            <w:tcW w:w="12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Actual return on plan assets</w:t>
            </w: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Plan participants’ contributions</w:t>
            </w: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68</w:t>
            </w:r>
          </w:p>
        </w:tc>
        <w:tc>
          <w:tcPr>
            <w:tcW w:w="12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CCCC"/>
          </w:tcPr>
          <w:p>
            <w:pPr>
              <w:spacing w:after="0"/>
              <w:rPr>
                <w:sz w:val="20"/>
                <w:szCs w:val="20"/>
                <w:color w:val="auto"/>
              </w:rPr>
            </w:pPr>
            <w:r>
              <w:rPr>
                <w:rFonts w:ascii="Arial" w:cs="Arial" w:eastAsia="Arial" w:hAnsi="Arial"/>
                <w:sz w:val="18"/>
                <w:szCs w:val="18"/>
                <w:color w:val="auto"/>
              </w:rPr>
              <w:t>Fair value of plan assets at end of year</w:t>
            </w:r>
          </w:p>
        </w:tc>
        <w:tc>
          <w:tcPr>
            <w:tcW w:w="200" w:type="dxa"/>
            <w:vAlign w:val="bottom"/>
            <w:tcBorders>
              <w:bottom w:val="single" w:sz="8" w:color="auto"/>
            </w:tcBorders>
            <w:shd w:val="clear" w:color="auto" w:fill="CCCCCC"/>
          </w:tcPr>
          <w:p>
            <w:pPr>
              <w:spacing w:after="0"/>
              <w:rPr>
                <w:sz w:val="18"/>
                <w:szCs w:val="18"/>
                <w:color w:val="auto"/>
              </w:rPr>
            </w:pPr>
          </w:p>
        </w:tc>
        <w:tc>
          <w:tcPr>
            <w:tcW w:w="1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56</w:t>
            </w:r>
          </w:p>
        </w:tc>
        <w:tc>
          <w:tcPr>
            <w:tcW w:w="1280" w:type="dxa"/>
            <w:vAlign w:val="bottom"/>
            <w:shd w:val="clear" w:color="auto" w:fill="CCCCCC"/>
          </w:tcPr>
          <w:p>
            <w:pPr>
              <w:spacing w:after="0"/>
              <w:rPr>
                <w:sz w:val="18"/>
                <w:szCs w:val="18"/>
                <w:color w:val="auto"/>
              </w:rPr>
            </w:pPr>
          </w:p>
        </w:tc>
        <w:tc>
          <w:tcPr>
            <w:tcW w:w="200" w:type="dxa"/>
            <w:vAlign w:val="bottom"/>
            <w:tcBorders>
              <w:bottom w:val="single" w:sz="8" w:color="auto"/>
            </w:tcBorders>
            <w:shd w:val="clear" w:color="auto" w:fill="CCCCCC"/>
          </w:tcPr>
          <w:p>
            <w:pPr>
              <w:spacing w:after="0"/>
              <w:rPr>
                <w:sz w:val="18"/>
                <w:szCs w:val="18"/>
                <w:color w:val="auto"/>
              </w:rPr>
            </w:pPr>
          </w:p>
        </w:tc>
        <w:tc>
          <w:tcPr>
            <w:tcW w:w="1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Funded status—Net amount recognized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Other Postretirement Benefits</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December 31, 2015</w:t>
            </w:r>
          </w:p>
        </w:tc>
        <w:tc>
          <w:tcPr>
            <w:tcW w:w="108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December 31, 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4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CCCC"/>
          </w:tcPr>
          <w:p>
            <w:pPr>
              <w:spacing w:after="0"/>
              <w:rPr>
                <w:sz w:val="20"/>
                <w:szCs w:val="20"/>
                <w:color w:val="auto"/>
              </w:rPr>
            </w:pPr>
            <w:r>
              <w:rPr>
                <w:rFonts w:ascii="Arial" w:cs="Arial" w:eastAsia="Arial" w:hAnsi="Arial"/>
                <w:sz w:val="18"/>
                <w:szCs w:val="18"/>
                <w:color w:val="auto"/>
              </w:rPr>
              <w:t>Current liability</w:t>
            </w:r>
          </w:p>
        </w:tc>
        <w:tc>
          <w:tcPr>
            <w:tcW w:w="480" w:type="dxa"/>
            <w:vAlign w:val="bottom"/>
            <w:shd w:val="clear" w:color="auto" w:fill="CCCCCC"/>
          </w:tcPr>
          <w:p>
            <w:pPr>
              <w:jc w:val="right"/>
              <w:ind w:right="2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(64)</w:t>
            </w:r>
          </w:p>
        </w:tc>
        <w:tc>
          <w:tcPr>
            <w:tcW w:w="1840" w:type="dxa"/>
            <w:vAlign w:val="bottom"/>
            <w:gridSpan w:val="2"/>
            <w:shd w:val="clear" w:color="auto" w:fill="CCCCCC"/>
          </w:tcPr>
          <w:p>
            <w:pPr>
              <w:jc w:val="right"/>
              <w:ind w:right="5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Noncurrent liability</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0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CCCC"/>
          </w:tcPr>
          <w:p>
            <w:pPr>
              <w:spacing w:after="0"/>
              <w:rPr>
                <w:sz w:val="20"/>
                <w:szCs w:val="20"/>
                <w:color w:val="auto"/>
              </w:rPr>
            </w:pPr>
            <w:r>
              <w:rPr>
                <w:rFonts w:ascii="Arial" w:cs="Arial" w:eastAsia="Arial" w:hAnsi="Arial"/>
                <w:sz w:val="18"/>
                <w:szCs w:val="18"/>
                <w:color w:val="auto"/>
              </w:rPr>
              <w:t>Total liability</w:t>
            </w:r>
          </w:p>
        </w:tc>
        <w:tc>
          <w:tcPr>
            <w:tcW w:w="480" w:type="dxa"/>
            <w:vAlign w:val="bottom"/>
            <w:shd w:val="clear" w:color="auto" w:fill="CCCCCC"/>
          </w:tcPr>
          <w:p>
            <w:pPr>
              <w:jc w:val="right"/>
              <w:ind w:right="2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(1,946)</w:t>
            </w:r>
          </w:p>
        </w:tc>
        <w:tc>
          <w:tcPr>
            <w:tcW w:w="1840" w:type="dxa"/>
            <w:vAlign w:val="bottom"/>
            <w:gridSpan w:val="2"/>
            <w:shd w:val="clear" w:color="auto" w:fill="CCCCCC"/>
          </w:tcPr>
          <w:p>
            <w:pPr>
              <w:jc w:val="right"/>
              <w:ind w:right="5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accumulated other comprehensive income consist of:</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CCCC"/>
          </w:tcPr>
          <w:p>
            <w:pPr>
              <w:spacing w:after="0"/>
              <w:rPr>
                <w:sz w:val="20"/>
                <w:szCs w:val="20"/>
                <w:color w:val="auto"/>
              </w:rPr>
            </w:pPr>
            <w:r>
              <w:rPr>
                <w:rFonts w:ascii="Arial" w:cs="Arial" w:eastAsia="Arial" w:hAnsi="Arial"/>
                <w:sz w:val="18"/>
                <w:szCs w:val="18"/>
                <w:color w:val="auto"/>
              </w:rPr>
              <w:t>Net actuarial gain</w:t>
            </w:r>
          </w:p>
        </w:tc>
        <w:tc>
          <w:tcPr>
            <w:tcW w:w="480" w:type="dxa"/>
            <w:vAlign w:val="bottom"/>
            <w:shd w:val="clear" w:color="auto" w:fill="CCCCCC"/>
          </w:tcPr>
          <w:p>
            <w:pPr>
              <w:jc w:val="right"/>
              <w:ind w:right="2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236</w:t>
            </w:r>
          </w:p>
        </w:tc>
        <w:tc>
          <w:tcPr>
            <w:tcW w:w="1840" w:type="dxa"/>
            <w:vAlign w:val="bottom"/>
            <w:gridSpan w:val="2"/>
            <w:shd w:val="clear" w:color="auto" w:fill="CCCCCC"/>
          </w:tcPr>
          <w:p>
            <w:pPr>
              <w:jc w:val="right"/>
              <w:ind w:right="5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Prior service credit</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CCCC"/>
          </w:tcPr>
          <w:p>
            <w:pPr>
              <w:spacing w:after="0"/>
              <w:rPr>
                <w:sz w:val="20"/>
                <w:szCs w:val="20"/>
                <w:color w:val="auto"/>
              </w:rPr>
            </w:pPr>
            <w:r>
              <w:rPr>
                <w:rFonts w:ascii="Arial" w:cs="Arial" w:eastAsia="Arial" w:hAnsi="Arial"/>
                <w:sz w:val="18"/>
                <w:szCs w:val="18"/>
                <w:color w:val="auto"/>
              </w:rPr>
              <w:t>Total accumulated other comprehensive income</w:t>
            </w:r>
          </w:p>
        </w:tc>
        <w:tc>
          <w:tcPr>
            <w:tcW w:w="480" w:type="dxa"/>
            <w:vAlign w:val="bottom"/>
            <w:shd w:val="clear" w:color="auto" w:fill="CCCCCC"/>
          </w:tcPr>
          <w:p>
            <w:pPr>
              <w:jc w:val="right"/>
              <w:ind w:right="2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482</w:t>
            </w:r>
          </w:p>
        </w:tc>
        <w:tc>
          <w:tcPr>
            <w:tcW w:w="1840" w:type="dxa"/>
            <w:vAlign w:val="bottom"/>
            <w:gridSpan w:val="2"/>
            <w:shd w:val="clear" w:color="auto" w:fill="CCCCCC"/>
          </w:tcPr>
          <w:p>
            <w:pPr>
              <w:jc w:val="right"/>
              <w:ind w:right="5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relates to all pension plans with an accumulated benefit obligation and a projected benefit obligation in excess of plan assets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6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2"/>
        </w:trPr>
        <w:tc>
          <w:tcPr>
            <w:tcW w:w="392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Projected benefit obligation</w:t>
            </w:r>
          </w:p>
        </w:tc>
        <w:tc>
          <w:tcPr>
            <w:tcW w:w="5360" w:type="dxa"/>
            <w:vAlign w:val="bottom"/>
            <w:tcBorders>
              <w:top w:val="single" w:sz="8" w:color="CCCCCC"/>
            </w:tcBorders>
            <w:shd w:val="clear" w:color="auto" w:fill="CCCCCC"/>
          </w:tcPr>
          <w:p>
            <w:pPr>
              <w:spacing w:after="0"/>
              <w:rPr>
                <w:sz w:val="18"/>
                <w:szCs w:val="18"/>
                <w:color w:val="auto"/>
              </w:rPr>
            </w:pPr>
          </w:p>
        </w:tc>
        <w:tc>
          <w:tcPr>
            <w:tcW w:w="7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  4,292</w:t>
            </w:r>
          </w:p>
        </w:tc>
        <w:tc>
          <w:tcPr>
            <w:tcW w:w="640" w:type="dxa"/>
            <w:vAlign w:val="bottom"/>
            <w:tcBorders>
              <w:top w:val="single" w:sz="8" w:color="CCCCCC"/>
            </w:tcBorders>
            <w:shd w:val="clear" w:color="auto" w:fill="CCCCCC"/>
          </w:tcPr>
          <w:p>
            <w:pPr>
              <w:spacing w:after="0"/>
              <w:rPr>
                <w:sz w:val="18"/>
                <w:szCs w:val="18"/>
                <w:color w:val="auto"/>
              </w:rPr>
            </w:pPr>
          </w:p>
        </w:tc>
        <w:tc>
          <w:tcPr>
            <w:tcW w:w="7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  4,625</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3,655</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8"/>
                <w:szCs w:val="18"/>
                <w:color w:val="auto"/>
              </w:rPr>
            </w:pPr>
          </w:p>
        </w:tc>
      </w:tr>
      <w:tr>
        <w:trPr>
          <w:trHeight w:val="216"/>
        </w:trPr>
        <w:tc>
          <w:tcPr>
            <w:tcW w:w="3920" w:type="dxa"/>
            <w:vAlign w:val="bottom"/>
            <w:shd w:val="clear" w:color="auto" w:fill="CCCCCC"/>
          </w:tcPr>
          <w:p>
            <w:pPr>
              <w:spacing w:after="0"/>
              <w:rPr>
                <w:sz w:val="20"/>
                <w:szCs w:val="20"/>
                <w:color w:val="auto"/>
              </w:rPr>
            </w:pPr>
            <w:r>
              <w:rPr>
                <w:rFonts w:ascii="Arial" w:cs="Arial" w:eastAsia="Arial" w:hAnsi="Arial"/>
                <w:sz w:val="18"/>
                <w:szCs w:val="18"/>
                <w:color w:val="auto"/>
              </w:rPr>
              <w:t>Fair value of plan assets</w:t>
            </w:r>
          </w:p>
        </w:tc>
        <w:tc>
          <w:tcPr>
            <w:tcW w:w="60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2,794</w:t>
            </w:r>
          </w:p>
        </w:tc>
        <w:tc>
          <w:tcPr>
            <w:tcW w:w="64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CCCC"/>
          </w:tcPr>
          <w:p>
            <w:pPr>
              <w:spacing w:after="0"/>
              <w:rPr>
                <w:sz w:val="18"/>
                <w:szCs w:val="18"/>
                <w:color w:val="auto"/>
              </w:rPr>
            </w:pPr>
          </w:p>
        </w:tc>
      </w:tr>
      <w:tr>
        <w:trPr>
          <w:trHeight w:val="363"/>
        </w:trPr>
        <w:tc>
          <w:tcPr>
            <w:tcW w:w="3920" w:type="dxa"/>
            <w:vAlign w:val="bottom"/>
          </w:tcPr>
          <w:p>
            <w:pPr>
              <w:spacing w:after="0"/>
              <w:rPr>
                <w:sz w:val="24"/>
                <w:szCs w:val="24"/>
                <w:color w:val="auto"/>
              </w:rPr>
            </w:pPr>
          </w:p>
        </w:tc>
        <w:tc>
          <w:tcPr>
            <w:tcW w:w="5360" w:type="dxa"/>
            <w:vAlign w:val="bottom"/>
          </w:tcPr>
          <w:p>
            <w:pPr>
              <w:jc w:val="right"/>
              <w:ind w:right="3392"/>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periodic benefit cost for the years ended December 31 included the following components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12"/>
              <w:spacing w:after="0" w:line="197" w:lineRule="exact"/>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52"/>
              <w:spacing w:after="0" w:line="197" w:lineRule="exact"/>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52"/>
              <w:spacing w:after="0" w:line="197" w:lineRule="exact"/>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820" w:type="dxa"/>
            <w:vAlign w:val="bottom"/>
            <w:gridSpan w:val="16"/>
          </w:tcPr>
          <w:p>
            <w:pPr>
              <w:jc w:val="right"/>
              <w:spacing w:after="0"/>
              <w:rPr>
                <w:sz w:val="20"/>
                <w:szCs w:val="20"/>
                <w:color w:val="auto"/>
              </w:rPr>
            </w:pPr>
            <w:r>
              <w:rPr>
                <w:rFonts w:ascii="Arial" w:cs="Arial" w:eastAsia="Arial" w:hAnsi="Arial"/>
                <w:sz w:val="18"/>
                <w:szCs w:val="18"/>
                <w:b w:val="1"/>
                <w:bCs w:val="1"/>
                <w:color w:val="auto"/>
                <w:w w:val="94"/>
              </w:rPr>
              <w:t>Pension  Postretirement  Pension  Postretirement  Pension</w:t>
            </w: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6"/>
              </w:rPr>
              <w:t>Postretirement</w:t>
            </w:r>
          </w:p>
        </w:tc>
      </w:tr>
      <w:tr>
        <w:trPr>
          <w:trHeight w:val="228"/>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1"/>
              </w:rPr>
              <w:t>Benefits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Benefits</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1"/>
              </w:rPr>
              <w:t>Benefits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Benefits</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Benefits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Benefits</w:t>
            </w:r>
          </w:p>
        </w:tc>
      </w:tr>
      <w:tr>
        <w:trPr>
          <w:trHeight w:val="212"/>
        </w:trPr>
        <w:tc>
          <w:tcPr>
            <w:tcW w:w="20" w:type="dxa"/>
            <w:vAlign w:val="bottom"/>
          </w:tcPr>
          <w:p>
            <w:pPr>
              <w:spacing w:after="0"/>
              <w:rPr>
                <w:sz w:val="18"/>
                <w:szCs w:val="18"/>
                <w:color w:val="auto"/>
              </w:rPr>
            </w:pPr>
          </w:p>
        </w:tc>
        <w:tc>
          <w:tcPr>
            <w:tcW w:w="518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Service cost</w:t>
            </w: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CCCC"/>
            </w:tcBorders>
            <w:shd w:val="clear" w:color="auto" w:fill="CCCCCC"/>
          </w:tcPr>
          <w:p>
            <w:pPr>
              <w:spacing w:after="0"/>
              <w:rPr>
                <w:sz w:val="18"/>
                <w:szCs w:val="18"/>
                <w:color w:val="auto"/>
              </w:rPr>
            </w:pPr>
          </w:p>
        </w:tc>
        <w:tc>
          <w:tcPr>
            <w:tcW w:w="12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CCCC"/>
            </w:tcBorders>
            <w:shd w:val="clear" w:color="auto" w:fill="CCCCCC"/>
          </w:tcPr>
          <w:p>
            <w:pPr>
              <w:spacing w:after="0"/>
              <w:rPr>
                <w:sz w:val="18"/>
                <w:szCs w:val="18"/>
                <w:color w:val="auto"/>
              </w:rPr>
            </w:pPr>
          </w:p>
        </w:tc>
        <w:tc>
          <w:tcPr>
            <w:tcW w:w="10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CCC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CCCC"/>
          </w:tcPr>
          <w:p>
            <w:pPr>
              <w:spacing w:after="0"/>
              <w:rPr>
                <w:sz w:val="18"/>
                <w:szCs w:val="18"/>
                <w:color w:val="auto"/>
              </w:rPr>
            </w:pPr>
          </w:p>
        </w:tc>
        <w:tc>
          <w:tcPr>
            <w:tcW w:w="500" w:type="dxa"/>
            <w:vAlign w:val="bottom"/>
            <w:gridSpan w:val="2"/>
            <w:shd w:val="clear" w:color="auto" w:fill="CCCCCC"/>
          </w:tcPr>
          <w:p>
            <w:pPr>
              <w:jc w:val="right"/>
              <w:ind w:right="80"/>
              <w:spacing w:after="0"/>
              <w:rPr>
                <w:sz w:val="20"/>
                <w:szCs w:val="20"/>
                <w:color w:val="auto"/>
              </w:rPr>
            </w:pPr>
            <w:r>
              <w:rPr>
                <w:rFonts w:ascii="Arial" w:cs="Arial" w:eastAsia="Arial" w:hAnsi="Arial"/>
                <w:sz w:val="18"/>
                <w:szCs w:val="18"/>
                <w:color w:val="auto"/>
                <w:w w:val="95"/>
              </w:rPr>
              <w:t>(194)</w:t>
            </w:r>
          </w:p>
        </w:tc>
        <w:tc>
          <w:tcPr>
            <w:tcW w:w="1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12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CCCC"/>
          </w:tcPr>
          <w:p>
            <w:pPr>
              <w:spacing w:after="0"/>
              <w:rPr>
                <w:sz w:val="18"/>
                <w:szCs w:val="18"/>
                <w:color w:val="auto"/>
              </w:rPr>
            </w:pPr>
          </w:p>
        </w:tc>
        <w:tc>
          <w:tcPr>
            <w:tcW w:w="52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w w:val="95"/>
              </w:rPr>
              <w:t>(180)</w:t>
            </w:r>
          </w:p>
        </w:tc>
        <w:tc>
          <w:tcPr>
            <w:tcW w:w="1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(163)</w:t>
            </w:r>
          </w:p>
        </w:tc>
        <w:tc>
          <w:tcPr>
            <w:tcW w:w="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Amortization of unrecognized actuarial (gain) loss</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CCCC"/>
          </w:tcPr>
          <w:p>
            <w:pPr>
              <w:spacing w:after="0"/>
              <w:rPr>
                <w:sz w:val="20"/>
                <w:szCs w:val="20"/>
                <w:color w:val="auto"/>
              </w:rPr>
            </w:pPr>
            <w:r>
              <w:rPr>
                <w:rFonts w:ascii="Arial" w:cs="Arial" w:eastAsia="Arial" w:hAnsi="Arial"/>
                <w:sz w:val="18"/>
                <w:szCs w:val="18"/>
                <w:color w:val="auto"/>
              </w:rPr>
              <w:t>Amortization of prior service credits</w:t>
            </w:r>
          </w:p>
        </w:tc>
        <w:tc>
          <w:tcPr>
            <w:tcW w:w="180" w:type="dxa"/>
            <w:vAlign w:val="bottom"/>
            <w:shd w:val="clear" w:color="auto" w:fill="CCCCCC"/>
          </w:tcPr>
          <w:p>
            <w:pPr>
              <w:spacing w:after="0"/>
              <w:rPr>
                <w:sz w:val="18"/>
                <w:szCs w:val="18"/>
                <w:color w:val="auto"/>
              </w:rPr>
            </w:pPr>
          </w:p>
        </w:tc>
        <w:tc>
          <w:tcPr>
            <w:tcW w:w="50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12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CCCC"/>
          </w:tcPr>
          <w:p>
            <w:pPr>
              <w:spacing w:after="0"/>
              <w:rPr>
                <w:sz w:val="18"/>
                <w:szCs w:val="18"/>
                <w:color w:val="auto"/>
              </w:rPr>
            </w:pPr>
          </w:p>
        </w:tc>
        <w:tc>
          <w:tcPr>
            <w:tcW w:w="52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CCCC"/>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CCCC"/>
          </w:tcPr>
          <w:p>
            <w:pPr>
              <w:spacing w:after="0"/>
              <w:rPr>
                <w:sz w:val="18"/>
                <w:szCs w:val="18"/>
                <w:color w:val="auto"/>
              </w:rPr>
            </w:pPr>
          </w:p>
        </w:tc>
        <w:tc>
          <w:tcPr>
            <w:tcW w:w="3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CCCC"/>
          </w:tcPr>
          <w:p>
            <w:pPr>
              <w:spacing w:after="0"/>
              <w:rPr>
                <w:sz w:val="18"/>
                <w:szCs w:val="18"/>
                <w:color w:val="auto"/>
              </w:rPr>
            </w:pPr>
          </w:p>
        </w:tc>
        <w:tc>
          <w:tcPr>
            <w:tcW w:w="1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CCCC"/>
          </w:tcPr>
          <w:p>
            <w:pPr>
              <w:spacing w:after="0"/>
              <w:rPr>
                <w:sz w:val="18"/>
                <w:szCs w:val="18"/>
                <w:color w:val="auto"/>
              </w:rPr>
            </w:pPr>
          </w:p>
        </w:tc>
        <w:tc>
          <w:tcPr>
            <w:tcW w:w="3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189</w:t>
            </w:r>
          </w:p>
        </w:tc>
        <w:tc>
          <w:tcPr>
            <w:tcW w:w="3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CCC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estimated amounts that will be amortized in 2016 out of accumulated other comprehensive income (loss) into net periodic benefit cost are as follows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2"/>
              </w:rPr>
              <w:t>Pension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Postretirement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Benefits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4"/>
              </w:rPr>
              <w:t>Benefits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0" w:type="dxa"/>
            <w:vAlign w:val="bottom"/>
            <w:tcBorders>
              <w:top w:val="single" w:sz="8" w:color="CCCCCC"/>
            </w:tcBorders>
            <w:gridSpan w:val="3"/>
            <w:shd w:val="clear" w:color="auto" w:fill="CCCCCC"/>
          </w:tcPr>
          <w:p>
            <w:pPr>
              <w:spacing w:after="0" w:line="205" w:lineRule="exact"/>
              <w:rPr>
                <w:sz w:val="20"/>
                <w:szCs w:val="20"/>
                <w:color w:val="auto"/>
              </w:rPr>
            </w:pPr>
            <w:r>
              <w:rPr>
                <w:rFonts w:ascii="Arial" w:cs="Arial" w:eastAsia="Arial" w:hAnsi="Arial"/>
                <w:sz w:val="18"/>
                <w:szCs w:val="18"/>
                <w:color w:val="auto"/>
              </w:rPr>
              <w:t>Actuarial (gain) loss</w:t>
            </w:r>
          </w:p>
        </w:tc>
        <w:tc>
          <w:tcPr>
            <w:tcW w:w="6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   71</w:t>
            </w:r>
          </w:p>
        </w:tc>
        <w:tc>
          <w:tcPr>
            <w:tcW w:w="120" w:type="dxa"/>
            <w:vAlign w:val="bottom"/>
            <w:tcBorders>
              <w:top w:val="single" w:sz="8" w:color="CCCCCC"/>
            </w:tcBorders>
            <w:shd w:val="clear" w:color="auto" w:fill="CCCCCC"/>
          </w:tcPr>
          <w:p>
            <w:pPr>
              <w:spacing w:after="0"/>
              <w:rPr>
                <w:sz w:val="18"/>
                <w:szCs w:val="18"/>
                <w:color w:val="auto"/>
              </w:rPr>
            </w:pPr>
          </w:p>
        </w:tc>
        <w:tc>
          <w:tcPr>
            <w:tcW w:w="100" w:type="dxa"/>
            <w:vAlign w:val="bottom"/>
            <w:tcBorders>
              <w:top w:val="single" w:sz="8" w:color="CCCCCC"/>
            </w:tcBorders>
            <w:shd w:val="clear" w:color="auto" w:fill="CCCCCC"/>
          </w:tcPr>
          <w:p>
            <w:pPr>
              <w:spacing w:after="0"/>
              <w:rPr>
                <w:sz w:val="18"/>
                <w:szCs w:val="18"/>
                <w:color w:val="auto"/>
              </w:rPr>
            </w:pPr>
          </w:p>
        </w:tc>
        <w:tc>
          <w:tcPr>
            <w:tcW w:w="74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gridSpan w:val="3"/>
            <w:shd w:val="clear" w:color="auto" w:fill="CCCC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3"/>
            <w:shd w:val="clear" w:color="auto" w:fill="CCCCCC"/>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Prior service credit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620" w:type="dxa"/>
            <w:vAlign w:val="bottom"/>
            <w:gridSpan w:val="4"/>
          </w:tcPr>
          <w:p>
            <w:pPr>
              <w:spacing w:after="0"/>
              <w:rPr>
                <w:sz w:val="20"/>
                <w:szCs w:val="20"/>
                <w:color w:val="auto"/>
              </w:rPr>
            </w:pPr>
            <w:r>
              <w:rPr>
                <w:rFonts w:ascii="Arial" w:cs="Arial" w:eastAsia="Arial" w:hAnsi="Arial"/>
                <w:sz w:val="18"/>
                <w:szCs w:val="18"/>
                <w:color w:val="auto"/>
              </w:rPr>
              <w:t>The assumptions used for the benefit plans were as follows: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8"/>
          </w:tcPr>
          <w:p>
            <w:pPr>
              <w:ind w:left="34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Assumptions used to determine benefit obligations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ind w:right="52"/>
              <w:spacing w:after="0" w:line="203" w:lineRule="exact"/>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132"/>
              <w:spacing w:after="0" w:line="203"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auto"/>
            </w:tcBorders>
            <w:gridSpan w:val="3"/>
            <w:shd w:val="clear" w:color="auto" w:fill="CCCCCC"/>
          </w:tcPr>
          <w:p>
            <w:pPr>
              <w:spacing w:after="0"/>
              <w:rPr>
                <w:sz w:val="20"/>
                <w:szCs w:val="20"/>
                <w:color w:val="auto"/>
              </w:rPr>
            </w:pPr>
            <w:r>
              <w:rPr>
                <w:rFonts w:ascii="Arial" w:cs="Arial" w:eastAsia="Arial" w:hAnsi="Arial"/>
                <w:sz w:val="18"/>
                <w:szCs w:val="18"/>
                <w:color w:val="auto"/>
              </w:rPr>
              <w:t>Discount rate</w:t>
            </w:r>
          </w:p>
        </w:tc>
        <w:tc>
          <w:tcPr>
            <w:tcW w:w="620" w:type="dxa"/>
            <w:vAlign w:val="bottom"/>
            <w:tcBorders>
              <w:top w:val="single" w:sz="8" w:color="auto"/>
            </w:tcBorders>
            <w:shd w:val="clear" w:color="auto" w:fill="CCCCCC"/>
          </w:tcPr>
          <w:p>
            <w:pPr>
              <w:spacing w:after="0"/>
              <w:rPr>
                <w:sz w:val="18"/>
                <w:szCs w:val="18"/>
                <w:color w:val="auto"/>
              </w:rPr>
            </w:pPr>
          </w:p>
        </w:tc>
        <w:tc>
          <w:tcPr>
            <w:tcW w:w="120" w:type="dxa"/>
            <w:vAlign w:val="bottom"/>
            <w:tcBorders>
              <w:top w:val="single" w:sz="8" w:color="auto"/>
            </w:tcBorders>
            <w:shd w:val="clear" w:color="auto" w:fill="CCCCCC"/>
          </w:tcPr>
          <w:p>
            <w:pPr>
              <w:spacing w:after="0"/>
              <w:rPr>
                <w:sz w:val="18"/>
                <w:szCs w:val="18"/>
                <w:color w:val="auto"/>
              </w:rPr>
            </w:pPr>
          </w:p>
        </w:tc>
        <w:tc>
          <w:tcPr>
            <w:tcW w:w="100" w:type="dxa"/>
            <w:vAlign w:val="bottom"/>
            <w:tcBorders>
              <w:top w:val="single" w:sz="8" w:color="CCCCCC"/>
            </w:tcBorders>
            <w:shd w:val="clear" w:color="auto" w:fill="CCCCCC"/>
          </w:tcPr>
          <w:p>
            <w:pPr>
              <w:spacing w:after="0"/>
              <w:rPr>
                <w:sz w:val="18"/>
                <w:szCs w:val="18"/>
                <w:color w:val="auto"/>
              </w:rPr>
            </w:pPr>
          </w:p>
        </w:tc>
        <w:tc>
          <w:tcPr>
            <w:tcW w:w="820" w:type="dxa"/>
            <w:vAlign w:val="bottom"/>
            <w:tcBorders>
              <w:top w:val="single" w:sz="8" w:color="auto"/>
            </w:tcBorders>
            <w:gridSpan w:val="2"/>
            <w:shd w:val="clear" w:color="auto" w:fill="CCCCCC"/>
          </w:tcPr>
          <w:p>
            <w:pPr>
              <w:ind w:left="360"/>
              <w:spacing w:after="0"/>
              <w:rPr>
                <w:sz w:val="20"/>
                <w:szCs w:val="20"/>
                <w:color w:val="auto"/>
              </w:rPr>
            </w:pPr>
            <w:r>
              <w:rPr>
                <w:rFonts w:ascii="Arial" w:cs="Arial" w:eastAsia="Arial" w:hAnsi="Arial"/>
                <w:sz w:val="18"/>
                <w:szCs w:val="18"/>
                <w:color w:val="auto"/>
                <w:w w:val="86"/>
              </w:rPr>
              <w:t>4.58%</w:t>
            </w:r>
          </w:p>
        </w:tc>
        <w:tc>
          <w:tcPr>
            <w:tcW w:w="20" w:type="dxa"/>
            <w:vAlign w:val="bottom"/>
            <w:tcBorders>
              <w:top w:val="single" w:sz="8" w:color="CCCCCC"/>
            </w:tcBorders>
            <w:shd w:val="clear" w:color="auto" w:fill="CCCCCC"/>
          </w:tcPr>
          <w:p>
            <w:pPr>
              <w:spacing w:after="0"/>
              <w:rPr>
                <w:sz w:val="18"/>
                <w:szCs w:val="18"/>
                <w:color w:val="auto"/>
              </w:rPr>
            </w:pPr>
          </w:p>
        </w:tc>
        <w:tc>
          <w:tcPr>
            <w:tcW w:w="100" w:type="dxa"/>
            <w:vAlign w:val="bottom"/>
            <w:tcBorders>
              <w:top w:val="single" w:sz="8" w:color="CCCCCC"/>
            </w:tcBorders>
            <w:shd w:val="clear" w:color="auto" w:fill="CCCCCC"/>
          </w:tcPr>
          <w:p>
            <w:pPr>
              <w:spacing w:after="0"/>
              <w:rPr>
                <w:sz w:val="18"/>
                <w:szCs w:val="18"/>
                <w:color w:val="auto"/>
              </w:rPr>
            </w:pPr>
          </w:p>
        </w:tc>
        <w:tc>
          <w:tcPr>
            <w:tcW w:w="80" w:type="dxa"/>
            <w:vAlign w:val="bottom"/>
            <w:tcBorders>
              <w:top w:val="single" w:sz="8" w:color="CCCCCC"/>
            </w:tcBorders>
            <w:shd w:val="clear" w:color="auto" w:fill="CCCCCC"/>
          </w:tcPr>
          <w:p>
            <w:pPr>
              <w:spacing w:after="0"/>
              <w:rPr>
                <w:sz w:val="18"/>
                <w:szCs w:val="18"/>
                <w:color w:val="auto"/>
              </w:rPr>
            </w:pPr>
          </w:p>
        </w:tc>
        <w:tc>
          <w:tcPr>
            <w:tcW w:w="8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top w:val="single" w:sz="8" w:color="CCCCCC"/>
            </w:tcBorders>
            <w:shd w:val="clear" w:color="auto" w:fill="CCCCCC"/>
          </w:tcPr>
          <w:p>
            <w:pPr>
              <w:spacing w:after="0"/>
              <w:rPr>
                <w:sz w:val="18"/>
                <w:szCs w:val="18"/>
                <w:color w:val="auto"/>
              </w:rPr>
            </w:pPr>
          </w:p>
        </w:tc>
        <w:tc>
          <w:tcPr>
            <w:tcW w:w="8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3.66%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Assumptions used to determine net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auto"/>
            </w:tcBorders>
            <w:gridSpan w:val="3"/>
            <w:shd w:val="clear" w:color="auto" w:fill="CCCCCC"/>
          </w:tcPr>
          <w:p>
            <w:pPr>
              <w:spacing w:after="0"/>
              <w:rPr>
                <w:sz w:val="20"/>
                <w:szCs w:val="20"/>
                <w:color w:val="auto"/>
              </w:rPr>
            </w:pPr>
            <w:r>
              <w:rPr>
                <w:rFonts w:ascii="Arial" w:cs="Arial" w:eastAsia="Arial" w:hAnsi="Arial"/>
                <w:sz w:val="18"/>
                <w:szCs w:val="18"/>
                <w:color w:val="auto"/>
              </w:rPr>
              <w:t>Discount rate</w:t>
            </w:r>
          </w:p>
        </w:tc>
        <w:tc>
          <w:tcPr>
            <w:tcW w:w="620" w:type="dxa"/>
            <w:vAlign w:val="bottom"/>
            <w:tcBorders>
              <w:top w:val="single" w:sz="8" w:color="auto"/>
            </w:tcBorders>
            <w:shd w:val="clear" w:color="auto" w:fill="CCCCCC"/>
          </w:tcPr>
          <w:p>
            <w:pPr>
              <w:spacing w:after="0"/>
              <w:rPr>
                <w:sz w:val="18"/>
                <w:szCs w:val="18"/>
                <w:color w:val="auto"/>
              </w:rPr>
            </w:pPr>
          </w:p>
        </w:tc>
        <w:tc>
          <w:tcPr>
            <w:tcW w:w="120" w:type="dxa"/>
            <w:vAlign w:val="bottom"/>
            <w:tcBorders>
              <w:top w:val="single" w:sz="8" w:color="auto"/>
            </w:tcBorders>
            <w:shd w:val="clear" w:color="auto" w:fill="CCCCCC"/>
          </w:tcPr>
          <w:p>
            <w:pPr>
              <w:spacing w:after="0"/>
              <w:rPr>
                <w:sz w:val="18"/>
                <w:szCs w:val="18"/>
                <w:color w:val="auto"/>
              </w:rPr>
            </w:pPr>
          </w:p>
        </w:tc>
        <w:tc>
          <w:tcPr>
            <w:tcW w:w="920" w:type="dxa"/>
            <w:vAlign w:val="bottom"/>
            <w:tcBorders>
              <w:top w:val="single" w:sz="8" w:color="CCCCCC"/>
            </w:tcBorders>
            <w:gridSpan w:val="3"/>
            <w:shd w:val="clear" w:color="auto" w:fill="CCCCCC"/>
          </w:tcPr>
          <w:p>
            <w:pPr>
              <w:ind w:left="460"/>
              <w:spacing w:after="0"/>
              <w:rPr>
                <w:sz w:val="20"/>
                <w:szCs w:val="20"/>
                <w:color w:val="auto"/>
              </w:rPr>
            </w:pPr>
            <w:r>
              <w:rPr>
                <w:rFonts w:ascii="Arial" w:cs="Arial" w:eastAsia="Arial" w:hAnsi="Arial"/>
                <w:sz w:val="18"/>
                <w:szCs w:val="18"/>
                <w:color w:val="auto"/>
                <w:w w:val="86"/>
              </w:rPr>
              <w:t>4.20%</w:t>
            </w:r>
          </w:p>
        </w:tc>
        <w:tc>
          <w:tcPr>
            <w:tcW w:w="20" w:type="dxa"/>
            <w:vAlign w:val="bottom"/>
            <w:tcBorders>
              <w:top w:val="single" w:sz="8" w:color="CCCCCC"/>
            </w:tcBorders>
            <w:shd w:val="clear" w:color="auto" w:fill="CCCCCC"/>
          </w:tcPr>
          <w:p>
            <w:pPr>
              <w:spacing w:after="0"/>
              <w:rPr>
                <w:sz w:val="18"/>
                <w:szCs w:val="18"/>
                <w:color w:val="auto"/>
              </w:rPr>
            </w:pPr>
          </w:p>
        </w:tc>
        <w:tc>
          <w:tcPr>
            <w:tcW w:w="100" w:type="dxa"/>
            <w:vAlign w:val="bottom"/>
            <w:tcBorders>
              <w:top w:val="single" w:sz="8" w:color="CCCCCC"/>
            </w:tcBorders>
            <w:shd w:val="clear" w:color="auto" w:fill="CCCCCC"/>
          </w:tcPr>
          <w:p>
            <w:pPr>
              <w:spacing w:after="0"/>
              <w:rPr>
                <w:sz w:val="18"/>
                <w:szCs w:val="18"/>
                <w:color w:val="auto"/>
              </w:rPr>
            </w:pPr>
          </w:p>
        </w:tc>
        <w:tc>
          <w:tcPr>
            <w:tcW w:w="940" w:type="dxa"/>
            <w:vAlign w:val="bottom"/>
            <w:tcBorders>
              <w:top w:val="single" w:sz="8" w:color="CCCCCC"/>
            </w:tcBorders>
            <w:gridSpan w:val="3"/>
            <w:shd w:val="clear" w:color="auto" w:fill="CCCCCC"/>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Expected return on plan assets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460"/>
              <w:spacing w:after="0"/>
              <w:rPr>
                <w:sz w:val="20"/>
                <w:szCs w:val="20"/>
                <w:color w:val="auto"/>
              </w:rPr>
            </w:pPr>
            <w:r>
              <w:rPr>
                <w:rFonts w:ascii="Arial" w:cs="Arial" w:eastAsia="Arial" w:hAnsi="Arial"/>
                <w:sz w:val="18"/>
                <w:szCs w:val="18"/>
                <w:color w:val="auto"/>
                <w:w w:val="86"/>
              </w:rPr>
              <w:t>7.40%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920" w:type="dxa"/>
            <w:vAlign w:val="bottom"/>
            <w:gridSpan w:val="3"/>
            <w:shd w:val="clear" w:color="auto" w:fill="CCCCCC"/>
          </w:tcPr>
          <w:p>
            <w:pPr>
              <w:ind w:left="460"/>
              <w:spacing w:after="0"/>
              <w:rPr>
                <w:sz w:val="20"/>
                <w:szCs w:val="20"/>
                <w:color w:val="auto"/>
              </w:rPr>
            </w:pPr>
            <w:r>
              <w:rPr>
                <w:rFonts w:ascii="Arial" w:cs="Arial" w:eastAsia="Arial" w:hAnsi="Arial"/>
                <w:sz w:val="18"/>
                <w:szCs w:val="18"/>
                <w:color w:val="auto"/>
                <w:w w:val="86"/>
              </w:rPr>
              <w:t>3.51%</w:t>
            </w:r>
          </w:p>
        </w:tc>
        <w:tc>
          <w:tcPr>
            <w:tcW w:w="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940" w:type="dxa"/>
            <w:vAlign w:val="bottom"/>
            <w:gridSpan w:val="3"/>
            <w:shd w:val="clear" w:color="auto" w:fill="CCCCCC"/>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11"/>
          </w:tcPr>
          <w:p>
            <w:pPr>
              <w:ind w:left="10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Assumptions used to determine benefit obligations</w:t>
            </w:r>
          </w:p>
        </w:tc>
        <w:tc>
          <w:tcPr>
            <w:tcW w:w="820" w:type="dxa"/>
            <w:vAlign w:val="bottom"/>
            <w:tcBorders>
              <w:bottom w:val="single" w:sz="8" w:color="CCCCC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b w:val="1"/>
                <w:bCs w:val="1"/>
                <w:color w:val="auto"/>
                <w:w w:val="94"/>
              </w:rPr>
              <w:t>2015</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CCCC"/>
            </w:tcBorders>
          </w:tcPr>
          <w:p>
            <w:pPr>
              <w:spacing w:after="0"/>
              <w:rPr>
                <w:sz w:val="17"/>
                <w:szCs w:val="17"/>
                <w:color w:val="auto"/>
              </w:rPr>
            </w:pPr>
          </w:p>
        </w:tc>
        <w:tc>
          <w:tcPr>
            <w:tcW w:w="740" w:type="dxa"/>
            <w:vAlign w:val="bottom"/>
            <w:tcBorders>
              <w:top w:val="single" w:sz="8" w:color="auto"/>
              <w:bottom w:val="single" w:sz="8" w:color="CCCCCC"/>
            </w:tcBorders>
          </w:tcPr>
          <w:p>
            <w:pPr>
              <w:spacing w:after="0"/>
              <w:rPr>
                <w:sz w:val="17"/>
                <w:szCs w:val="17"/>
                <w:color w:val="auto"/>
              </w:rPr>
            </w:pPr>
          </w:p>
        </w:tc>
        <w:tc>
          <w:tcPr>
            <w:tcW w:w="80" w:type="dxa"/>
            <w:vAlign w:val="bottom"/>
            <w:tcBorders>
              <w:top w:val="single" w:sz="8" w:color="auto"/>
              <w:bottom w:val="single" w:sz="8" w:color="CCCCCC"/>
            </w:tcBorders>
          </w:tcPr>
          <w:p>
            <w:pPr>
              <w:spacing w:after="0"/>
              <w:rPr>
                <w:sz w:val="17"/>
                <w:szCs w:val="17"/>
                <w:color w:val="auto"/>
              </w:rPr>
            </w:pPr>
          </w:p>
        </w:tc>
        <w:tc>
          <w:tcPr>
            <w:tcW w:w="20" w:type="dxa"/>
            <w:vAlign w:val="bottom"/>
            <w:tcBorders>
              <w:top w:val="single" w:sz="8" w:color="auto"/>
              <w:bottom w:val="single" w:sz="8" w:color="CCCCC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252"/>
              <w:spacing w:after="0" w:line="203" w:lineRule="exact"/>
              <w:rPr>
                <w:sz w:val="20"/>
                <w:szCs w:val="20"/>
                <w:color w:val="auto"/>
              </w:rPr>
            </w:pPr>
            <w:r>
              <w:rPr>
                <w:rFonts w:ascii="Arial" w:cs="Arial" w:eastAsia="Arial" w:hAnsi="Arial"/>
                <w:sz w:val="18"/>
                <w:szCs w:val="18"/>
                <w:b w:val="1"/>
                <w:bCs w:val="1"/>
                <w:color w:val="auto"/>
              </w:rPr>
              <w:t>2014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CCCC"/>
          </w:tcPr>
          <w:p>
            <w:pPr>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7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940" w:type="dxa"/>
            <w:vAlign w:val="bottom"/>
            <w:gridSpan w:val="3"/>
            <w:shd w:val="clear" w:color="auto" w:fill="CCCCCC"/>
          </w:tcPr>
          <w:p>
            <w:pPr>
              <w:jc w:val="right"/>
              <w:ind w:right="2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82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Assumptions used to determine net expense</w:t>
            </w:r>
          </w:p>
        </w:tc>
        <w:tc>
          <w:tcPr>
            <w:tcW w:w="820" w:type="dxa"/>
            <w:vAlign w:val="bottom"/>
            <w:tcBorders>
              <w:bottom w:val="single" w:sz="8" w:color="CCCCCC"/>
            </w:tcBorders>
            <w:vMerge w:val="continue"/>
          </w:tcPr>
          <w:p>
            <w:pPr>
              <w:spacing w:after="0"/>
              <w:rPr>
                <w:sz w:val="18"/>
                <w:szCs w:val="18"/>
                <w:color w:val="auto"/>
              </w:rPr>
            </w:pPr>
          </w:p>
        </w:tc>
        <w:tc>
          <w:tcPr>
            <w:tcW w:w="260" w:type="dxa"/>
            <w:vAlign w:val="bottom"/>
            <w:tcBorders>
              <w:bottom w:val="single" w:sz="8" w:color="CCCCCC"/>
            </w:tcBorders>
            <w:vMerge w:val="continue"/>
          </w:tcPr>
          <w:p>
            <w:pPr>
              <w:spacing w:after="0"/>
              <w:rPr>
                <w:sz w:val="18"/>
                <w:szCs w:val="18"/>
                <w:color w:val="auto"/>
              </w:rPr>
            </w:pPr>
          </w:p>
        </w:tc>
        <w:tc>
          <w:tcPr>
            <w:tcW w:w="620" w:type="dxa"/>
            <w:vAlign w:val="bottom"/>
            <w:tcBorders>
              <w:bottom w:val="single" w:sz="8" w:color="CCCCCC"/>
            </w:tcBorders>
          </w:tcPr>
          <w:p>
            <w:pPr>
              <w:spacing w:after="0"/>
              <w:rPr>
                <w:sz w:val="18"/>
                <w:szCs w:val="18"/>
                <w:color w:val="auto"/>
              </w:rPr>
            </w:pPr>
          </w:p>
        </w:tc>
        <w:tc>
          <w:tcPr>
            <w:tcW w:w="120" w:type="dxa"/>
            <w:vAlign w:val="bottom"/>
            <w:tcBorders>
              <w:bottom w:val="single" w:sz="8" w:color="CCCCCC"/>
            </w:tcBorders>
          </w:tcPr>
          <w:p>
            <w:pPr>
              <w:spacing w:after="0"/>
              <w:rPr>
                <w:sz w:val="18"/>
                <w:szCs w:val="18"/>
                <w:color w:val="auto"/>
              </w:rPr>
            </w:pPr>
          </w:p>
        </w:tc>
        <w:tc>
          <w:tcPr>
            <w:tcW w:w="100" w:type="dxa"/>
            <w:vAlign w:val="bottom"/>
            <w:tcBorders>
              <w:bottom w:val="single" w:sz="8" w:color="CCCCCC"/>
            </w:tcBorders>
          </w:tcPr>
          <w:p>
            <w:pPr>
              <w:spacing w:after="0"/>
              <w:rPr>
                <w:sz w:val="18"/>
                <w:szCs w:val="18"/>
                <w:color w:val="auto"/>
              </w:rPr>
            </w:pPr>
          </w:p>
        </w:tc>
        <w:tc>
          <w:tcPr>
            <w:tcW w:w="740" w:type="dxa"/>
            <w:vAlign w:val="bottom"/>
            <w:tcBorders>
              <w:bottom w:val="single" w:sz="8" w:color="CCCCCC"/>
            </w:tcBorders>
          </w:tcPr>
          <w:p>
            <w:pPr>
              <w:spacing w:after="0"/>
              <w:rPr>
                <w:sz w:val="18"/>
                <w:szCs w:val="18"/>
                <w:color w:val="auto"/>
              </w:rPr>
            </w:pPr>
          </w:p>
        </w:tc>
        <w:tc>
          <w:tcPr>
            <w:tcW w:w="80" w:type="dxa"/>
            <w:vAlign w:val="bottom"/>
            <w:tcBorders>
              <w:bottom w:val="single" w:sz="8" w:color="CCCCCC"/>
            </w:tcBorders>
          </w:tcPr>
          <w:p>
            <w:pPr>
              <w:spacing w:after="0"/>
              <w:rPr>
                <w:sz w:val="18"/>
                <w:szCs w:val="18"/>
                <w:color w:val="auto"/>
              </w:rPr>
            </w:pPr>
          </w:p>
        </w:tc>
        <w:tc>
          <w:tcPr>
            <w:tcW w:w="20" w:type="dxa"/>
            <w:vAlign w:val="bottom"/>
            <w:tcBorders>
              <w:bottom w:val="single" w:sz="8" w:color="CCCCCC"/>
            </w:tcBorders>
          </w:tcPr>
          <w:p>
            <w:pPr>
              <w:spacing w:after="0"/>
              <w:rPr>
                <w:sz w:val="18"/>
                <w:szCs w:val="18"/>
                <w:color w:val="auto"/>
              </w:rPr>
            </w:pPr>
          </w:p>
        </w:tc>
        <w:tc>
          <w:tcPr>
            <w:tcW w:w="100" w:type="dxa"/>
            <w:vAlign w:val="bottom"/>
            <w:tcBorders>
              <w:bottom w:val="single" w:sz="8" w:color="CCCCCC"/>
            </w:tcBorders>
          </w:tcPr>
          <w:p>
            <w:pPr>
              <w:spacing w:after="0"/>
              <w:rPr>
                <w:sz w:val="18"/>
                <w:szCs w:val="18"/>
                <w:color w:val="auto"/>
              </w:rPr>
            </w:pPr>
          </w:p>
        </w:tc>
        <w:tc>
          <w:tcPr>
            <w:tcW w:w="80" w:type="dxa"/>
            <w:vAlign w:val="bottom"/>
            <w:tcBorders>
              <w:bottom w:val="single" w:sz="8" w:color="CCCCCC"/>
            </w:tcBorders>
          </w:tcPr>
          <w:p>
            <w:pPr>
              <w:spacing w:after="0"/>
              <w:rPr>
                <w:sz w:val="18"/>
                <w:szCs w:val="18"/>
                <w:color w:val="auto"/>
              </w:rPr>
            </w:pPr>
          </w:p>
        </w:tc>
        <w:tc>
          <w:tcPr>
            <w:tcW w:w="840" w:type="dxa"/>
            <w:vAlign w:val="bottom"/>
            <w:tcBorders>
              <w:bottom w:val="single" w:sz="8" w:color="CCCCCC"/>
            </w:tcBorders>
          </w:tcPr>
          <w:p>
            <w:pPr>
              <w:spacing w:after="0"/>
              <w:rPr>
                <w:sz w:val="18"/>
                <w:szCs w:val="18"/>
                <w:color w:val="auto"/>
              </w:rPr>
            </w:pPr>
          </w:p>
        </w:tc>
        <w:tc>
          <w:tcPr>
            <w:tcW w:w="20" w:type="dxa"/>
            <w:vAlign w:val="bottom"/>
            <w:tcBorders>
              <w:bottom w:val="single" w:sz="8" w:color="CCCCCC"/>
            </w:tcBorders>
          </w:tcPr>
          <w:p>
            <w:pPr>
              <w:spacing w:after="0"/>
              <w:rPr>
                <w:sz w:val="18"/>
                <w:szCs w:val="18"/>
                <w:color w:val="auto"/>
              </w:rPr>
            </w:pPr>
          </w:p>
        </w:tc>
        <w:tc>
          <w:tcPr>
            <w:tcW w:w="80" w:type="dxa"/>
            <w:vAlign w:val="bottom"/>
            <w:tcBorders>
              <w:bottom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CCCC"/>
          </w:tcPr>
          <w:p>
            <w:pPr>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CCCCC"/>
          </w:tcPr>
          <w:p>
            <w:pPr>
              <w:spacing w:after="0"/>
              <w:rPr>
                <w:sz w:val="18"/>
                <w:szCs w:val="18"/>
                <w:color w:val="auto"/>
              </w:rPr>
            </w:pPr>
          </w:p>
        </w:tc>
        <w:tc>
          <w:tcPr>
            <w:tcW w:w="260" w:type="dxa"/>
            <w:vAlign w:val="bottom"/>
            <w:shd w:val="clear" w:color="auto" w:fill="CCCCCC"/>
          </w:tcPr>
          <w:p>
            <w:pPr>
              <w:spacing w:after="0"/>
              <w:rPr>
                <w:sz w:val="18"/>
                <w:szCs w:val="18"/>
                <w:color w:val="auto"/>
              </w:rPr>
            </w:pPr>
          </w:p>
        </w:tc>
        <w:tc>
          <w:tcPr>
            <w:tcW w:w="7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940" w:type="dxa"/>
            <w:vAlign w:val="bottom"/>
            <w:gridSpan w:val="3"/>
            <w:shd w:val="clear" w:color="auto" w:fill="CCCCCC"/>
          </w:tcPr>
          <w:p>
            <w:pPr>
              <w:jc w:val="right"/>
              <w:ind w:right="2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Health care cost trend rate assumed for next year</w:t>
            </w:r>
          </w:p>
        </w:tc>
        <w:tc>
          <w:tcPr>
            <w:tcW w:w="7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CCCC"/>
          </w:tcPr>
          <w:p>
            <w:pPr>
              <w:spacing w:after="0"/>
              <w:rPr>
                <w:sz w:val="18"/>
                <w:szCs w:val="18"/>
                <w:color w:val="auto"/>
              </w:rPr>
            </w:pPr>
          </w:p>
        </w:tc>
        <w:tc>
          <w:tcPr>
            <w:tcW w:w="74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940" w:type="dxa"/>
            <w:vAlign w:val="bottom"/>
            <w:gridSpan w:val="3"/>
            <w:shd w:val="clear" w:color="auto" w:fill="CCCCCC"/>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8"/>
                <w:szCs w:val="18"/>
                <w:color w:val="auto"/>
              </w:rPr>
              <w:t>Rate to which the cost trend rate is assumed to decline (ultimate trend rate in 2023)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540" w:type="dxa"/>
            <w:vAlign w:val="bottom"/>
            <w:gridSpan w:val="2"/>
          </w:tcPr>
          <w:p>
            <w:pPr>
              <w:jc w:val="right"/>
              <w:ind w:right="1652"/>
              <w:spacing w:after="0"/>
              <w:rPr>
                <w:sz w:val="20"/>
                <w:szCs w:val="20"/>
                <w:color w:val="auto"/>
              </w:rPr>
            </w:pPr>
            <w:r>
              <w:rPr>
                <w:rFonts w:ascii="Arial" w:cs="Arial" w:eastAsia="Arial" w:hAnsi="Arial"/>
                <w:sz w:val="18"/>
                <w:szCs w:val="18"/>
                <w:color w:val="auto"/>
              </w:rPr>
              <w:t>84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4" w:name="page85"/>
    <w:bookmarkEnd w:id="84"/>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2015, the Company experienced changes in its benefit obligations related to changes in discount rates and mortality tables in its pension plans and other postretirement benefit plans. The Company used the Society of Actuaries’ 2014 mortality tables, modified to reflect the Social Security Administration Trustee’s Report on current projections regarding expected longevity improvements.</w:t>
      </w:r>
    </w:p>
    <w:p>
      <w:pPr>
        <w:spacing w:after="0" w:line="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selected the 2015 discount rate for substantially all of its plans by using a hypothetical portfolio of high quality bonds at December 31, 2015, that would provide the necessary cash flows to match projected benefit payments.</w:t>
      </w:r>
    </w:p>
    <w:p>
      <w:pPr>
        <w:spacing w:after="0" w:line="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develop our expected long-term rate of return assumption for such plans based on historical experience and by evaluating input from the trustee managing the plans’ assets. Our expected long-term rate of return on plan assets for these plans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20" w:type="dxa"/>
            <w:vAlign w:val="bottom"/>
            <w:gridSpan w:val="3"/>
          </w:tcPr>
          <w:p>
            <w:pPr>
              <w:jc w:val="center"/>
              <w:ind w:left="1632"/>
              <w:spacing w:after="0"/>
              <w:rPr>
                <w:sz w:val="20"/>
                <w:szCs w:val="20"/>
                <w:color w:val="auto"/>
              </w:rPr>
            </w:pPr>
            <w:r>
              <w:rPr>
                <w:rFonts w:ascii="Arial" w:cs="Arial" w:eastAsia="Arial" w:hAnsi="Arial"/>
                <w:sz w:val="18"/>
                <w:szCs w:val="18"/>
                <w:color w:val="auto"/>
                <w:w w:val="89"/>
              </w:rPr>
              <w:t>Expected Long-Term</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88"/>
              </w:rPr>
              <w:t>Percent of Total</w:t>
            </w:r>
          </w:p>
        </w:tc>
        <w:tc>
          <w:tcPr>
            <w:tcW w:w="19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Rate of Return</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CCCC"/>
          </w:tcPr>
          <w:p>
            <w:pPr>
              <w:spacing w:after="0"/>
              <w:rPr>
                <w:sz w:val="20"/>
                <w:szCs w:val="20"/>
                <w:color w:val="auto"/>
              </w:rPr>
            </w:pPr>
            <w:r>
              <w:rPr>
                <w:rFonts w:ascii="Arial" w:cs="Arial" w:eastAsia="Arial" w:hAnsi="Arial"/>
                <w:sz w:val="18"/>
                <w:szCs w:val="18"/>
                <w:color w:val="auto"/>
              </w:rPr>
              <w:t>Equity securities</w:t>
            </w:r>
          </w:p>
        </w:tc>
        <w:tc>
          <w:tcPr>
            <w:tcW w:w="116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rPr>
              <w:t>30-40  %</w:t>
            </w:r>
          </w:p>
        </w:tc>
        <w:tc>
          <w:tcPr>
            <w:tcW w:w="3000" w:type="dxa"/>
            <w:vAlign w:val="bottom"/>
            <w:gridSpan w:val="2"/>
            <w:shd w:val="clear" w:color="auto" w:fill="CCCCCC"/>
          </w:tcPr>
          <w:p>
            <w:pPr>
              <w:jc w:val="right"/>
              <w:ind w:right="92"/>
              <w:spacing w:after="0"/>
              <w:rPr>
                <w:sz w:val="20"/>
                <w:szCs w:val="20"/>
                <w:color w:val="auto"/>
              </w:rPr>
            </w:pPr>
            <w:r>
              <w:rPr>
                <w:rFonts w:ascii="Arial" w:cs="Arial" w:eastAsia="Arial" w:hAnsi="Arial"/>
                <w:sz w:val="18"/>
                <w:szCs w:val="18"/>
                <w:color w:val="auto"/>
              </w:rPr>
              <w:t>9.5  %</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Fixed-income securities</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34-44</w:t>
            </w:r>
          </w:p>
        </w:tc>
        <w:tc>
          <w:tcPr>
            <w:tcW w:w="3000" w:type="dxa"/>
            <w:vAlign w:val="bottom"/>
            <w:gridSpan w:val="2"/>
          </w:tcPr>
          <w:p>
            <w:pPr>
              <w:jc w:val="center"/>
              <w:ind w:left="1852"/>
              <w:spacing w:after="0"/>
              <w:rPr>
                <w:sz w:val="20"/>
                <w:szCs w:val="20"/>
                <w:color w:val="auto"/>
              </w:rPr>
            </w:pPr>
            <w:r>
              <w:rPr>
                <w:rFonts w:ascii="Arial" w:cs="Arial" w:eastAsia="Arial" w:hAnsi="Arial"/>
                <w:sz w:val="18"/>
                <w:szCs w:val="18"/>
                <w:color w:val="auto"/>
                <w:w w:val="87"/>
              </w:rPr>
              <w:t>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CCCC"/>
          </w:tcPr>
          <w:p>
            <w:pPr>
              <w:spacing w:after="0"/>
              <w:rPr>
                <w:sz w:val="20"/>
                <w:szCs w:val="20"/>
                <w:color w:val="auto"/>
              </w:rPr>
            </w:pPr>
            <w:r>
              <w:rPr>
                <w:rFonts w:ascii="Arial" w:cs="Arial" w:eastAsia="Arial" w:hAnsi="Arial"/>
                <w:sz w:val="18"/>
                <w:szCs w:val="18"/>
                <w:color w:val="auto"/>
              </w:rPr>
              <w:t>Alternatives</w:t>
            </w:r>
          </w:p>
        </w:tc>
        <w:tc>
          <w:tcPr>
            <w:tcW w:w="1160" w:type="dxa"/>
            <w:vAlign w:val="bottom"/>
            <w:shd w:val="clear" w:color="auto" w:fill="CCCCCC"/>
          </w:tcPr>
          <w:p>
            <w:pPr>
              <w:jc w:val="right"/>
              <w:ind w:right="292"/>
              <w:spacing w:after="0"/>
              <w:rPr>
                <w:sz w:val="20"/>
                <w:szCs w:val="20"/>
                <w:color w:val="auto"/>
              </w:rPr>
            </w:pPr>
            <w:r>
              <w:rPr>
                <w:rFonts w:ascii="Arial" w:cs="Arial" w:eastAsia="Arial" w:hAnsi="Arial"/>
                <w:sz w:val="18"/>
                <w:szCs w:val="18"/>
                <w:color w:val="auto"/>
              </w:rPr>
              <w:t>14-27</w:t>
            </w:r>
          </w:p>
        </w:tc>
        <w:tc>
          <w:tcPr>
            <w:tcW w:w="3000" w:type="dxa"/>
            <w:vAlign w:val="bottom"/>
            <w:gridSpan w:val="2"/>
            <w:shd w:val="clear" w:color="auto" w:fill="CCCCCC"/>
          </w:tcPr>
          <w:p>
            <w:pPr>
              <w:jc w:val="center"/>
              <w:ind w:left="1852"/>
              <w:spacing w:after="0"/>
              <w:rPr>
                <w:sz w:val="20"/>
                <w:szCs w:val="20"/>
                <w:color w:val="auto"/>
              </w:rPr>
            </w:pPr>
            <w:r>
              <w:rPr>
                <w:rFonts w:ascii="Arial" w:cs="Arial" w:eastAsia="Arial" w:hAnsi="Arial"/>
                <w:sz w:val="18"/>
                <w:szCs w:val="18"/>
                <w:color w:val="auto"/>
                <w:w w:val="87"/>
              </w:rPr>
              <w:t>7.3</w:t>
            </w:r>
          </w:p>
        </w:tc>
        <w:tc>
          <w:tcPr>
            <w:tcW w:w="2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0-10</w:t>
            </w:r>
          </w:p>
        </w:tc>
        <w:tc>
          <w:tcPr>
            <w:tcW w:w="3000" w:type="dxa"/>
            <w:vAlign w:val="bottom"/>
            <w:gridSpan w:val="2"/>
          </w:tcPr>
          <w:p>
            <w:pPr>
              <w:jc w:val="center"/>
              <w:ind w:left="1852"/>
              <w:spacing w:after="0"/>
              <w:rPr>
                <w:sz w:val="20"/>
                <w:szCs w:val="20"/>
                <w:color w:val="auto"/>
              </w:rPr>
            </w:pPr>
            <w:r>
              <w:rPr>
                <w:rFonts w:ascii="Arial" w:cs="Arial" w:eastAsia="Arial" w:hAnsi="Arial"/>
                <w:sz w:val="18"/>
                <w:szCs w:val="18"/>
                <w:color w:val="auto"/>
                <w:w w:val="87"/>
              </w:rPr>
              <w:t>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One-hundred percent of other postretirement plan assets are invested in a deposit administration fund.</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other postretirement plans. A 1% change in the assumed health care trend rate for the Company would have the following additional effects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1980" w:type="dxa"/>
            <w:vAlign w:val="bottom"/>
            <w:gridSpan w:val="3"/>
          </w:tcPr>
          <w:p>
            <w:pPr>
              <w:spacing w:after="0"/>
              <w:rPr>
                <w:sz w:val="20"/>
                <w:szCs w:val="20"/>
                <w:color w:val="auto"/>
              </w:rPr>
            </w:pPr>
            <w:r>
              <w:rPr>
                <w:rFonts w:ascii="Arial" w:cs="Arial" w:eastAsia="Arial" w:hAnsi="Arial"/>
                <w:sz w:val="18"/>
                <w:szCs w:val="18"/>
                <w:b w:val="1"/>
                <w:bCs w:val="1"/>
                <w:color w:val="auto"/>
              </w:rPr>
              <w:t>1% Increase</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1% Decrease</w:t>
            </w:r>
          </w:p>
        </w:tc>
      </w:tr>
      <w:tr>
        <w:trPr>
          <w:trHeight w:val="212"/>
        </w:trPr>
        <w:tc>
          <w:tcPr>
            <w:tcW w:w="836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Effect on total service and interest cost for the year ended December 31, 2015</w:t>
            </w:r>
          </w:p>
        </w:tc>
        <w:tc>
          <w:tcPr>
            <w:tcW w:w="380" w:type="dxa"/>
            <w:vAlign w:val="bottom"/>
            <w:tcBorders>
              <w:top w:val="single" w:sz="8" w:color="auto"/>
            </w:tcBorders>
            <w:shd w:val="clear" w:color="auto" w:fill="CCCCCC"/>
          </w:tcPr>
          <w:p>
            <w:pPr>
              <w:jc w:val="right"/>
              <w:ind w:right="17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13</w:t>
            </w:r>
          </w:p>
        </w:tc>
        <w:tc>
          <w:tcPr>
            <w:tcW w:w="1040" w:type="dxa"/>
            <w:vAlign w:val="bottom"/>
            <w:tcBorders>
              <w:top w:val="single" w:sz="8" w:color="CCCCCC"/>
            </w:tcBorders>
            <w:shd w:val="clear" w:color="auto" w:fill="CCCCCC"/>
          </w:tcPr>
          <w:p>
            <w:pPr>
              <w:spacing w:after="0"/>
              <w:rPr>
                <w:sz w:val="18"/>
                <w:szCs w:val="18"/>
                <w:color w:val="auto"/>
              </w:rPr>
            </w:pPr>
          </w:p>
        </w:tc>
        <w:tc>
          <w:tcPr>
            <w:tcW w:w="360" w:type="dxa"/>
            <w:vAlign w:val="bottom"/>
            <w:tcBorders>
              <w:top w:val="single" w:sz="8" w:color="auto"/>
            </w:tcBorders>
            <w:shd w:val="clear" w:color="auto" w:fill="CCCCCC"/>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CCCC"/>
            </w:tcBorders>
            <w:shd w:val="clear" w:color="auto" w:fill="CCCCCC"/>
          </w:tcPr>
          <w:p>
            <w:pPr>
              <w:spacing w:after="0"/>
              <w:rPr>
                <w:sz w:val="18"/>
                <w:szCs w:val="18"/>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Effect on postretirement benefit obligation at December 31, 2015</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 one percentage point decrease in the weighted average discount rate would increase the postretirement benefit liability by approximately $227 million and increase the estimated 2015 benefits expense by approximately $12 million.</w:t>
      </w:r>
    </w:p>
    <w:p>
      <w:pPr>
        <w:spacing w:after="0" w:line="7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 xml:space="preserve">Fair Value Information. </w:t>
      </w:r>
      <w:r>
        <w:rPr>
          <w:rFonts w:ascii="Arial" w:cs="Arial" w:eastAsia="Arial" w:hAnsi="Arial"/>
          <w:sz w:val="18"/>
          <w:szCs w:val="18"/>
          <w:color w:val="auto"/>
        </w:rPr>
        <w:t>Accounting standards require us to use valuation techniques to measure fair value that maximize the use of observable inputs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use of unobservable inputs. These inputs are prioritized as follows:</w:t>
      </w:r>
    </w:p>
    <w:p>
      <w:pPr>
        <w:spacing w:after="0" w:line="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Unadjusted quoted prices in active markets for assets or liabilities identical to those to be reported at fair value</w:t>
      </w:r>
    </w:p>
    <w:p>
      <w:pPr>
        <w:spacing w:after="0" w:line="15" w:lineRule="exact"/>
        <w:rPr>
          <w:sz w:val="20"/>
          <w:szCs w:val="20"/>
          <w:color w:val="auto"/>
        </w:rPr>
      </w:pPr>
    </w:p>
    <w:p>
      <w:pPr>
        <w:ind w:left="920" w:right="120" w:hanging="917"/>
        <w:spacing w:after="0" w:line="281"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Other inputs that are observable directly or indirectly, such as quoted prices for similar assets or liabilities or market-corroborated inputs Unobservable inputs for which there is little or no market data and which require us to develop our own assumptions about how market participants</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would price the assets or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and liabilities measured at fair value are based on the valuation techniques identified in the tables below. The valuation techniques are as follows:</w:t>
      </w:r>
    </w:p>
    <w:p>
      <w:pPr>
        <w:spacing w:after="0" w:line="140"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Prices and other relevant information generated by market transactions involving identical or comparable assets and liabilities; and</w:t>
      </w:r>
    </w:p>
    <w:p>
      <w:pPr>
        <w:spacing w:after="0" w:line="140" w:lineRule="exact"/>
        <w:rPr>
          <w:rFonts w:ascii="Arial" w:cs="Arial" w:eastAsia="Arial" w:hAnsi="Arial"/>
          <w:sz w:val="16"/>
          <w:szCs w:val="16"/>
          <w:color w:val="auto"/>
        </w:rPr>
      </w:pPr>
    </w:p>
    <w:p>
      <w:pPr>
        <w:ind w:right="220" w:firstLine="8"/>
        <w:spacing w:after="0" w:line="268"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Techniques to convert future amounts to a single current value based on market expectations (including present value techniques, option-pricing and excess earnings models).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United’s pension and other postretirement plan assets at December 31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Pension Plan Assets:</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Level 1</w:t>
            </w:r>
          </w:p>
        </w:tc>
        <w:tc>
          <w:tcPr>
            <w:tcW w:w="4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Level 2</w:t>
            </w: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Level 3</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88"/>
              </w:rPr>
              <w:t>Total</w:t>
            </w:r>
          </w:p>
        </w:tc>
        <w:tc>
          <w:tcPr>
            <w:tcW w:w="440" w:type="dxa"/>
            <w:vAlign w:val="bottom"/>
          </w:tcPr>
          <w:p>
            <w:pPr>
              <w:spacing w:after="0"/>
              <w:rPr>
                <w:sz w:val="19"/>
                <w:szCs w:val="19"/>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5"/>
              </w:rPr>
              <w:t>Level 1</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Level 2</w:t>
            </w:r>
          </w:p>
        </w:tc>
        <w:tc>
          <w:tcPr>
            <w:tcW w:w="4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Level 3</w:t>
            </w:r>
          </w:p>
        </w:tc>
        <w:tc>
          <w:tcPr>
            <w:tcW w:w="100" w:type="dxa"/>
            <w:vAlign w:val="bottom"/>
          </w:tcPr>
          <w:p>
            <w:pPr>
              <w:spacing w:after="0"/>
              <w:rPr>
                <w:sz w:val="19"/>
                <w:szCs w:val="19"/>
                <w:color w:val="auto"/>
              </w:rPr>
            </w:pPr>
          </w:p>
        </w:tc>
      </w:tr>
      <w:tr>
        <w:trPr>
          <w:trHeight w:val="211"/>
        </w:trPr>
        <w:tc>
          <w:tcPr>
            <w:tcW w:w="3160" w:type="dxa"/>
            <w:vAlign w:val="bottom"/>
            <w:tcBorders>
              <w:top w:val="single" w:sz="8" w:color="CCCCCC"/>
            </w:tcBorders>
            <w:shd w:val="clear" w:color="auto" w:fill="CCCCCC"/>
          </w:tcPr>
          <w:p>
            <w:pPr>
              <w:spacing w:after="0" w:line="204" w:lineRule="exact"/>
              <w:rPr>
                <w:sz w:val="20"/>
                <w:szCs w:val="20"/>
                <w:color w:val="auto"/>
              </w:rPr>
            </w:pPr>
            <w:r>
              <w:rPr>
                <w:rFonts w:ascii="Arial" w:cs="Arial" w:eastAsia="Arial" w:hAnsi="Arial"/>
                <w:sz w:val="18"/>
                <w:szCs w:val="18"/>
                <w:color w:val="auto"/>
              </w:rPr>
              <w:t>Equity securities funds</w:t>
            </w: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84"/>
              </w:rPr>
              <w:t>1,135</w:t>
            </w:r>
          </w:p>
        </w:tc>
        <w:tc>
          <w:tcPr>
            <w:tcW w:w="44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254</w:t>
            </w:r>
          </w:p>
        </w:tc>
        <w:tc>
          <w:tcPr>
            <w:tcW w:w="42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881</w:t>
            </w:r>
          </w:p>
        </w:tc>
        <w:tc>
          <w:tcPr>
            <w:tcW w:w="44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CCCC"/>
              <w:right w:val="single" w:sz="8" w:color="auto"/>
            </w:tcBorders>
            <w:shd w:val="clear" w:color="auto" w:fill="CCCCCC"/>
          </w:tcPr>
          <w:p>
            <w:pPr>
              <w:spacing w:after="0"/>
              <w:rPr>
                <w:sz w:val="18"/>
                <w:szCs w:val="18"/>
                <w:color w:val="auto"/>
              </w:rPr>
            </w:pPr>
          </w:p>
        </w:tc>
        <w:tc>
          <w:tcPr>
            <w:tcW w:w="32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1,181</w:t>
            </w:r>
          </w:p>
        </w:tc>
        <w:tc>
          <w:tcPr>
            <w:tcW w:w="44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388</w:t>
            </w:r>
          </w:p>
        </w:tc>
        <w:tc>
          <w:tcPr>
            <w:tcW w:w="440" w:type="dxa"/>
            <w:vAlign w:val="bottom"/>
            <w:tcBorders>
              <w:top w:val="single" w:sz="8" w:color="CCCCCC"/>
            </w:tcBorders>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793</w:t>
            </w:r>
          </w:p>
        </w:tc>
        <w:tc>
          <w:tcPr>
            <w:tcW w:w="44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Fixed-income securities</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1,109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1,100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CCCC"/>
          </w:tcPr>
          <w:p>
            <w:pPr>
              <w:spacing w:after="0"/>
              <w:rPr>
                <w:sz w:val="20"/>
                <w:szCs w:val="20"/>
                <w:color w:val="auto"/>
              </w:rPr>
            </w:pPr>
            <w:r>
              <w:rPr>
                <w:rFonts w:ascii="Arial" w:cs="Arial" w:eastAsia="Arial" w:hAnsi="Arial"/>
                <w:sz w:val="18"/>
                <w:szCs w:val="18"/>
                <w:color w:val="auto"/>
              </w:rPr>
              <w:t>Alternatives</w:t>
            </w: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527</w:t>
            </w:r>
          </w:p>
        </w:tc>
        <w:tc>
          <w:tcPr>
            <w:tcW w:w="44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3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3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260</w:t>
            </w:r>
          </w:p>
        </w:tc>
        <w:tc>
          <w:tcPr>
            <w:tcW w:w="540" w:type="dxa"/>
            <w:vAlign w:val="bottom"/>
            <w:tcBorders>
              <w:right w:val="single" w:sz="8" w:color="auto"/>
            </w:tcBorders>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359</w:t>
            </w:r>
          </w:p>
        </w:tc>
        <w:tc>
          <w:tcPr>
            <w:tcW w:w="44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800" w:type="dxa"/>
            <w:vAlign w:val="bottom"/>
            <w:gridSpan w:val="2"/>
            <w:shd w:val="clear" w:color="auto" w:fill="CCCCCC"/>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148</w:t>
            </w:r>
          </w:p>
        </w:tc>
        <w:tc>
          <w:tcPr>
            <w:tcW w:w="44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3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shd w:val="clear" w:color="auto" w:fill="CCCCC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Insurance contract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3160" w:type="dxa"/>
            <w:vAlign w:val="bottom"/>
            <w:shd w:val="clear" w:color="auto" w:fill="CCCCCC"/>
          </w:tcPr>
          <w:p>
            <w:pPr>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CCCCC"/>
          </w:tcPr>
          <w:p>
            <w:pPr>
              <w:spacing w:after="0"/>
              <w:rPr>
                <w:sz w:val="18"/>
                <w:szCs w:val="18"/>
                <w:color w:val="auto"/>
              </w:rPr>
            </w:pPr>
          </w:p>
        </w:tc>
        <w:tc>
          <w:tcPr>
            <w:tcW w:w="200" w:type="dxa"/>
            <w:vAlign w:val="bottom"/>
            <w:tcBorders>
              <w:bottom w:val="single" w:sz="8" w:color="auto"/>
            </w:tcBorders>
            <w:shd w:val="clear" w:color="auto" w:fill="CCCCCC"/>
          </w:tcPr>
          <w:p>
            <w:pPr>
              <w:spacing w:after="0"/>
              <w:rPr>
                <w:sz w:val="18"/>
                <w:szCs w:val="18"/>
                <w:color w:val="auto"/>
              </w:rPr>
            </w:pPr>
          </w:p>
        </w:tc>
        <w:tc>
          <w:tcPr>
            <w:tcW w:w="3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CCCC"/>
          </w:tcPr>
          <w:p>
            <w:pPr>
              <w:spacing w:after="0"/>
              <w:rPr>
                <w:sz w:val="18"/>
                <w:szCs w:val="18"/>
                <w:color w:val="auto"/>
              </w:rPr>
            </w:pPr>
          </w:p>
        </w:tc>
        <w:tc>
          <w:tcPr>
            <w:tcW w:w="180" w:type="dxa"/>
            <w:vAlign w:val="bottom"/>
            <w:tcBorders>
              <w:bottom w:val="single" w:sz="8" w:color="auto"/>
            </w:tcBorders>
            <w:shd w:val="clear" w:color="auto" w:fill="CCCCCC"/>
          </w:tcPr>
          <w:p>
            <w:pPr>
              <w:spacing w:after="0"/>
              <w:rPr>
                <w:sz w:val="18"/>
                <w:szCs w:val="18"/>
                <w:color w:val="auto"/>
              </w:rPr>
            </w:pPr>
          </w:p>
        </w:tc>
        <w:tc>
          <w:tcPr>
            <w:tcW w:w="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16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CCCC"/>
          </w:tcPr>
          <w:p>
            <w:pPr>
              <w:spacing w:after="0"/>
              <w:rPr>
                <w:sz w:val="18"/>
                <w:szCs w:val="18"/>
                <w:color w:val="auto"/>
              </w:rPr>
            </w:pPr>
          </w:p>
        </w:tc>
        <w:tc>
          <w:tcPr>
            <w:tcW w:w="180" w:type="dxa"/>
            <w:vAlign w:val="bottom"/>
            <w:tcBorders>
              <w:bottom w:val="single" w:sz="8" w:color="auto"/>
            </w:tcBorders>
            <w:shd w:val="clear" w:color="auto" w:fill="CCCCCC"/>
          </w:tcPr>
          <w:p>
            <w:pPr>
              <w:spacing w:after="0"/>
              <w:rPr>
                <w:sz w:val="18"/>
                <w:szCs w:val="18"/>
                <w:color w:val="auto"/>
              </w:rPr>
            </w:pPr>
          </w:p>
        </w:tc>
        <w:tc>
          <w:tcPr>
            <w:tcW w:w="3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CCCC"/>
          </w:tcPr>
          <w:p>
            <w:pPr>
              <w:spacing w:after="0"/>
              <w:rPr>
                <w:sz w:val="18"/>
                <w:szCs w:val="18"/>
                <w:color w:val="auto"/>
              </w:rPr>
            </w:pPr>
          </w:p>
        </w:tc>
        <w:tc>
          <w:tcPr>
            <w:tcW w:w="180" w:type="dxa"/>
            <w:vAlign w:val="bottom"/>
            <w:tcBorders>
              <w:bottom w:val="single" w:sz="8" w:color="auto"/>
            </w:tcBorders>
            <w:shd w:val="clear" w:color="auto" w:fill="CCCCCC"/>
          </w:tcPr>
          <w:p>
            <w:pPr>
              <w:spacing w:after="0"/>
              <w:rPr>
                <w:sz w:val="18"/>
                <w:szCs w:val="18"/>
                <w:color w:val="auto"/>
              </w:rPr>
            </w:pPr>
          </w:p>
        </w:tc>
        <w:tc>
          <w:tcPr>
            <w:tcW w:w="3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CCCC"/>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2,975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291</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2,397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287</w:t>
            </w:r>
          </w:p>
        </w:tc>
        <w:tc>
          <w:tcPr>
            <w:tcW w:w="540" w:type="dxa"/>
            <w:vAlign w:val="bottom"/>
            <w:tcBorders>
              <w:right w:val="single" w:sz="8" w:color="auto"/>
            </w:tcBorders>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388</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1,919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255</w:t>
            </w:r>
          </w:p>
        </w:tc>
        <w:tc>
          <w:tcPr>
            <w:tcW w:w="10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160" w:type="dxa"/>
            <w:vAlign w:val="bottom"/>
            <w:shd w:val="clear" w:color="auto" w:fill="CCCCCC"/>
          </w:tcPr>
          <w:p>
            <w:pPr>
              <w:spacing w:after="0" w:line="203" w:lineRule="exact"/>
              <w:rPr>
                <w:sz w:val="20"/>
                <w:szCs w:val="20"/>
                <w:color w:val="auto"/>
              </w:rPr>
            </w:pPr>
            <w:r>
              <w:rPr>
                <w:rFonts w:ascii="Arial" w:cs="Arial" w:eastAsia="Arial" w:hAnsi="Arial"/>
                <w:sz w:val="18"/>
                <w:szCs w:val="18"/>
                <w:color w:val="auto"/>
              </w:rPr>
              <w:t>Other Postretirement Benefit Plan</w:t>
            </w:r>
          </w:p>
        </w:tc>
        <w:tc>
          <w:tcPr>
            <w:tcW w:w="14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42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380" w:type="dxa"/>
            <w:vAlign w:val="bottom"/>
            <w:shd w:val="clear" w:color="auto" w:fill="CCCCCC"/>
          </w:tcPr>
          <w:p>
            <w:pPr>
              <w:spacing w:after="0"/>
              <w:rPr>
                <w:sz w:val="17"/>
                <w:szCs w:val="17"/>
                <w:color w:val="auto"/>
              </w:rPr>
            </w:pPr>
          </w:p>
        </w:tc>
        <w:tc>
          <w:tcPr>
            <w:tcW w:w="540" w:type="dxa"/>
            <w:vAlign w:val="bottom"/>
            <w:tcBorders>
              <w:right w:val="single" w:sz="8" w:color="auto"/>
            </w:tcBorders>
            <w:shd w:val="clear" w:color="auto" w:fill="CCCCCC"/>
          </w:tcPr>
          <w:p>
            <w:pPr>
              <w:spacing w:after="0"/>
              <w:rPr>
                <w:sz w:val="17"/>
                <w:szCs w:val="17"/>
                <w:color w:val="auto"/>
              </w:rPr>
            </w:pPr>
          </w:p>
        </w:tc>
        <w:tc>
          <w:tcPr>
            <w:tcW w:w="320" w:type="dxa"/>
            <w:vAlign w:val="bottom"/>
            <w:shd w:val="clear" w:color="auto" w:fill="CCCCCC"/>
          </w:tcPr>
          <w:p>
            <w:pPr>
              <w:spacing w:after="0"/>
              <w:rPr>
                <w:sz w:val="17"/>
                <w:szCs w:val="17"/>
                <w:color w:val="auto"/>
              </w:rPr>
            </w:pPr>
          </w:p>
        </w:tc>
        <w:tc>
          <w:tcPr>
            <w:tcW w:w="160" w:type="dxa"/>
            <w:vAlign w:val="bottom"/>
            <w:shd w:val="clear" w:color="auto" w:fill="CCCCCC"/>
          </w:tcPr>
          <w:p>
            <w:pPr>
              <w:spacing w:after="0"/>
              <w:rPr>
                <w:sz w:val="17"/>
                <w:szCs w:val="17"/>
                <w:color w:val="auto"/>
              </w:rPr>
            </w:pPr>
          </w:p>
        </w:tc>
        <w:tc>
          <w:tcPr>
            <w:tcW w:w="58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440" w:type="dxa"/>
            <w:vAlign w:val="bottom"/>
            <w:shd w:val="clear" w:color="auto" w:fill="CCCCCC"/>
          </w:tcPr>
          <w:p>
            <w:pPr>
              <w:spacing w:after="0"/>
              <w:rPr>
                <w:sz w:val="17"/>
                <w:szCs w:val="17"/>
                <w:color w:val="auto"/>
              </w:rPr>
            </w:pPr>
          </w:p>
        </w:tc>
        <w:tc>
          <w:tcPr>
            <w:tcW w:w="180" w:type="dxa"/>
            <w:vAlign w:val="bottom"/>
            <w:shd w:val="clear" w:color="auto" w:fill="CCCCCC"/>
          </w:tcPr>
          <w:p>
            <w:pPr>
              <w:spacing w:after="0"/>
              <w:rPr>
                <w:sz w:val="17"/>
                <w:szCs w:val="17"/>
                <w:color w:val="auto"/>
              </w:rPr>
            </w:pPr>
          </w:p>
        </w:tc>
        <w:tc>
          <w:tcPr>
            <w:tcW w:w="360" w:type="dxa"/>
            <w:vAlign w:val="bottom"/>
            <w:shd w:val="clear" w:color="auto" w:fill="CCCCCC"/>
          </w:tcPr>
          <w:p>
            <w:pPr>
              <w:spacing w:after="0"/>
              <w:rPr>
                <w:sz w:val="17"/>
                <w:szCs w:val="17"/>
                <w:color w:val="auto"/>
              </w:rPr>
            </w:pPr>
          </w:p>
        </w:tc>
        <w:tc>
          <w:tcPr>
            <w:tcW w:w="100" w:type="dxa"/>
            <w:vAlign w:val="bottom"/>
            <w:shd w:val="clear" w:color="auto" w:fill="CCCCCC"/>
          </w:tcPr>
          <w:p>
            <w:pPr>
              <w:spacing w:after="0"/>
              <w:rPr>
                <w:sz w:val="17"/>
                <w:szCs w:val="17"/>
                <w:color w:val="auto"/>
              </w:rPr>
            </w:pPr>
          </w:p>
        </w:tc>
      </w:tr>
      <w:tr>
        <w:trPr>
          <w:trHeight w:val="224"/>
        </w:trPr>
        <w:tc>
          <w:tcPr>
            <w:tcW w:w="3160" w:type="dxa"/>
            <w:vAlign w:val="bottom"/>
            <w:shd w:val="clear" w:color="auto" w:fill="CCCCCC"/>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200" w:type="dxa"/>
            <w:vAlign w:val="bottom"/>
            <w:shd w:val="clear" w:color="auto" w:fill="CCCCCC"/>
          </w:tcPr>
          <w:p>
            <w:pPr>
              <w:spacing w:after="0"/>
              <w:rPr>
                <w:sz w:val="19"/>
                <w:szCs w:val="19"/>
                <w:color w:val="auto"/>
              </w:rPr>
            </w:pPr>
          </w:p>
        </w:tc>
        <w:tc>
          <w:tcPr>
            <w:tcW w:w="360" w:type="dxa"/>
            <w:vAlign w:val="bottom"/>
            <w:shd w:val="clear" w:color="auto" w:fill="CCCCCC"/>
          </w:tcPr>
          <w:p>
            <w:pPr>
              <w:spacing w:after="0"/>
              <w:rPr>
                <w:sz w:val="19"/>
                <w:szCs w:val="19"/>
                <w:color w:val="auto"/>
              </w:rPr>
            </w:pPr>
          </w:p>
        </w:tc>
        <w:tc>
          <w:tcPr>
            <w:tcW w:w="420" w:type="dxa"/>
            <w:vAlign w:val="bottom"/>
            <w:shd w:val="clear" w:color="auto" w:fill="CCCCCC"/>
          </w:tcPr>
          <w:p>
            <w:pPr>
              <w:spacing w:after="0"/>
              <w:rPr>
                <w:sz w:val="19"/>
                <w:szCs w:val="19"/>
                <w:color w:val="auto"/>
              </w:rPr>
            </w:pPr>
          </w:p>
        </w:tc>
        <w:tc>
          <w:tcPr>
            <w:tcW w:w="14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80" w:type="dxa"/>
            <w:vAlign w:val="bottom"/>
            <w:shd w:val="clear" w:color="auto" w:fill="CCCCCC"/>
          </w:tcPr>
          <w:p>
            <w:pPr>
              <w:spacing w:after="0"/>
              <w:rPr>
                <w:sz w:val="19"/>
                <w:szCs w:val="19"/>
                <w:color w:val="auto"/>
              </w:rPr>
            </w:pPr>
          </w:p>
        </w:tc>
        <w:tc>
          <w:tcPr>
            <w:tcW w:w="540" w:type="dxa"/>
            <w:vAlign w:val="bottom"/>
            <w:tcBorders>
              <w:right w:val="single" w:sz="8" w:color="auto"/>
            </w:tcBorders>
            <w:shd w:val="clear" w:color="auto" w:fill="CCCCCC"/>
          </w:tcPr>
          <w:p>
            <w:pPr>
              <w:spacing w:after="0"/>
              <w:rPr>
                <w:sz w:val="19"/>
                <w:szCs w:val="19"/>
                <w:color w:val="auto"/>
              </w:rPr>
            </w:pPr>
          </w:p>
        </w:tc>
        <w:tc>
          <w:tcPr>
            <w:tcW w:w="320" w:type="dxa"/>
            <w:vAlign w:val="bottom"/>
            <w:shd w:val="clear" w:color="auto" w:fill="CCCCCC"/>
          </w:tcPr>
          <w:p>
            <w:pPr>
              <w:spacing w:after="0"/>
              <w:rPr>
                <w:sz w:val="19"/>
                <w:szCs w:val="19"/>
                <w:color w:val="auto"/>
              </w:rPr>
            </w:pPr>
          </w:p>
        </w:tc>
        <w:tc>
          <w:tcPr>
            <w:tcW w:w="160" w:type="dxa"/>
            <w:vAlign w:val="bottom"/>
            <w:shd w:val="clear" w:color="auto" w:fill="CCCCCC"/>
          </w:tcPr>
          <w:p>
            <w:pPr>
              <w:spacing w:after="0"/>
              <w:rPr>
                <w:sz w:val="19"/>
                <w:szCs w:val="19"/>
                <w:color w:val="auto"/>
              </w:rPr>
            </w:pPr>
          </w:p>
        </w:tc>
        <w:tc>
          <w:tcPr>
            <w:tcW w:w="58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6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14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440" w:type="dxa"/>
            <w:vAlign w:val="bottom"/>
            <w:shd w:val="clear" w:color="auto" w:fill="CCCCCC"/>
          </w:tcPr>
          <w:p>
            <w:pPr>
              <w:spacing w:after="0"/>
              <w:rPr>
                <w:sz w:val="19"/>
                <w:szCs w:val="19"/>
                <w:color w:val="auto"/>
              </w:rPr>
            </w:pPr>
          </w:p>
        </w:tc>
        <w:tc>
          <w:tcPr>
            <w:tcW w:w="180" w:type="dxa"/>
            <w:vAlign w:val="bottom"/>
            <w:shd w:val="clear" w:color="auto" w:fill="CCCCCC"/>
          </w:tcPr>
          <w:p>
            <w:pPr>
              <w:spacing w:after="0"/>
              <w:rPr>
                <w:sz w:val="19"/>
                <w:szCs w:val="19"/>
                <w:color w:val="auto"/>
              </w:rPr>
            </w:pPr>
          </w:p>
        </w:tc>
        <w:tc>
          <w:tcPr>
            <w:tcW w:w="36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Deposit administration fund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tcBorders>
              <w:right w:val="single" w:sz="8" w:color="auto"/>
            </w:tcBorders>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Equity and Fixed-Income. </w:t>
      </w:r>
      <w:r>
        <w:rPr>
          <w:rFonts w:ascii="Arial" w:cs="Arial" w:eastAsia="Arial" w:hAnsi="Arial"/>
          <w:sz w:val="16"/>
          <w:szCs w:val="16"/>
          <w:color w:val="auto"/>
        </w:rPr>
        <w:t>Equities include investments in both developed market and emerging market equity securities. Fixed-income includes primarily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non-U.S. government fixed-income securities and U.S. and non-U.S corporate fixed-income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Insurance Contract and Deposit Administration Fund. </w:t>
      </w:r>
      <w:r>
        <w:rPr>
          <w:rFonts w:ascii="Arial" w:cs="Arial" w:eastAsia="Arial" w:hAnsi="Arial"/>
          <w:sz w:val="16"/>
          <w:szCs w:val="16"/>
          <w:color w:val="auto"/>
        </w:rPr>
        <w:t>Each of these investments are stable value investment products structured to provide investment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Alternatives. </w:t>
      </w:r>
      <w:r>
        <w:rPr>
          <w:rFonts w:ascii="Arial" w:cs="Arial" w:eastAsia="Arial" w:hAnsi="Arial"/>
          <w:sz w:val="18"/>
          <w:szCs w:val="18"/>
          <w:color w:val="auto"/>
        </w:rPr>
        <w:t>Alternative investments consist primarily of investments in hedge funds, real estate and private equity interests.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consist of cash and other funds.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United’s defined benefit plan assets measured at fair value using unobservable inputs (Level 3) for the years ended December 31, 2015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 is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80" w:type="dxa"/>
            <w:vAlign w:val="bottom"/>
          </w:tcPr>
          <w:p>
            <w:pPr>
              <w:spacing w:after="0"/>
              <w:rPr>
                <w:sz w:val="19"/>
                <w:szCs w:val="19"/>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12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2"/>
        </w:trPr>
        <w:tc>
          <w:tcPr>
            <w:tcW w:w="948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Balance at beginning of year</w:t>
            </w:r>
          </w:p>
        </w:tc>
        <w:tc>
          <w:tcPr>
            <w:tcW w:w="2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3"/>
              </w:rPr>
              <w:t>312</w:t>
            </w:r>
          </w:p>
        </w:tc>
        <w:tc>
          <w:tcPr>
            <w:tcW w:w="640" w:type="dxa"/>
            <w:vAlign w:val="bottom"/>
            <w:tcBorders>
              <w:top w:val="single" w:sz="8" w:color="CCCCCC"/>
            </w:tcBorders>
            <w:shd w:val="clear" w:color="auto" w:fill="CCCCCC"/>
          </w:tcPr>
          <w:p>
            <w:pPr>
              <w:spacing w:after="0"/>
              <w:rPr>
                <w:sz w:val="18"/>
                <w:szCs w:val="18"/>
                <w:color w:val="auto"/>
              </w:rPr>
            </w:pPr>
          </w:p>
        </w:tc>
        <w:tc>
          <w:tcPr>
            <w:tcW w:w="220" w:type="dxa"/>
            <w:vAlign w:val="bottom"/>
            <w:tcBorders>
              <w:top w:val="single" w:sz="8" w:color="auto"/>
            </w:tcBorders>
            <w:shd w:val="clear" w:color="auto" w:fill="CCCCCC"/>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293</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shd w:val="clear" w:color="auto" w:fill="CCCCCC"/>
          </w:tcPr>
          <w:p>
            <w:pPr>
              <w:ind w:left="440"/>
              <w:spacing w:after="0"/>
              <w:rPr>
                <w:sz w:val="20"/>
                <w:szCs w:val="20"/>
                <w:color w:val="auto"/>
              </w:rPr>
            </w:pPr>
            <w:r>
              <w:rPr>
                <w:rFonts w:ascii="Arial" w:cs="Arial" w:eastAsia="Arial" w:hAnsi="Arial"/>
                <w:sz w:val="18"/>
                <w:szCs w:val="18"/>
                <w:color w:val="auto"/>
              </w:rPr>
              <w:t>Sold during the year</w:t>
            </w:r>
          </w:p>
        </w:tc>
        <w:tc>
          <w:tcPr>
            <w:tcW w:w="240" w:type="dxa"/>
            <w:vAlign w:val="bottom"/>
            <w:shd w:val="clear" w:color="auto" w:fill="CCCCCC"/>
          </w:tcPr>
          <w:p>
            <w:pPr>
              <w:spacing w:after="0"/>
              <w:rPr>
                <w:sz w:val="18"/>
                <w:szCs w:val="18"/>
                <w:color w:val="auto"/>
              </w:rPr>
            </w:pPr>
          </w:p>
        </w:tc>
        <w:tc>
          <w:tcPr>
            <w:tcW w:w="3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4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CCCC"/>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Held at year end</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9480" w:type="dxa"/>
            <w:vAlign w:val="bottom"/>
            <w:shd w:val="clear" w:color="auto" w:fill="CCCCCC"/>
          </w:tcPr>
          <w:p>
            <w:pPr>
              <w:ind w:left="220"/>
              <w:spacing w:after="0"/>
              <w:rPr>
                <w:sz w:val="20"/>
                <w:szCs w:val="20"/>
                <w:color w:val="auto"/>
              </w:rPr>
            </w:pPr>
            <w:r>
              <w:rPr>
                <w:rFonts w:ascii="Arial" w:cs="Arial" w:eastAsia="Arial" w:hAnsi="Arial"/>
                <w:sz w:val="18"/>
                <w:szCs w:val="18"/>
                <w:color w:val="auto"/>
              </w:rPr>
              <w:t>Purchases, sales, issuances and settlements (net)</w:t>
            </w:r>
          </w:p>
        </w:tc>
        <w:tc>
          <w:tcPr>
            <w:tcW w:w="240" w:type="dxa"/>
            <w:vAlign w:val="bottom"/>
            <w:tcBorders>
              <w:bottom w:val="single" w:sz="8" w:color="auto"/>
            </w:tcBorders>
            <w:shd w:val="clear" w:color="auto" w:fill="CCCCCC"/>
          </w:tcPr>
          <w:p>
            <w:pPr>
              <w:spacing w:after="0"/>
              <w:rPr>
                <w:sz w:val="18"/>
                <w:szCs w:val="18"/>
                <w:color w:val="auto"/>
              </w:rPr>
            </w:pPr>
          </w:p>
        </w:tc>
        <w:tc>
          <w:tcPr>
            <w:tcW w:w="3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CCCC"/>
          </w:tcPr>
          <w:p>
            <w:pPr>
              <w:spacing w:after="0"/>
              <w:rPr>
                <w:sz w:val="18"/>
                <w:szCs w:val="18"/>
                <w:color w:val="auto"/>
              </w:rPr>
            </w:pPr>
          </w:p>
        </w:tc>
        <w:tc>
          <w:tcPr>
            <w:tcW w:w="220" w:type="dxa"/>
            <w:vAlign w:val="bottom"/>
            <w:tcBorders>
              <w:bottom w:val="single" w:sz="8" w:color="auto"/>
            </w:tcBorders>
            <w:shd w:val="clear" w:color="auto" w:fill="CCCCCC"/>
          </w:tcPr>
          <w:p>
            <w:pPr>
              <w:spacing w:after="0"/>
              <w:rPr>
                <w:sz w:val="18"/>
                <w:szCs w:val="18"/>
                <w:color w:val="auto"/>
              </w:rPr>
            </w:pPr>
          </w:p>
        </w:tc>
        <w:tc>
          <w:tcPr>
            <w:tcW w:w="4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CCCC"/>
          </w:tcPr>
          <w:p>
            <w:pPr>
              <w:spacing w:after="0"/>
              <w:rPr>
                <w:sz w:val="18"/>
                <w:szCs w:val="18"/>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343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312</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Funding requirements for tax-qualified defined benefit pension plans are determined by government regulations. United’s contributions reflected above have satisfied its required contributions through the 2015 calendar year. In 2016, employer anticipated contributions to all of United’s pension and postretirement plans are at least $400 million and approximately $120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estimated future benefit payments, net of expected participant contributions, in United’s pension plans and other postretirement benefit plans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06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Other Postretirement—</w:t>
            </w:r>
          </w:p>
        </w:tc>
      </w:tr>
      <w:tr>
        <w:trPr>
          <w:trHeight w:val="228"/>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b w:val="1"/>
                <w:bCs w:val="1"/>
                <w:color w:val="auto"/>
              </w:rPr>
              <w:t>Pension</w:t>
            </w:r>
          </w:p>
        </w:tc>
        <w:tc>
          <w:tcPr>
            <w:tcW w:w="250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w w:val="97"/>
              </w:rPr>
              <w:t>Postretirement</w:t>
            </w:r>
          </w:p>
        </w:tc>
        <w:tc>
          <w:tcPr>
            <w:tcW w:w="28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subsidy receipts</w:t>
            </w:r>
          </w:p>
        </w:tc>
      </w:tr>
      <w:tr>
        <w:trPr>
          <w:trHeight w:val="212"/>
        </w:trPr>
        <w:tc>
          <w:tcPr>
            <w:tcW w:w="460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282</w:t>
            </w:r>
          </w:p>
        </w:tc>
        <w:tc>
          <w:tcPr>
            <w:tcW w:w="1140" w:type="dxa"/>
            <w:vAlign w:val="bottom"/>
            <w:tcBorders>
              <w:top w:val="single" w:sz="8" w:color="CCCCCC"/>
            </w:tcBorders>
            <w:shd w:val="clear" w:color="auto" w:fill="CCCCCC"/>
          </w:tcPr>
          <w:p>
            <w:pPr>
              <w:spacing w:after="0"/>
              <w:rPr>
                <w:sz w:val="18"/>
                <w:szCs w:val="18"/>
                <w:color w:val="auto"/>
              </w:rPr>
            </w:pPr>
          </w:p>
        </w:tc>
        <w:tc>
          <w:tcPr>
            <w:tcW w:w="320" w:type="dxa"/>
            <w:vAlign w:val="bottom"/>
            <w:tcBorders>
              <w:top w:val="single" w:sz="8" w:color="auto"/>
            </w:tcBorders>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125</w:t>
            </w:r>
          </w:p>
        </w:tc>
        <w:tc>
          <w:tcPr>
            <w:tcW w:w="1160" w:type="dxa"/>
            <w:vAlign w:val="bottom"/>
            <w:tcBorders>
              <w:top w:val="single" w:sz="8" w:color="CCCCCC"/>
            </w:tcBorders>
            <w:shd w:val="clear" w:color="auto" w:fill="CCCCCC"/>
          </w:tcPr>
          <w:p>
            <w:pPr>
              <w:spacing w:after="0"/>
              <w:rPr>
                <w:sz w:val="18"/>
                <w:szCs w:val="18"/>
                <w:color w:val="auto"/>
              </w:rPr>
            </w:pPr>
          </w:p>
        </w:tc>
        <w:tc>
          <w:tcPr>
            <w:tcW w:w="280" w:type="dxa"/>
            <w:vAlign w:val="bottom"/>
            <w:tcBorders>
              <w:top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4600" w:type="dxa"/>
            <w:vAlign w:val="bottom"/>
            <w:shd w:val="clear" w:color="auto" w:fill="CCCCCC"/>
          </w:tcPr>
          <w:p>
            <w:pPr>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CCCC"/>
          </w:tcPr>
          <w:p>
            <w:pPr>
              <w:spacing w:after="0"/>
              <w:rPr>
                <w:sz w:val="18"/>
                <w:szCs w:val="18"/>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286</w:t>
            </w:r>
          </w:p>
        </w:tc>
        <w:tc>
          <w:tcPr>
            <w:tcW w:w="114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131</w:t>
            </w:r>
          </w:p>
        </w:tc>
        <w:tc>
          <w:tcPr>
            <w:tcW w:w="116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1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CCC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4600" w:type="dxa"/>
            <w:vAlign w:val="bottom"/>
            <w:shd w:val="clear" w:color="auto" w:fill="CCCCCC"/>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CCCC"/>
          </w:tcPr>
          <w:p>
            <w:pPr>
              <w:spacing w:after="0"/>
              <w:rPr>
                <w:sz w:val="18"/>
                <w:szCs w:val="18"/>
                <w:color w:val="auto"/>
              </w:rPr>
            </w:pPr>
          </w:p>
        </w:tc>
        <w:tc>
          <w:tcPr>
            <w:tcW w:w="9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293</w:t>
            </w:r>
          </w:p>
        </w:tc>
        <w:tc>
          <w:tcPr>
            <w:tcW w:w="114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10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140</w:t>
            </w:r>
          </w:p>
        </w:tc>
        <w:tc>
          <w:tcPr>
            <w:tcW w:w="116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1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CCCC"/>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Years 2021 – 2025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2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Depending upon the employee group, employer contributions consist of matching contributions and/or non-elective employer contributions. United’s employer contribution percentages vary from 1% to 16% of eligible earnings depending on the terms of each plan. United recorded contributions to its defined contribution plans of $522 million, $503 million and $433 million in the years ended December 31, 2015, 2014 and 2013,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Plans</w:t>
      </w:r>
    </w:p>
    <w:p>
      <w:pPr>
        <w:spacing w:after="0" w:line="12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United’s participation in the IAM National Pension Plan (“IAM Plan”) for the annual period ended December 31, 2015 is outlined in the table below. There have been no significant changes that affect the comparability 2015 and 2014 contributions. The risks of participating in these multi-employer plans are different from single-employer plans, as United may be subject to additional risks that others do not meet their obligations, which in certain circumstances could revert to United. The IAM Plan reported $382 million in employers’ contributions for the year ended December 31, 2014. For 2014, the Company’s contributions to the IAM Plan represented more than 5% of total contributions to the IAM Plan.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CCCC"/>
          </w:tcPr>
          <w:p>
            <w:pPr>
              <w:spacing w:after="0"/>
              <w:rPr>
                <w:sz w:val="20"/>
                <w:szCs w:val="20"/>
                <w:color w:val="auto"/>
              </w:rPr>
            </w:pPr>
            <w:r>
              <w:rPr>
                <w:rFonts w:ascii="Arial" w:cs="Arial" w:eastAsia="Arial" w:hAnsi="Arial"/>
                <w:sz w:val="18"/>
                <w:szCs w:val="18"/>
                <w:color w:val="auto"/>
              </w:rPr>
              <w:t>Pension Fund</w:t>
            </w:r>
          </w:p>
        </w:tc>
        <w:tc>
          <w:tcPr>
            <w:tcW w:w="6520" w:type="dxa"/>
            <w:vAlign w:val="bottom"/>
            <w:shd w:val="clear" w:color="auto" w:fill="CCCCCC"/>
          </w:tcPr>
          <w:p>
            <w:pPr>
              <w:ind w:left="1160"/>
              <w:spacing w:after="0"/>
              <w:rPr>
                <w:sz w:val="20"/>
                <w:szCs w:val="20"/>
                <w:color w:val="auto"/>
              </w:rPr>
            </w:pPr>
            <w:r>
              <w:rPr>
                <w:rFonts w:ascii="Arial" w:cs="Arial" w:eastAsia="Arial" w:hAnsi="Arial"/>
                <w:sz w:val="18"/>
                <w:szCs w:val="18"/>
                <w:color w:val="auto"/>
              </w:rPr>
              <w:t>IAM National Pension Fund</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EIN/ Pension Plan Number</w:t>
            </w:r>
          </w:p>
        </w:tc>
        <w:tc>
          <w:tcPr>
            <w:tcW w:w="6520" w:type="dxa"/>
            <w:vAlign w:val="bottom"/>
          </w:tcPr>
          <w:p>
            <w:pPr>
              <w:ind w:left="1160"/>
              <w:spacing w:after="0"/>
              <w:rPr>
                <w:sz w:val="20"/>
                <w:szCs w:val="20"/>
                <w:color w:val="auto"/>
              </w:rPr>
            </w:pPr>
            <w:r>
              <w:rPr>
                <w:rFonts w:ascii="Arial" w:cs="Arial" w:eastAsia="Arial" w:hAnsi="Arial"/>
                <w:sz w:val="18"/>
                <w:szCs w:val="18"/>
                <w:color w:val="auto"/>
              </w:rPr>
              <w:t>51-6031295 - 002</w:t>
            </w:r>
          </w:p>
        </w:tc>
      </w:tr>
      <w:tr>
        <w:trPr>
          <w:trHeight w:val="216"/>
        </w:trPr>
        <w:tc>
          <w:tcPr>
            <w:tcW w:w="4900" w:type="dxa"/>
            <w:vAlign w:val="bottom"/>
            <w:shd w:val="clear" w:color="auto" w:fill="CCCCCC"/>
          </w:tcPr>
          <w:p>
            <w:pPr>
              <w:spacing w:after="0"/>
              <w:rPr>
                <w:sz w:val="20"/>
                <w:szCs w:val="20"/>
                <w:color w:val="auto"/>
              </w:rPr>
            </w:pPr>
            <w:r>
              <w:rPr>
                <w:rFonts w:ascii="Arial" w:cs="Arial" w:eastAsia="Arial" w:hAnsi="Arial"/>
                <w:sz w:val="18"/>
                <w:szCs w:val="18"/>
                <w:color w:val="auto"/>
              </w:rPr>
              <w:t>Pension Protection Act Zone Status (2015 and 2014)</w:t>
            </w:r>
          </w:p>
        </w:tc>
        <w:tc>
          <w:tcPr>
            <w:tcW w:w="6520" w:type="dxa"/>
            <w:vAlign w:val="bottom"/>
            <w:shd w:val="clear" w:color="auto" w:fill="CCCCCC"/>
          </w:tcPr>
          <w:p>
            <w:pPr>
              <w:ind w:left="1160"/>
              <w:spacing w:after="0"/>
              <w:rPr>
                <w:sz w:val="20"/>
                <w:szCs w:val="20"/>
                <w:color w:val="auto"/>
              </w:rPr>
            </w:pPr>
            <w:r>
              <w:rPr>
                <w:rFonts w:ascii="Arial" w:cs="Arial" w:eastAsia="Arial" w:hAnsi="Arial"/>
                <w:sz w:val="18"/>
                <w:szCs w:val="18"/>
                <w:color w:val="auto"/>
                <w:w w:val="98"/>
              </w:rPr>
              <w:t>Green Zone. Plans in the green zone are at least 80 percent funded.</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FIP/RP Status Pending/Implemented</w:t>
            </w:r>
          </w:p>
        </w:tc>
        <w:tc>
          <w:tcPr>
            <w:tcW w:w="6520" w:type="dxa"/>
            <w:vAlign w:val="bottom"/>
          </w:tcPr>
          <w:p>
            <w:pPr>
              <w:ind w:left="1160"/>
              <w:spacing w:after="0"/>
              <w:rPr>
                <w:sz w:val="20"/>
                <w:szCs w:val="20"/>
                <w:color w:val="auto"/>
              </w:rPr>
            </w:pPr>
            <w:r>
              <w:rPr>
                <w:rFonts w:ascii="Arial" w:cs="Arial" w:eastAsia="Arial" w:hAnsi="Arial"/>
                <w:sz w:val="18"/>
                <w:szCs w:val="18"/>
                <w:color w:val="auto"/>
              </w:rPr>
              <w:t>No</w:t>
            </w:r>
          </w:p>
        </w:tc>
      </w:tr>
      <w:tr>
        <w:trPr>
          <w:trHeight w:val="208"/>
        </w:trPr>
        <w:tc>
          <w:tcPr>
            <w:tcW w:w="4900" w:type="dxa"/>
            <w:vAlign w:val="bottom"/>
            <w:shd w:val="clear" w:color="auto" w:fill="CCCCCC"/>
          </w:tcPr>
          <w:p>
            <w:pPr>
              <w:spacing w:after="0"/>
              <w:rPr>
                <w:sz w:val="20"/>
                <w:szCs w:val="20"/>
                <w:color w:val="auto"/>
              </w:rPr>
            </w:pPr>
            <w:r>
              <w:rPr>
                <w:rFonts w:ascii="Arial" w:cs="Arial" w:eastAsia="Arial" w:hAnsi="Arial"/>
                <w:sz w:val="18"/>
                <w:szCs w:val="18"/>
                <w:color w:val="auto"/>
              </w:rPr>
              <w:t>United’s Contributions</w:t>
            </w:r>
          </w:p>
        </w:tc>
        <w:tc>
          <w:tcPr>
            <w:tcW w:w="6520" w:type="dxa"/>
            <w:vAlign w:val="bottom"/>
            <w:shd w:val="clear" w:color="auto" w:fill="CCCCCC"/>
          </w:tcPr>
          <w:p>
            <w:pPr>
              <w:ind w:left="1160"/>
              <w:spacing w:after="0"/>
              <w:rPr>
                <w:sz w:val="20"/>
                <w:szCs w:val="20"/>
                <w:color w:val="auto"/>
              </w:rPr>
            </w:pPr>
            <w:r>
              <w:rPr>
                <w:rFonts w:ascii="Arial" w:cs="Arial" w:eastAsia="Arial" w:hAnsi="Arial"/>
                <w:sz w:val="18"/>
                <w:szCs w:val="18"/>
                <w:color w:val="auto"/>
                <w:w w:val="92"/>
              </w:rPr>
              <w:t>$40 million, $39 million and $38 million in the years ended December 31,</w:t>
            </w:r>
          </w:p>
        </w:tc>
      </w:tr>
      <w:tr>
        <w:trPr>
          <w:trHeight w:val="224"/>
        </w:trPr>
        <w:tc>
          <w:tcPr>
            <w:tcW w:w="4900" w:type="dxa"/>
            <w:vAlign w:val="bottom"/>
            <w:shd w:val="clear" w:color="auto" w:fill="CCCCCC"/>
          </w:tcPr>
          <w:p>
            <w:pPr>
              <w:spacing w:after="0"/>
              <w:rPr>
                <w:sz w:val="19"/>
                <w:szCs w:val="19"/>
                <w:color w:val="auto"/>
              </w:rPr>
            </w:pPr>
          </w:p>
        </w:tc>
        <w:tc>
          <w:tcPr>
            <w:tcW w:w="6520" w:type="dxa"/>
            <w:vAlign w:val="bottom"/>
            <w:shd w:val="clear" w:color="auto" w:fill="CCCCCC"/>
          </w:tcPr>
          <w:p>
            <w:pPr>
              <w:ind w:left="1160"/>
              <w:spacing w:after="0"/>
              <w:rPr>
                <w:sz w:val="20"/>
                <w:szCs w:val="20"/>
                <w:color w:val="auto"/>
              </w:rPr>
            </w:pPr>
            <w:r>
              <w:rPr>
                <w:rFonts w:ascii="Arial" w:cs="Arial" w:eastAsia="Arial" w:hAnsi="Arial"/>
                <w:sz w:val="18"/>
                <w:szCs w:val="18"/>
                <w:color w:val="auto"/>
              </w:rPr>
              <w:t>2015, 2014 and 2013, respectively</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Surcharge Imposed</w:t>
            </w:r>
          </w:p>
        </w:tc>
        <w:tc>
          <w:tcPr>
            <w:tcW w:w="6520" w:type="dxa"/>
            <w:vAlign w:val="bottom"/>
          </w:tcPr>
          <w:p>
            <w:pPr>
              <w:ind w:left="1160"/>
              <w:spacing w:after="0"/>
              <w:rPr>
                <w:sz w:val="20"/>
                <w:szCs w:val="20"/>
                <w:color w:val="auto"/>
              </w:rPr>
            </w:pPr>
            <w:r>
              <w:rPr>
                <w:rFonts w:ascii="Arial" w:cs="Arial" w:eastAsia="Arial" w:hAnsi="Arial"/>
                <w:sz w:val="18"/>
                <w:szCs w:val="18"/>
                <w:color w:val="auto"/>
              </w:rPr>
              <w:t>No</w:t>
            </w:r>
          </w:p>
        </w:tc>
      </w:tr>
      <w:tr>
        <w:trPr>
          <w:trHeight w:val="216"/>
        </w:trPr>
        <w:tc>
          <w:tcPr>
            <w:tcW w:w="4900" w:type="dxa"/>
            <w:vAlign w:val="bottom"/>
            <w:shd w:val="clear" w:color="auto" w:fill="CCCCCC"/>
          </w:tcPr>
          <w:p>
            <w:pPr>
              <w:spacing w:after="0"/>
              <w:rPr>
                <w:sz w:val="20"/>
                <w:szCs w:val="20"/>
                <w:color w:val="auto"/>
              </w:rPr>
            </w:pPr>
            <w:r>
              <w:rPr>
                <w:rFonts w:ascii="Arial" w:cs="Arial" w:eastAsia="Arial" w:hAnsi="Arial"/>
                <w:sz w:val="18"/>
                <w:szCs w:val="18"/>
                <w:color w:val="auto"/>
              </w:rPr>
              <w:t>Expiration Date of Collective Bargaining Agreement</w:t>
            </w:r>
          </w:p>
        </w:tc>
        <w:tc>
          <w:tcPr>
            <w:tcW w:w="6520" w:type="dxa"/>
            <w:vAlign w:val="bottom"/>
            <w:shd w:val="clear" w:color="auto" w:fill="CCCCCC"/>
          </w:tcPr>
          <w:p>
            <w:pPr>
              <w:ind w:left="1160"/>
              <w:spacing w:after="0"/>
              <w:rPr>
                <w:sz w:val="20"/>
                <w:szCs w:val="20"/>
                <w:color w:val="auto"/>
              </w:rPr>
            </w:pPr>
            <w:r>
              <w:rPr>
                <w:rFonts w:ascii="Arial" w:cs="Arial" w:eastAsia="Arial" w:hAnsi="Arial"/>
                <w:sz w:val="18"/>
                <w:szCs w:val="18"/>
                <w:color w:val="auto"/>
              </w:rPr>
              <w:t>N/A</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At the date the financial statements were issued, Forms 5500 were not available for the plan year ending in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Substantially all employees participate in profit sharing based on a percentage of pre-tax earnings, excluding special items, profit sharing expense and share-based compensation. Profit sharing percentages range from 5% to 20% depending on the work group, and in some cases profit sharing percentages vary above and below certain pre-tax margin thresholds. Eligible U.S. co-workers in each participating work group receive a profit sharing payout using a formula based on the ratio of each qualified co-worker’s annual eligible earnings to the eligible earnings of all qualified co-workers in all domestic work groups. Eligible non-U.S. co-workers receive profit sharing based on the calculation under the U.S. profit sharing plan for management and administrative employees. The Company recorded profit sharing and related payroll tax expense of $698 million, $235 million and $190 million in 2015, 2014 and 2013, respectively. Profit sharing expense is recorded as a component of Salaries and related costs in the Company’s statements of consolidated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9 - FAIR VALUE MEASUREMENTS</w:t>
      </w:r>
    </w:p>
    <w:p>
      <w:pPr>
        <w:spacing w:after="0" w:line="12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Fair Value Information. </w:t>
      </w:r>
      <w:r>
        <w:rPr>
          <w:rFonts w:ascii="Arial" w:cs="Arial" w:eastAsia="Arial" w:hAnsi="Arial"/>
          <w:sz w:val="16"/>
          <w:szCs w:val="16"/>
          <w:color w:val="auto"/>
        </w:rPr>
        <w:t>Accounting standards require us to use valuation techniques to measure fair value that maximize the use of observable inputs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minimize the use of unobservable inputs. These inputs are described in Note 8 of this report. The table below presents disclosures about the fair value of financial assets and financial liabilities measured at fair value on a recurring basis in the Company’s financial statements as of December 31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3660" w:type="dxa"/>
            <w:vAlign w:val="bottom"/>
          </w:tcPr>
          <w:p>
            <w:pPr>
              <w:spacing w:after="0"/>
              <w:rPr>
                <w:sz w:val="18"/>
                <w:szCs w:val="18"/>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Level 1</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Level 1</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Level 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3660" w:type="dxa"/>
            <w:vAlign w:val="bottom"/>
            <w:tcBorders>
              <w:bottom w:val="single" w:sz="8" w:color="CCCCC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UAL</w:t>
            </w:r>
          </w:p>
        </w:tc>
        <w:tc>
          <w:tcPr>
            <w:tcW w:w="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CCCC"/>
            </w:tcBorders>
          </w:tcPr>
          <w:p>
            <w:pPr>
              <w:spacing w:after="0"/>
              <w:rPr>
                <w:sz w:val="18"/>
                <w:szCs w:val="18"/>
                <w:color w:val="auto"/>
              </w:rPr>
            </w:pPr>
          </w:p>
        </w:tc>
      </w:tr>
      <w:tr>
        <w:trPr>
          <w:trHeight w:val="210"/>
        </w:trPr>
        <w:tc>
          <w:tcPr>
            <w:tcW w:w="366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  3,006</w:t>
            </w:r>
          </w:p>
        </w:tc>
        <w:tc>
          <w:tcPr>
            <w:tcW w:w="118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   3,006</w:t>
            </w:r>
          </w:p>
        </w:tc>
        <w:tc>
          <w:tcPr>
            <w:tcW w:w="84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  —</w:t>
            </w:r>
          </w:p>
        </w:tc>
        <w:tc>
          <w:tcPr>
            <w:tcW w:w="1080" w:type="dxa"/>
            <w:vAlign w:val="bottom"/>
            <w:gridSpan w:val="3"/>
            <w:shd w:val="clear" w:color="auto" w:fill="CCCCCC"/>
          </w:tcPr>
          <w:p>
            <w:pPr>
              <w:jc w:val="right"/>
              <w:ind w:right="42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  2,002</w:t>
            </w:r>
          </w:p>
        </w:tc>
        <w:tc>
          <w:tcPr>
            <w:tcW w:w="114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  2,002</w:t>
            </w:r>
          </w:p>
        </w:tc>
        <w:tc>
          <w:tcPr>
            <w:tcW w:w="82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CCC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891</w:t>
            </w:r>
          </w:p>
        </w:tc>
        <w:tc>
          <w:tcPr>
            <w:tcW w:w="118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891</w:t>
            </w:r>
          </w:p>
        </w:tc>
        <w:tc>
          <w:tcPr>
            <w:tcW w:w="1080" w:type="dxa"/>
            <w:vAlign w:val="bottom"/>
            <w:gridSpan w:val="3"/>
            <w:shd w:val="clear" w:color="auto" w:fill="CCCCC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876</w:t>
            </w:r>
          </w:p>
        </w:tc>
        <w:tc>
          <w:tcPr>
            <w:tcW w:w="114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876</w:t>
            </w:r>
          </w:p>
        </w:tc>
        <w:tc>
          <w:tcPr>
            <w:tcW w:w="82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710</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710</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901</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901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Certificates of deposit placed</w:t>
            </w:r>
          </w:p>
        </w:tc>
        <w:tc>
          <w:tcPr>
            <w:tcW w:w="94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7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940" w:type="dxa"/>
            <w:vAlign w:val="bottom"/>
            <w:shd w:val="clear" w:color="auto" w:fill="CCCCCC"/>
          </w:tcPr>
          <w:p>
            <w:pPr>
              <w:spacing w:after="0"/>
              <w:rPr>
                <w:sz w:val="18"/>
                <w:szCs w:val="18"/>
                <w:color w:val="auto"/>
              </w:rPr>
            </w:pPr>
          </w:p>
        </w:tc>
        <w:tc>
          <w:tcPr>
            <w:tcW w:w="11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16"/>
        </w:trPr>
        <w:tc>
          <w:tcPr>
            <w:tcW w:w="36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through an account registry</w:t>
            </w:r>
          </w:p>
        </w:tc>
        <w:tc>
          <w:tcPr>
            <w:tcW w:w="94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7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940" w:type="dxa"/>
            <w:vAlign w:val="bottom"/>
            <w:shd w:val="clear" w:color="auto" w:fill="CCCCCC"/>
          </w:tcPr>
          <w:p>
            <w:pPr>
              <w:spacing w:after="0"/>
              <w:rPr>
                <w:sz w:val="18"/>
                <w:szCs w:val="18"/>
                <w:color w:val="auto"/>
              </w:rPr>
            </w:pPr>
          </w:p>
        </w:tc>
        <w:tc>
          <w:tcPr>
            <w:tcW w:w="11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38"/>
        </w:trPr>
        <w:tc>
          <w:tcPr>
            <w:tcW w:w="36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service (“CDARS”)</w:t>
            </w:r>
          </w:p>
        </w:tc>
        <w:tc>
          <w:tcPr>
            <w:tcW w:w="94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281</w:t>
            </w:r>
          </w:p>
        </w:tc>
        <w:tc>
          <w:tcPr>
            <w:tcW w:w="118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281</w:t>
            </w:r>
          </w:p>
        </w:tc>
        <w:tc>
          <w:tcPr>
            <w:tcW w:w="1080" w:type="dxa"/>
            <w:vAlign w:val="bottom"/>
            <w:gridSpan w:val="3"/>
            <w:shd w:val="clear" w:color="auto" w:fill="CCCCC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256</w:t>
            </w:r>
          </w:p>
        </w:tc>
        <w:tc>
          <w:tcPr>
            <w:tcW w:w="114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256</w:t>
            </w:r>
          </w:p>
        </w:tc>
        <w:tc>
          <w:tcPr>
            <w:tcW w:w="82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U.S. government and agency notes</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Auction rate securities</w:t>
            </w:r>
          </w:p>
        </w:tc>
        <w:tc>
          <w:tcPr>
            <w:tcW w:w="94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9</w:t>
            </w:r>
          </w:p>
        </w:tc>
        <w:tc>
          <w:tcPr>
            <w:tcW w:w="118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94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26</w:t>
            </w:r>
          </w:p>
        </w:tc>
        <w:tc>
          <w:tcPr>
            <w:tcW w:w="114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CCCC"/>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Other fixed-income securities</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227</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227</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255</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255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3660" w:type="dxa"/>
            <w:vAlign w:val="bottom"/>
            <w:shd w:val="clear" w:color="auto" w:fill="CCCCCC"/>
          </w:tcPr>
          <w:p>
            <w:pPr>
              <w:spacing w:after="0"/>
              <w:rPr>
                <w:sz w:val="20"/>
                <w:szCs w:val="20"/>
                <w:color w:val="auto"/>
              </w:rPr>
            </w:pPr>
            <w:r>
              <w:rPr>
                <w:rFonts w:ascii="Arial" w:cs="Arial" w:eastAsia="Arial" w:hAnsi="Arial"/>
                <w:sz w:val="18"/>
                <w:szCs w:val="18"/>
                <w:color w:val="auto"/>
              </w:rPr>
              <w:t>Enhanced equipment trust</w:t>
            </w:r>
          </w:p>
        </w:tc>
        <w:tc>
          <w:tcPr>
            <w:tcW w:w="940" w:type="dxa"/>
            <w:vAlign w:val="bottom"/>
            <w:shd w:val="clear" w:color="auto" w:fill="CCCCCC"/>
          </w:tcPr>
          <w:p>
            <w:pPr>
              <w:spacing w:after="0"/>
              <w:rPr>
                <w:sz w:val="18"/>
                <w:szCs w:val="18"/>
                <w:color w:val="auto"/>
              </w:rPr>
            </w:pPr>
          </w:p>
        </w:tc>
        <w:tc>
          <w:tcPr>
            <w:tcW w:w="1180" w:type="dxa"/>
            <w:vAlign w:val="bottom"/>
            <w:shd w:val="clear" w:color="auto" w:fill="CCCCCC"/>
          </w:tcPr>
          <w:p>
            <w:pPr>
              <w:spacing w:after="0"/>
              <w:rPr>
                <w:sz w:val="18"/>
                <w:szCs w:val="18"/>
                <w:color w:val="auto"/>
              </w:rPr>
            </w:pPr>
          </w:p>
        </w:tc>
        <w:tc>
          <w:tcPr>
            <w:tcW w:w="840" w:type="dxa"/>
            <w:vAlign w:val="bottom"/>
            <w:shd w:val="clear" w:color="auto" w:fill="CCCCCC"/>
          </w:tcPr>
          <w:p>
            <w:pPr>
              <w:spacing w:after="0"/>
              <w:rPr>
                <w:sz w:val="18"/>
                <w:szCs w:val="18"/>
                <w:color w:val="auto"/>
              </w:rPr>
            </w:pPr>
          </w:p>
        </w:tc>
        <w:tc>
          <w:tcPr>
            <w:tcW w:w="7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940" w:type="dxa"/>
            <w:vAlign w:val="bottom"/>
            <w:shd w:val="clear" w:color="auto" w:fill="CCCCCC"/>
          </w:tcPr>
          <w:p>
            <w:pPr>
              <w:spacing w:after="0"/>
              <w:rPr>
                <w:sz w:val="18"/>
                <w:szCs w:val="18"/>
                <w:color w:val="auto"/>
              </w:rPr>
            </w:pPr>
          </w:p>
        </w:tc>
        <w:tc>
          <w:tcPr>
            <w:tcW w:w="1140" w:type="dxa"/>
            <w:vAlign w:val="bottom"/>
            <w:shd w:val="clear" w:color="auto" w:fill="CCCCCC"/>
          </w:tcPr>
          <w:p>
            <w:pPr>
              <w:spacing w:after="0"/>
              <w:rPr>
                <w:sz w:val="18"/>
                <w:szCs w:val="18"/>
                <w:color w:val="auto"/>
              </w:rPr>
            </w:pPr>
          </w:p>
        </w:tc>
        <w:tc>
          <w:tcPr>
            <w:tcW w:w="82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38"/>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certificates (“EETC”)</w:t>
            </w:r>
          </w:p>
        </w:tc>
        <w:tc>
          <w:tcPr>
            <w:tcW w:w="94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26</w:t>
            </w:r>
          </w:p>
        </w:tc>
        <w:tc>
          <w:tcPr>
            <w:tcW w:w="118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CCCC"/>
          </w:tcPr>
          <w:p>
            <w:pPr>
              <w:spacing w:after="0"/>
              <w:rPr>
                <w:sz w:val="20"/>
                <w:szCs w:val="20"/>
                <w:color w:val="auto"/>
              </w:rPr>
            </w:pPr>
          </w:p>
        </w:tc>
        <w:tc>
          <w:tcPr>
            <w:tcW w:w="40" w:type="dxa"/>
            <w:vAlign w:val="bottom"/>
            <w:shd w:val="clear" w:color="auto" w:fill="CCCCCC"/>
          </w:tcPr>
          <w:p>
            <w:pPr>
              <w:spacing w:after="0"/>
              <w:rPr>
                <w:sz w:val="20"/>
                <w:szCs w:val="20"/>
                <w:color w:val="auto"/>
              </w:rPr>
            </w:pPr>
          </w:p>
        </w:tc>
        <w:tc>
          <w:tcPr>
            <w:tcW w:w="94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28</w:t>
            </w:r>
          </w:p>
        </w:tc>
        <w:tc>
          <w:tcPr>
            <w:tcW w:w="114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CCCC"/>
          </w:tcPr>
          <w:p>
            <w:pPr>
              <w:spacing w:after="0"/>
              <w:rPr>
                <w:sz w:val="20"/>
                <w:szCs w:val="20"/>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Fuel derivatives liability, net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124</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124</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717</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717</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spacing w:after="0"/>
              <w:rPr>
                <w:sz w:val="20"/>
                <w:szCs w:val="20"/>
                <w:color w:val="auto"/>
              </w:rPr>
            </w:pPr>
            <w:r>
              <w:rPr>
                <w:rFonts w:ascii="Arial" w:cs="Arial" w:eastAsia="Arial" w:hAnsi="Arial"/>
                <w:sz w:val="18"/>
                <w:szCs w:val="18"/>
                <w:color w:val="auto"/>
              </w:rPr>
              <w:t>Foreign currency derivatives</w:t>
            </w:r>
          </w:p>
        </w:tc>
        <w:tc>
          <w:tcPr>
            <w:tcW w:w="94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CCCC"/>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CCC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CCCC"/>
          </w:tcPr>
          <w:p>
            <w:pPr>
              <w:jc w:val="right"/>
              <w:ind w:right="112"/>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Restricted cash</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206</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320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320</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Borders>
              <w:bottom w:val="single" w:sz="8" w:color="CCCCC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United</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CCCC"/>
            </w:tcBorders>
          </w:tcPr>
          <w:p>
            <w:pPr>
              <w:spacing w:after="0"/>
              <w:rPr>
                <w:sz w:val="19"/>
                <w:szCs w:val="19"/>
                <w:color w:val="auto"/>
              </w:rPr>
            </w:pPr>
          </w:p>
        </w:tc>
      </w:tr>
      <w:tr>
        <w:trPr>
          <w:trHeight w:val="212"/>
        </w:trPr>
        <w:tc>
          <w:tcPr>
            <w:tcW w:w="3660" w:type="dxa"/>
            <w:vAlign w:val="bottom"/>
            <w:shd w:val="clear" w:color="auto" w:fill="CCCCCC"/>
          </w:tcPr>
          <w:p>
            <w:pPr>
              <w:spacing w:after="0" w:line="205" w:lineRule="exact"/>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  3,000</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  3,000</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CCCC"/>
          </w:tcPr>
          <w:p>
            <w:pPr>
              <w:jc w:val="right"/>
              <w:ind w:right="18"/>
              <w:spacing w:after="0"/>
              <w:rPr>
                <w:sz w:val="20"/>
                <w:szCs w:val="20"/>
                <w:color w:val="auto"/>
              </w:rPr>
            </w:pPr>
            <w:r>
              <w:rPr>
                <w:rFonts w:ascii="Arial" w:cs="Arial" w:eastAsia="Arial" w:hAnsi="Arial"/>
                <w:sz w:val="18"/>
                <w:szCs w:val="18"/>
                <w:color w:val="auto"/>
                <w:w w:val="79"/>
              </w:rPr>
              <w:t>$  —$</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1,996</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  1,996</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CCC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Corporate debt</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891</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891</w:t>
            </w:r>
          </w:p>
        </w:tc>
        <w:tc>
          <w:tcPr>
            <w:tcW w:w="1280" w:type="dxa"/>
            <w:vAlign w:val="bottom"/>
            <w:shd w:val="clear" w:color="auto" w:fill="CCCCCC"/>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876</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876</w:t>
            </w:r>
          </w:p>
        </w:tc>
        <w:tc>
          <w:tcPr>
            <w:tcW w:w="78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710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710</w:t>
            </w:r>
          </w:p>
        </w:tc>
        <w:tc>
          <w:tcPr>
            <w:tcW w:w="128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901</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901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CDARS</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281</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281</w:t>
            </w:r>
          </w:p>
        </w:tc>
        <w:tc>
          <w:tcPr>
            <w:tcW w:w="1280" w:type="dxa"/>
            <w:vAlign w:val="bottom"/>
            <w:shd w:val="clear" w:color="auto" w:fill="CCCCCC"/>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256</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256</w:t>
            </w:r>
          </w:p>
        </w:tc>
        <w:tc>
          <w:tcPr>
            <w:tcW w:w="78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U.S. government and agency notes</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72</w:t>
            </w:r>
          </w:p>
        </w:tc>
        <w:tc>
          <w:tcPr>
            <w:tcW w:w="128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Auction rate securities</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9</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CCCC"/>
          </w:tcPr>
          <w:p>
            <w:pPr>
              <w:jc w:val="right"/>
              <w:ind w:right="558"/>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26</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CCCC"/>
          </w:tcPr>
          <w:p>
            <w:pPr>
              <w:spacing w:after="0"/>
              <w:rPr>
                <w:sz w:val="18"/>
                <w:szCs w:val="18"/>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Other fixed-income securities</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227</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227</w:t>
            </w:r>
          </w:p>
        </w:tc>
        <w:tc>
          <w:tcPr>
            <w:tcW w:w="128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255</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255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spacing w:after="0"/>
              <w:rPr>
                <w:sz w:val="20"/>
                <w:szCs w:val="20"/>
                <w:color w:val="auto"/>
              </w:rPr>
            </w:pPr>
            <w:r>
              <w:rPr>
                <w:rFonts w:ascii="Arial" w:cs="Arial" w:eastAsia="Arial" w:hAnsi="Arial"/>
                <w:sz w:val="18"/>
                <w:szCs w:val="18"/>
                <w:color w:val="auto"/>
              </w:rPr>
              <w:t>EETC</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26</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CCCC"/>
          </w:tcPr>
          <w:p>
            <w:pPr>
              <w:jc w:val="right"/>
              <w:ind w:right="558"/>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28</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CCC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Fuel derivatives liability, net</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128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717</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717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spacing w:after="0"/>
              <w:rPr>
                <w:sz w:val="20"/>
                <w:szCs w:val="20"/>
                <w:color w:val="auto"/>
              </w:rPr>
            </w:pPr>
            <w:r>
              <w:rPr>
                <w:rFonts w:ascii="Arial" w:cs="Arial" w:eastAsia="Arial" w:hAnsi="Arial"/>
                <w:sz w:val="18"/>
                <w:szCs w:val="18"/>
                <w:color w:val="auto"/>
              </w:rPr>
              <w:t>Foreign currency derivatives</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CCCC"/>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206</w:t>
            </w: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320</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320</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CCCC"/>
          </w:tcPr>
          <w:p>
            <w:pPr>
              <w:spacing w:after="0"/>
              <w:rPr>
                <w:sz w:val="20"/>
                <w:szCs w:val="20"/>
                <w:color w:val="auto"/>
              </w:rPr>
            </w:pPr>
            <w:r>
              <w:rPr>
                <w:rFonts w:ascii="Arial" w:cs="Arial" w:eastAsia="Arial" w:hAnsi="Arial"/>
                <w:sz w:val="18"/>
                <w:szCs w:val="18"/>
                <w:color w:val="auto"/>
              </w:rPr>
              <w:t>Convertible debt derivative asset</w:t>
            </w:r>
          </w:p>
        </w:tc>
        <w:tc>
          <w:tcPr>
            <w:tcW w:w="9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CCCC"/>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712</w:t>
            </w:r>
          </w:p>
        </w:tc>
        <w:tc>
          <w:tcPr>
            <w:tcW w:w="112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CCCC"/>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Convertible debt derivative option liability</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511</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jc w:val="right"/>
              <w:ind w:right="752"/>
              <w:spacing w:after="0"/>
              <w:rPr>
                <w:sz w:val="20"/>
                <w:szCs w:val="20"/>
                <w:color w:val="auto"/>
              </w:rPr>
            </w:pPr>
            <w:r>
              <w:rPr>
                <w:rFonts w:ascii="Arial" w:cs="Arial" w:eastAsia="Arial" w:hAnsi="Arial"/>
                <w:sz w:val="18"/>
                <w:szCs w:val="18"/>
                <w:color w:val="auto"/>
                <w:w w:val="99"/>
              </w:rPr>
              <w:t>88</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8" w:name="page89"/>
    <w:bookmarkEnd w:id="8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United’s debt-related derivatives presented in the tables above related to (a) supplemental indentures that provided that United’s convertible debt was convertible into shares of UAL common stock upon the terms and conditions specified in the indentures, and (b) the embedded conversion options in United’s convertible debt that were required to be separated and accounted for as though they were free-standing derivatives as a result of the United debt becoming convertible into the common stock of a different reporting entity. The derivatives described above related to the 4.5% Convertible Notes due 2015 (the “4.5% Convertible Notes”). Gains (losses) on these derivatives were recorded in Nonoperating income (expense): Miscellaneous, net in United’s statements of consolidated operations. These derivatives along with their gains (losses) were reported in United’s separate financial statements and were eliminated in consolidation for UAL. In January 2015, the holders of substantially all of the remaining $202 million principal amount of the 4.5% Convertible Notes exercised their conversion option resulting in the issuance of 11 million shares of UAL common stock. The derivative assets and liabilities associated with the 4.5% Convertible Notes were settled in connection with the retirement of the related convertible debt, and the final accounting did not materially impact UAL’s or United’s statements of consolidated operations.</w:t>
      </w:r>
    </w:p>
    <w:p>
      <w:pPr>
        <w:spacing w:after="0" w:line="6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Available-for-sale investment maturities</w:t>
      </w:r>
      <w:r>
        <w:rPr>
          <w:rFonts w:ascii="Arial" w:cs="Arial" w:eastAsia="Arial" w:hAnsi="Arial"/>
          <w:sz w:val="18"/>
          <w:szCs w:val="18"/>
          <w:color w:val="auto"/>
        </w:rPr>
        <w:t>—The short-term investments shown in the table above are classified as available-for-sale. As of December 31, 2015,</w:t>
      </w:r>
      <w:r>
        <w:rPr>
          <w:rFonts w:ascii="Arial" w:cs="Arial" w:eastAsia="Arial" w:hAnsi="Arial"/>
          <w:sz w:val="18"/>
          <w:szCs w:val="18"/>
          <w:b w:val="1"/>
          <w:bCs w:val="1"/>
          <w:color w:val="auto"/>
        </w:rPr>
        <w:t xml:space="preserve"> </w:t>
      </w:r>
      <w:r>
        <w:rPr>
          <w:rFonts w:ascii="Arial" w:cs="Arial" w:eastAsia="Arial" w:hAnsi="Arial"/>
          <w:sz w:val="18"/>
          <w:szCs w:val="18"/>
          <w:color w:val="auto"/>
        </w:rPr>
        <w:t>asset-backed securities have remaining maturities of less than one year to approximately 34 years, corporate debt securities have remaining maturities of less than one year to approximately six years and CDARS have maturities of less than one year. U.S. government and other securities have maturities of less than one year to approximately three years. The EETC securities mature in 2019.</w:t>
      </w:r>
    </w:p>
    <w:p>
      <w:pPr>
        <w:spacing w:after="0" w:line="8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Derivative instruments and investments presented in the tables above have the same fair value as their carrying value. The table below presents the carrying values and estimated fair values of financial instruments not presented in the tables above as of December 31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2015</w:t>
            </w:r>
          </w:p>
        </w:tc>
        <w:tc>
          <w:tcPr>
            <w:tcW w:w="384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Fair Value of Debt by Fair Value Hierarchy Level</w:t>
            </w:r>
          </w:p>
        </w:tc>
        <w:tc>
          <w:tcPr>
            <w:tcW w:w="8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2014</w:t>
            </w: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960" w:type="dxa"/>
            <w:vAlign w:val="bottom"/>
            <w:gridSpan w:val="2"/>
          </w:tcPr>
          <w:p>
            <w:pPr>
              <w:jc w:val="center"/>
              <w:ind w:right="260"/>
              <w:spacing w:after="0" w:line="196" w:lineRule="exact"/>
              <w:rPr>
                <w:sz w:val="20"/>
                <w:szCs w:val="20"/>
                <w:color w:val="auto"/>
              </w:rPr>
            </w:pPr>
            <w:r>
              <w:rPr>
                <w:rFonts w:ascii="Arial" w:cs="Arial" w:eastAsia="Arial" w:hAnsi="Arial"/>
                <w:sz w:val="18"/>
                <w:szCs w:val="18"/>
                <w:b w:val="1"/>
                <w:bCs w:val="1"/>
                <w:color w:val="auto"/>
                <w:w w:val="94"/>
              </w:rPr>
              <w:t>Carrying</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260"/>
              <w:spacing w:after="0" w:line="196" w:lineRule="exact"/>
              <w:rPr>
                <w:sz w:val="20"/>
                <w:szCs w:val="20"/>
                <w:color w:val="auto"/>
              </w:rPr>
            </w:pPr>
            <w:r>
              <w:rPr>
                <w:rFonts w:ascii="Arial" w:cs="Arial" w:eastAsia="Arial" w:hAnsi="Arial"/>
                <w:sz w:val="18"/>
                <w:szCs w:val="18"/>
                <w:b w:val="1"/>
                <w:bCs w:val="1"/>
                <w:color w:val="auto"/>
                <w:w w:val="91"/>
              </w:rPr>
              <w:t>Carrying</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820" w:type="dxa"/>
            <w:vAlign w:val="bottom"/>
          </w:tcPr>
          <w:p>
            <w:pPr>
              <w:spacing w:after="0"/>
              <w:rPr>
                <w:sz w:val="19"/>
                <w:szCs w:val="19"/>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Fair Value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Amount (a)</w:t>
            </w:r>
          </w:p>
        </w:tc>
        <w:tc>
          <w:tcPr>
            <w:tcW w:w="800" w:type="dxa"/>
            <w:vAlign w:val="bottom"/>
          </w:tcPr>
          <w:p>
            <w:pPr>
              <w:spacing w:after="0"/>
              <w:rPr>
                <w:sz w:val="19"/>
                <w:szCs w:val="19"/>
                <w:color w:val="auto"/>
              </w:rPr>
            </w:pPr>
          </w:p>
        </w:tc>
        <w:tc>
          <w:tcPr>
            <w:tcW w:w="1700" w:type="dxa"/>
            <w:vAlign w:val="bottom"/>
            <w:gridSpan w:val="2"/>
          </w:tcPr>
          <w:p>
            <w:pPr>
              <w:ind w:left="420"/>
              <w:spacing w:after="0"/>
              <w:rPr>
                <w:sz w:val="20"/>
                <w:szCs w:val="20"/>
                <w:color w:val="auto"/>
              </w:rPr>
            </w:pPr>
            <w:r>
              <w:rPr>
                <w:rFonts w:ascii="Arial" w:cs="Arial" w:eastAsia="Arial" w:hAnsi="Arial"/>
                <w:sz w:val="18"/>
                <w:szCs w:val="18"/>
                <w:b w:val="1"/>
                <w:bCs w:val="1"/>
                <w:color w:val="auto"/>
              </w:rPr>
              <w:t>Fair Value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6"/>
              </w:rPr>
              <w:t>Level 1</w:t>
            </w:r>
          </w:p>
        </w:tc>
        <w:tc>
          <w:tcPr>
            <w:tcW w:w="9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Level 2</w:t>
            </w: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2"/>
              </w:rPr>
              <w:t>Level 3</w:t>
            </w: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1</w:t>
            </w:r>
          </w:p>
        </w:tc>
        <w:tc>
          <w:tcPr>
            <w:tcW w:w="8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Level 2</w:t>
            </w:r>
          </w:p>
        </w:tc>
        <w:tc>
          <w:tcPr>
            <w:tcW w:w="7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CCCC"/>
          </w:tcPr>
          <w:p>
            <w:pPr>
              <w:spacing w:after="0"/>
              <w:rPr>
                <w:sz w:val="20"/>
                <w:szCs w:val="20"/>
                <w:color w:val="auto"/>
              </w:rPr>
            </w:pPr>
            <w:r>
              <w:rPr>
                <w:rFonts w:ascii="Arial" w:cs="Arial" w:eastAsia="Arial" w:hAnsi="Arial"/>
                <w:sz w:val="18"/>
                <w:szCs w:val="18"/>
                <w:color w:val="auto"/>
              </w:rPr>
              <w:t>Long-term debt</w:t>
            </w:r>
          </w:p>
        </w:tc>
        <w:tc>
          <w:tcPr>
            <w:tcW w:w="70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4"/>
              </w:rPr>
              <w:t>$ 10,897</w:t>
            </w:r>
          </w:p>
        </w:tc>
        <w:tc>
          <w:tcPr>
            <w:tcW w:w="260" w:type="dxa"/>
            <w:vAlign w:val="bottom"/>
            <w:shd w:val="clear" w:color="auto" w:fill="CCCCCC"/>
          </w:tcPr>
          <w:p>
            <w:pPr>
              <w:spacing w:after="0"/>
              <w:rPr>
                <w:sz w:val="18"/>
                <w:szCs w:val="18"/>
                <w:color w:val="auto"/>
              </w:rPr>
            </w:pPr>
          </w:p>
        </w:tc>
        <w:tc>
          <w:tcPr>
            <w:tcW w:w="82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w w:val="96"/>
              </w:rPr>
              <w:t>$ 11,371</w:t>
            </w:r>
          </w:p>
        </w:tc>
        <w:tc>
          <w:tcPr>
            <w:tcW w:w="700" w:type="dxa"/>
            <w:vAlign w:val="bottom"/>
            <w:shd w:val="clear" w:color="auto" w:fill="CCCCCC"/>
          </w:tcPr>
          <w:p>
            <w:pPr>
              <w:ind w:left="16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CCCC"/>
          </w:tcPr>
          <w:p>
            <w:pPr>
              <w:ind w:left="240"/>
              <w:spacing w:after="0"/>
              <w:rPr>
                <w:sz w:val="20"/>
                <w:szCs w:val="20"/>
                <w:color w:val="auto"/>
              </w:rPr>
            </w:pPr>
            <w:r>
              <w:rPr>
                <w:rFonts w:ascii="Arial" w:cs="Arial" w:eastAsia="Arial" w:hAnsi="Arial"/>
                <w:sz w:val="18"/>
                <w:szCs w:val="18"/>
                <w:color w:val="auto"/>
              </w:rPr>
              <w:t>$ 8,646</w:t>
            </w:r>
          </w:p>
        </w:tc>
        <w:tc>
          <w:tcPr>
            <w:tcW w:w="980" w:type="dxa"/>
            <w:vAlign w:val="bottom"/>
            <w:gridSpan w:val="2"/>
            <w:shd w:val="clear" w:color="auto" w:fill="CCCCCC"/>
          </w:tcPr>
          <w:p>
            <w:pPr>
              <w:ind w:left="140"/>
              <w:spacing w:after="0"/>
              <w:rPr>
                <w:sz w:val="20"/>
                <w:szCs w:val="20"/>
                <w:color w:val="auto"/>
              </w:rPr>
            </w:pPr>
            <w:r>
              <w:rPr>
                <w:rFonts w:ascii="Arial" w:cs="Arial" w:eastAsia="Arial" w:hAnsi="Arial"/>
                <w:sz w:val="18"/>
                <w:szCs w:val="18"/>
                <w:color w:val="auto"/>
              </w:rPr>
              <w:t>$ 2,725</w:t>
            </w:r>
          </w:p>
        </w:tc>
        <w:tc>
          <w:tcPr>
            <w:tcW w:w="1100" w:type="dxa"/>
            <w:vAlign w:val="bottom"/>
            <w:gridSpan w:val="2"/>
            <w:shd w:val="clear" w:color="auto" w:fill="CCCCCC"/>
          </w:tcPr>
          <w:p>
            <w:pPr>
              <w:jc w:val="center"/>
              <w:ind w:right="200"/>
              <w:spacing w:after="0"/>
              <w:rPr>
                <w:sz w:val="20"/>
                <w:szCs w:val="20"/>
                <w:color w:val="auto"/>
              </w:rPr>
            </w:pPr>
            <w:r>
              <w:rPr>
                <w:rFonts w:ascii="Arial" w:cs="Arial" w:eastAsia="Arial" w:hAnsi="Arial"/>
                <w:sz w:val="18"/>
                <w:szCs w:val="18"/>
                <w:color w:val="auto"/>
              </w:rPr>
              <w:t>$   11,266</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$ 12,386</w:t>
            </w:r>
          </w:p>
        </w:tc>
        <w:tc>
          <w:tcPr>
            <w:tcW w:w="84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CCCC"/>
          </w:tcPr>
          <w:p>
            <w:pPr>
              <w:ind w:left="140"/>
              <w:spacing w:after="0"/>
              <w:rPr>
                <w:sz w:val="20"/>
                <w:szCs w:val="20"/>
                <w:color w:val="auto"/>
              </w:rPr>
            </w:pPr>
            <w:r>
              <w:rPr>
                <w:rFonts w:ascii="Arial" w:cs="Arial" w:eastAsia="Arial" w:hAnsi="Arial"/>
                <w:sz w:val="18"/>
                <w:szCs w:val="18"/>
                <w:color w:val="auto"/>
              </w:rPr>
              <w:t>$ 8,568</w:t>
            </w:r>
          </w:p>
        </w:tc>
        <w:tc>
          <w:tcPr>
            <w:tcW w:w="720" w:type="dxa"/>
            <w:vAlign w:val="bottom"/>
            <w:shd w:val="clear" w:color="auto" w:fill="CCCCCC"/>
          </w:tcPr>
          <w:p>
            <w:pPr>
              <w:ind w:left="140"/>
              <w:spacing w:after="0"/>
              <w:rPr>
                <w:sz w:val="20"/>
                <w:szCs w:val="20"/>
                <w:color w:val="auto"/>
              </w:rPr>
            </w:pPr>
            <w:r>
              <w:rPr>
                <w:rFonts w:ascii="Arial" w:cs="Arial" w:eastAsia="Arial" w:hAnsi="Arial"/>
                <w:sz w:val="18"/>
                <w:szCs w:val="18"/>
                <w:color w:val="auto"/>
                <w:w w:val="93"/>
              </w:rPr>
              <w:t>$ 3,818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9878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18" w:lineRule="exact"/>
        <w:rPr>
          <w:sz w:val="20"/>
          <w:szCs w:val="20"/>
          <w:color w:val="auto"/>
        </w:rPr>
      </w:pPr>
    </w:p>
    <w:p>
      <w:pPr>
        <w:ind w:right="20" w:firstLine="8"/>
        <w:spacing w:after="0" w:line="239" w:lineRule="auto"/>
        <w:tabs>
          <w:tab w:leader="none" w:pos="184" w:val="left"/>
        </w:tabs>
        <w:numPr>
          <w:ilvl w:val="0"/>
          <w:numId w:val="29"/>
        </w:numPr>
        <w:rPr>
          <w:rFonts w:ascii="Arial" w:cs="Arial" w:eastAsia="Arial" w:hAnsi="Arial"/>
          <w:sz w:val="14"/>
          <w:szCs w:val="14"/>
          <w:color w:val="auto"/>
        </w:rPr>
      </w:pPr>
      <w:r>
        <w:rPr>
          <w:rFonts w:ascii="Arial" w:cs="Arial" w:eastAsia="Arial" w:hAnsi="Arial"/>
          <w:sz w:val="14"/>
          <w:szCs w:val="14"/>
          <w:color w:val="auto"/>
        </w:rPr>
        <w:t>2014 amount differs from the amount reported in the Company’s Form 10-K for the fiscal year ended December 31, 2014 due to the adoption of an accounting standard update in 2015. See Note 1(t) Recently Issued Accounting Standards of this report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financial instruments included in the tables above was determined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420" w:type="dxa"/>
            <w:vAlign w:val="bottom"/>
          </w:tcPr>
          <w:p>
            <w:pPr>
              <w:spacing w:after="0"/>
              <w:rPr>
                <w:sz w:val="19"/>
                <w:szCs w:val="19"/>
                <w:color w:val="auto"/>
              </w:rPr>
            </w:pPr>
          </w:p>
        </w:tc>
        <w:tc>
          <w:tcPr>
            <w:tcW w:w="8680" w:type="dxa"/>
            <w:vAlign w:val="bottom"/>
          </w:tcPr>
          <w:p>
            <w:pPr>
              <w:ind w:left="3440"/>
              <w:spacing w:after="0"/>
              <w:rPr>
                <w:sz w:val="20"/>
                <w:szCs w:val="20"/>
                <w:color w:val="auto"/>
              </w:rPr>
            </w:pPr>
            <w:r>
              <w:rPr>
                <w:rFonts w:ascii="Arial" w:cs="Arial" w:eastAsia="Arial" w:hAnsi="Arial"/>
                <w:sz w:val="18"/>
                <w:szCs w:val="18"/>
                <w:b w:val="1"/>
                <w:bCs w:val="1"/>
                <w:color w:val="auto"/>
              </w:rPr>
              <w:t>Fair Value Methodology</w:t>
            </w:r>
          </w:p>
        </w:tc>
      </w:tr>
      <w:tr>
        <w:trPr>
          <w:trHeight w:val="20"/>
        </w:trPr>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r>
      <w:tr>
        <w:trPr>
          <w:trHeight w:val="210"/>
        </w:trPr>
        <w:tc>
          <w:tcPr>
            <w:tcW w:w="232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Cash and cash equivalents</w:t>
            </w:r>
          </w:p>
        </w:tc>
        <w:tc>
          <w:tcPr>
            <w:tcW w:w="4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 carrying amounts approximate fair value because of the short-term maturity of these assets.</w:t>
            </w:r>
          </w:p>
        </w:tc>
      </w:tr>
      <w:tr>
        <w:trPr>
          <w:trHeight w:val="417"/>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Short-term investments</w:t>
            </w: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89"/>
              </w:rPr>
              <w:t>Fair value is based on (a) the trading prices of the investment or similar instruments, (b) an income approach, which uses</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and Restricted cash</w:t>
            </w: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90"/>
              </w:rPr>
              <w:t>valuation techniques to convert future amounts into a single present amount based on current market expectations about</w:t>
            </w: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91"/>
              </w:rPr>
              <w:t>those future amounts when observable trading prices are not available, (c) internally-developed models of the expected</w:t>
            </w:r>
          </w:p>
        </w:tc>
      </w:tr>
      <w:tr>
        <w:trPr>
          <w:trHeight w:val="222"/>
        </w:trPr>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future cash flows related to the securities, or (d) broker quotes obtained by third-party valuation services.</w:t>
            </w:r>
          </w:p>
        </w:tc>
      </w:tr>
      <w:tr>
        <w:trPr>
          <w:trHeight w:val="426"/>
        </w:trPr>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Fuel derivatives</w:t>
            </w: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87"/>
              </w:rPr>
              <w:t>Derivative contracts are privately negotiated contracts and are not exchange traded. Fair value measurements are estimated</w:t>
            </w:r>
          </w:p>
        </w:tc>
      </w:tr>
      <w:tr>
        <w:trPr>
          <w:trHeight w:val="216"/>
        </w:trPr>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w w:val="89"/>
              </w:rPr>
              <w:t>with option pricing models that employ observable inputs. Inputs to the valuation models include contractual terms, market</w:t>
            </w:r>
          </w:p>
        </w:tc>
      </w:tr>
      <w:tr>
        <w:trPr>
          <w:trHeight w:val="222"/>
        </w:trPr>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prices, yield curves, fuel price curves and measures of volatility, among others.</w:t>
            </w:r>
          </w:p>
        </w:tc>
      </w:tr>
      <w:tr>
        <w:trPr>
          <w:trHeight w:val="365"/>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100" w:type="dxa"/>
            <w:vAlign w:val="bottom"/>
            <w:gridSpan w:val="2"/>
          </w:tcPr>
          <w:p>
            <w:pPr>
              <w:jc w:val="right"/>
              <w:ind w:right="5532"/>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420"/>
          </w:cols>
          <w:pgMar w:left="240" w:top="280" w:right="239" w:bottom="144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19"/>
                <w:szCs w:val="19"/>
                <w:color w:val="auto"/>
              </w:rPr>
            </w:pPr>
          </w:p>
        </w:tc>
        <w:tc>
          <w:tcPr>
            <w:tcW w:w="8680" w:type="dxa"/>
            <w:vAlign w:val="bottom"/>
          </w:tcPr>
          <w:p>
            <w:pPr>
              <w:ind w:left="3440"/>
              <w:spacing w:after="0"/>
              <w:rPr>
                <w:sz w:val="20"/>
                <w:szCs w:val="20"/>
                <w:color w:val="auto"/>
              </w:rPr>
            </w:pPr>
            <w:r>
              <w:rPr>
                <w:rFonts w:ascii="Arial" w:cs="Arial" w:eastAsia="Arial" w:hAnsi="Arial"/>
                <w:sz w:val="18"/>
                <w:szCs w:val="18"/>
                <w:b w:val="1"/>
                <w:bCs w:val="1"/>
                <w:color w:val="auto"/>
              </w:rPr>
              <w:t>Fair Value Methodology</w:t>
            </w:r>
          </w:p>
        </w:tc>
      </w:tr>
      <w:tr>
        <w:trPr>
          <w:trHeight w:val="20"/>
        </w:trPr>
        <w:tc>
          <w:tcPr>
            <w:tcW w:w="8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r>
      <w:tr>
        <w:trPr>
          <w:trHeight w:val="196"/>
        </w:trPr>
        <w:tc>
          <w:tcPr>
            <w:tcW w:w="25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Foreign currency derivatives</w:t>
            </w:r>
          </w:p>
        </w:tc>
        <w:tc>
          <w:tcPr>
            <w:tcW w:w="200" w:type="dxa"/>
            <w:vAlign w:val="bottom"/>
          </w:tcPr>
          <w:p>
            <w:pPr>
              <w:spacing w:after="0"/>
              <w:rPr>
                <w:sz w:val="17"/>
                <w:szCs w:val="17"/>
                <w:color w:val="auto"/>
              </w:rPr>
            </w:pPr>
          </w:p>
        </w:tc>
        <w:tc>
          <w:tcPr>
            <w:tcW w:w="8680" w:type="dxa"/>
            <w:vAlign w:val="bottom"/>
          </w:tcPr>
          <w:p>
            <w:pPr>
              <w:spacing w:after="0" w:line="195" w:lineRule="exact"/>
              <w:rPr>
                <w:sz w:val="20"/>
                <w:szCs w:val="20"/>
                <w:color w:val="auto"/>
              </w:rPr>
            </w:pPr>
            <w:r>
              <w:rPr>
                <w:rFonts w:ascii="Arial" w:cs="Arial" w:eastAsia="Arial" w:hAnsi="Arial"/>
                <w:sz w:val="18"/>
                <w:szCs w:val="18"/>
                <w:color w:val="auto"/>
                <w:w w:val="94"/>
              </w:rPr>
              <w:t>Fair value is determined with a formula utilizing observable inputs. Significant inputs to the valuation models include</w:t>
            </w:r>
          </w:p>
        </w:tc>
      </w:tr>
      <w:tr>
        <w:trPr>
          <w:trHeight w:val="222"/>
        </w:trPr>
        <w:tc>
          <w:tcPr>
            <w:tcW w:w="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contractual terms, risk-free interest rates and forward exchange rates.</w:t>
            </w:r>
          </w:p>
        </w:tc>
      </w:tr>
      <w:tr>
        <w:trPr>
          <w:trHeight w:val="426"/>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Debt</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w w:val="88"/>
              </w:rPr>
              <w:t>Fair values were based on either market prices or the discounted amount of future cash flows using our current incremental</w:t>
            </w:r>
          </w:p>
        </w:tc>
      </w:tr>
      <w:tr>
        <w:trPr>
          <w:trHeight w:val="222"/>
        </w:trPr>
        <w:tc>
          <w:tcPr>
            <w:tcW w:w="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rate of borrowing for similar liabilities.</w:t>
            </w:r>
          </w:p>
        </w:tc>
      </w:tr>
      <w:tr>
        <w:trPr>
          <w:trHeight w:val="426"/>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w w:val="96"/>
              </w:rPr>
              <w:t>Convertible debt derivative asset</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w w:val="91"/>
              </w:rPr>
              <w:t>United used a binomial lattice model to value the conversion options and the supplemental derivative assets. Significant</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and option liability</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w w:val="90"/>
              </w:rPr>
              <w:t>binomial model inputs that are not objectively determinable include volatility and the Company’s credit risk component of</w:t>
            </w:r>
          </w:p>
        </w:tc>
      </w:tr>
      <w:tr>
        <w:trPr>
          <w:trHeight w:val="222"/>
        </w:trPr>
        <w:tc>
          <w:tcPr>
            <w:tcW w:w="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the discount rate.</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HEDGING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Derivatives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may hedge a portion of its future fuel requirements to protect against increases in the price of fuel. The Company may restructure hedges in response to market conditions prior to their original settlement dates which may result in changes in hedge coverage levels and the potential recognition of gains or losses on such hedge contracts. As of December 31, 2015, the Company had hedged approximately 17% of its projected fuel requirements (652 million gallons) for 2016, with commonly used financial hedge instruments based on aircraft fuel or crude oil. As of December 31, 2015, the Company had fuel hedges expiring through December 2016.</w:t>
      </w:r>
    </w:p>
    <w:p>
      <w:pPr>
        <w:spacing w:after="0" w:line="89"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As required, the Company assesses the effectiveness of each of its individual hedges on a quarterly basis. The Company also examines the effectiveness of its entire hedging program on a quarterly basis utilizing statistical analysis. This analysis involves utilizing regression and other statistical analyses that compare changes in the price of aircraft fuel to changes in the prices of the commodities used for hedging purposes.</w:t>
      </w:r>
    </w:p>
    <w:p>
      <w:pPr>
        <w:spacing w:after="0" w:line="5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Upon proper qualification, the Company accounts for certain fuel derivative instruments as cash flow hedges. All derivatives designated as hedges that meet certain requirements are granted hedge accounting treatment. The types of instruments the Company utilizes that qualify for hedge accounting treatment typically include swaps, call options, collars (which consist of a purchased call option and a sold put option), four-way collars (a collar with a higher strike sold call option and a lower strike purchased put option) and other combinations of options. Generally, utilizing hedge accounting, all periodic changes in the fair value of derivatives designated as hedges that are considered to be effective are recorded in AOCI until the underlying fuel is consumed and recorded in fuel expense. The Company is exposed to the risk that its hedges may not be effective in offsetting changes in the cost of fuel and that its hedges may not continue to qualify for hedge accounting. Hedge ineffectiveness results when the change in the fair value of the derivative instrument exceeds the change in the value of the Company’s expected future cash outlay to purchase and consume fuel. To the extent that the periodic changes in the fair value of the derivatives are not effective, that ineffectiveness is classified as Nonoperating income (expense): Miscellaneous, net in the statements of consolidated operations.</w:t>
      </w:r>
    </w:p>
    <w:p>
      <w:pPr>
        <w:spacing w:after="0" w:line="6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also uses certain combinations of derivative contracts that are economic hedges but do not qualify for hedge accounting under GAAP. Additionally, the Company may enter into contracts at different times and later combine those contracts into structures designated for hedge accounting. As with derivatives that qualify for hedge accounting, the economic hedges and individual contracts are part of the Company’s program to mitigate the adverse financial impact of potential increases in the price of fuel. The Company records changes in the fair value of these various contracts that are not designated for hedge accounting to Nonoperating income (expense): Miscellaneous, net in the statements of consolidated operations.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the Company settles a derivative prior to its contractual settlement date, then the cumulative gain or loss recognized in AOCI at the termination date remains in AOCI until the forecasted transaction occurs. In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0" w:name="page91"/>
    <w:bookmarkEnd w:id="9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situation where it becomes probable that a hedged forecasted transaction will not occur, any gains and/or losses that have been recorded to AOCI would be required to be immediately reclassified into earnings. All cash flows associated with purchasing and settling derivatives are classified as operating cash flows in the statements of consolidated cash flows.</w:t>
      </w:r>
    </w:p>
    <w:p>
      <w:pPr>
        <w:spacing w:after="0" w:line="8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addition to cash flow hedges, the Company from time to time enters into fair value hedges related to its aircraft fuel inventory using derivatives such as swaps and futures contracts based on aircraft fuel. Under fair value hedge accounting, the Company records changes in the fair value of both the hedging derivative and the hedged aircraft fuel inventory as fuel expense. The Company records ineffectiveness on fair value hedges as Nonoperating income (expense): Miscellaneous, net in the statements of consolidated operations. As of December 31, 2015, fair value hedges related to aircraft fuel were not material to the Company’s financial statements.</w:t>
      </w:r>
    </w:p>
    <w:p>
      <w:pPr>
        <w:spacing w:after="0" w:line="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records each derivative instrument as a derivative asset or liability (on a gross basis) in its consolidated balance sheets</w:t>
      </w:r>
      <w:r>
        <w:rPr>
          <w:rFonts w:ascii="Arial" w:cs="Arial" w:eastAsia="Arial" w:hAnsi="Arial"/>
          <w:sz w:val="18"/>
          <w:szCs w:val="18"/>
          <w:i w:val="1"/>
          <w:iCs w:val="1"/>
          <w:color w:val="auto"/>
        </w:rPr>
        <w:t>,</w:t>
      </w:r>
      <w:r>
        <w:rPr>
          <w:rFonts w:ascii="Arial" w:cs="Arial" w:eastAsia="Arial" w:hAnsi="Arial"/>
          <w:sz w:val="18"/>
          <w:szCs w:val="18"/>
          <w:color w:val="auto"/>
        </w:rPr>
        <w:t xml:space="preserve"> and, accordingly, records any related collateral on a gross basis. The table below presents the fair value amounts of fuel derivative assets and liabilities and the location of amounts recognized in the Company’s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the Company’s derivatives were reported in its consolidated balance sheets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20" w:type="dxa"/>
            <w:vAlign w:val="bottom"/>
            <w:gridSpan w:val="4"/>
          </w:tcPr>
          <w:p>
            <w:pPr>
              <w:ind w:left="520"/>
              <w:spacing w:after="0"/>
              <w:rPr>
                <w:sz w:val="20"/>
                <w:szCs w:val="20"/>
                <w:color w:val="auto"/>
              </w:rPr>
            </w:pPr>
            <w:r>
              <w:rPr>
                <w:rFonts w:ascii="Arial" w:cs="Arial" w:eastAsia="Arial" w:hAnsi="Arial"/>
                <w:sz w:val="18"/>
                <w:szCs w:val="18"/>
                <w:b w:val="1"/>
                <w:bCs w:val="1"/>
                <w:color w:val="auto"/>
              </w:rPr>
              <w:t>Classification</w:t>
            </w:r>
          </w:p>
        </w:tc>
        <w:tc>
          <w:tcPr>
            <w:tcW w:w="4340" w:type="dxa"/>
            <w:vAlign w:val="bottom"/>
            <w:gridSpan w:val="2"/>
          </w:tcPr>
          <w:p>
            <w:pPr>
              <w:ind w:left="104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Pr>
          <w:p>
            <w:pPr>
              <w:spacing w:after="0"/>
              <w:rPr>
                <w:sz w:val="21"/>
                <w:szCs w:val="21"/>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2015</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3180" w:type="dxa"/>
            <w:vAlign w:val="bottom"/>
            <w:tcBorders>
              <w:top w:val="single" w:sz="8" w:color="auto"/>
              <w:bottom w:val="single" w:sz="8" w:color="auto"/>
            </w:tcBorders>
            <w:gridSpan w:val="2"/>
          </w:tcPr>
          <w:p>
            <w:pPr>
              <w:spacing w:after="0" w:line="171" w:lineRule="exact"/>
              <w:rPr>
                <w:sz w:val="20"/>
                <w:szCs w:val="20"/>
                <w:color w:val="auto"/>
              </w:rPr>
            </w:pPr>
            <w:r>
              <w:rPr>
                <w:rFonts w:ascii="Arial" w:cs="Arial" w:eastAsia="Arial" w:hAnsi="Arial"/>
                <w:sz w:val="18"/>
                <w:szCs w:val="18"/>
                <w:b w:val="1"/>
                <w:bCs w:val="1"/>
                <w:color w:val="auto"/>
                <w:w w:val="83"/>
              </w:rPr>
              <w:t>Derivatives designated as cash flow hedges</w:t>
            </w:r>
          </w:p>
        </w:tc>
        <w:tc>
          <w:tcPr>
            <w:tcW w:w="1380" w:type="dxa"/>
            <w:vAlign w:val="bottom"/>
            <w:tcBorders>
              <w:top w:val="single" w:sz="8" w:color="auto"/>
            </w:tcBorders>
            <w:gridSpan w:val="2"/>
          </w:tcPr>
          <w:p>
            <w:pPr>
              <w:spacing w:after="0"/>
              <w:rPr>
                <w:sz w:val="14"/>
                <w:szCs w:val="14"/>
                <w:color w:val="auto"/>
              </w:rPr>
            </w:pPr>
          </w:p>
        </w:tc>
        <w:tc>
          <w:tcPr>
            <w:tcW w:w="500" w:type="dxa"/>
            <w:vAlign w:val="bottom"/>
          </w:tcPr>
          <w:p>
            <w:pPr>
              <w:spacing w:after="0"/>
              <w:rPr>
                <w:sz w:val="14"/>
                <w:szCs w:val="14"/>
                <w:color w:val="auto"/>
              </w:rPr>
            </w:pPr>
          </w:p>
        </w:tc>
        <w:tc>
          <w:tcPr>
            <w:tcW w:w="384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080" w:type="dxa"/>
            <w:vAlign w:val="bottom"/>
            <w:gridSpan w:val="6"/>
          </w:tcPr>
          <w:p>
            <w:pPr>
              <w:spacing w:after="0"/>
              <w:rPr>
                <w:sz w:val="20"/>
                <w:szCs w:val="20"/>
                <w:color w:val="auto"/>
              </w:rPr>
            </w:pPr>
            <w:r>
              <w:rPr>
                <w:rFonts w:ascii="Arial" w:cs="Arial" w:eastAsia="Arial" w:hAnsi="Arial"/>
                <w:sz w:val="18"/>
                <w:szCs w:val="18"/>
                <w:i w:val="1"/>
                <w:iCs w:val="1"/>
                <w:color w:val="auto"/>
              </w:rPr>
              <w:t>Liabilities:</w:t>
            </w:r>
          </w:p>
        </w:tc>
        <w:tc>
          <w:tcPr>
            <w:tcW w:w="3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Fuel contracts due within one year</w:t>
            </w:r>
          </w:p>
        </w:tc>
        <w:tc>
          <w:tcPr>
            <w:tcW w:w="43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Fuel derivative instruments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119</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5"/>
          </w:tcPr>
          <w:p>
            <w:pPr>
              <w:spacing w:after="0"/>
              <w:rPr>
                <w:sz w:val="20"/>
                <w:szCs w:val="20"/>
                <w:color w:val="auto"/>
              </w:rPr>
            </w:pPr>
            <w:r>
              <w:rPr>
                <w:rFonts w:ascii="Arial" w:cs="Arial" w:eastAsia="Arial" w:hAnsi="Arial"/>
                <w:sz w:val="18"/>
                <w:szCs w:val="18"/>
                <w:color w:val="auto"/>
              </w:rPr>
              <w:t>Fuel contracts with maturities greater than one year</w:t>
            </w:r>
          </w:p>
        </w:tc>
        <w:tc>
          <w:tcPr>
            <w:tcW w:w="4340" w:type="dxa"/>
            <w:vAlign w:val="bottom"/>
            <w:gridSpan w:val="2"/>
          </w:tcPr>
          <w:p>
            <w:pPr>
              <w:spacing w:after="0"/>
              <w:rPr>
                <w:sz w:val="20"/>
                <w:szCs w:val="20"/>
                <w:color w:val="auto"/>
              </w:rPr>
            </w:pPr>
            <w:r>
              <w:rPr>
                <w:rFonts w:ascii="Arial" w:cs="Arial" w:eastAsia="Arial" w:hAnsi="Arial"/>
                <w:sz w:val="18"/>
                <w:szCs w:val="18"/>
                <w:color w:val="auto"/>
              </w:rPr>
              <w:t>Other liabilities and deferred credits: Other</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CCCC"/>
          </w:tcPr>
          <w:p>
            <w:pPr>
              <w:spacing w:after="0"/>
              <w:rPr>
                <w:sz w:val="18"/>
                <w:szCs w:val="18"/>
                <w:color w:val="auto"/>
              </w:rPr>
            </w:pPr>
          </w:p>
        </w:tc>
        <w:tc>
          <w:tcPr>
            <w:tcW w:w="1940" w:type="dxa"/>
            <w:vAlign w:val="bottom"/>
            <w:shd w:val="clear" w:color="auto" w:fill="CCCCCC"/>
          </w:tcPr>
          <w:p>
            <w:pPr>
              <w:spacing w:after="0"/>
              <w:rPr>
                <w:sz w:val="18"/>
                <w:szCs w:val="18"/>
                <w:color w:val="auto"/>
              </w:rPr>
            </w:pPr>
          </w:p>
        </w:tc>
        <w:tc>
          <w:tcPr>
            <w:tcW w:w="400" w:type="dxa"/>
            <w:vAlign w:val="bottom"/>
            <w:shd w:val="clear" w:color="auto" w:fill="CCCCCC"/>
          </w:tcPr>
          <w:p>
            <w:pPr>
              <w:spacing w:after="0"/>
              <w:rPr>
                <w:sz w:val="18"/>
                <w:szCs w:val="18"/>
                <w:color w:val="auto"/>
              </w:rPr>
            </w:pPr>
          </w:p>
        </w:tc>
        <w:tc>
          <w:tcPr>
            <w:tcW w:w="98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384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119</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Derivatives not designated for hedge accounting</w:t>
            </w: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gridSpan w:val="6"/>
            <w:vMerge w:val="continue"/>
          </w:tcPr>
          <w:p>
            <w:pPr>
              <w:spacing w:after="0"/>
              <w:rPr>
                <w:sz w:val="14"/>
                <w:szCs w:val="14"/>
                <w:color w:val="auto"/>
              </w:rPr>
            </w:pPr>
          </w:p>
        </w:tc>
        <w:tc>
          <w:tcPr>
            <w:tcW w:w="3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80" w:type="dxa"/>
            <w:vAlign w:val="bottom"/>
            <w:gridSpan w:val="6"/>
          </w:tcPr>
          <w:p>
            <w:pPr>
              <w:spacing w:after="0"/>
              <w:rPr>
                <w:sz w:val="20"/>
                <w:szCs w:val="20"/>
                <w:color w:val="auto"/>
              </w:rPr>
            </w:pPr>
            <w:r>
              <w:rPr>
                <w:rFonts w:ascii="Arial" w:cs="Arial" w:eastAsia="Arial" w:hAnsi="Arial"/>
                <w:sz w:val="18"/>
                <w:szCs w:val="18"/>
                <w:i w:val="1"/>
                <w:iCs w:val="1"/>
                <w:color w:val="auto"/>
              </w:rPr>
              <w:t>Assets:</w:t>
            </w:r>
          </w:p>
        </w:tc>
        <w:tc>
          <w:tcPr>
            <w:tcW w:w="3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Fuel contracts due within one year</w:t>
            </w:r>
          </w:p>
        </w:tc>
        <w:tc>
          <w:tcPr>
            <w:tcW w:w="43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Arial" w:cs="Arial" w:eastAsia="Arial" w:hAnsi="Arial"/>
                <w:sz w:val="18"/>
                <w:szCs w:val="18"/>
                <w:i w:val="1"/>
                <w:iCs w:val="1"/>
                <w:color w:val="auto"/>
              </w:rPr>
              <w:t>Liabilities:</w:t>
            </w:r>
          </w:p>
        </w:tc>
        <w:tc>
          <w:tcPr>
            <w:tcW w:w="3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Fuel contracts due within one year</w:t>
            </w:r>
          </w:p>
        </w:tc>
        <w:tc>
          <w:tcPr>
            <w:tcW w:w="43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Fuel derivative instruments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5"/>
          </w:tcPr>
          <w:p>
            <w:pPr>
              <w:spacing w:after="0"/>
              <w:rPr>
                <w:sz w:val="20"/>
                <w:szCs w:val="20"/>
                <w:color w:val="auto"/>
              </w:rPr>
            </w:pPr>
            <w:r>
              <w:rPr>
                <w:rFonts w:ascii="Arial" w:cs="Arial" w:eastAsia="Arial" w:hAnsi="Arial"/>
                <w:sz w:val="18"/>
                <w:szCs w:val="18"/>
                <w:color w:val="auto"/>
              </w:rPr>
              <w:t>Fuel contracts with maturities greater than one year</w:t>
            </w:r>
          </w:p>
        </w:tc>
        <w:tc>
          <w:tcPr>
            <w:tcW w:w="4340" w:type="dxa"/>
            <w:vAlign w:val="bottom"/>
            <w:gridSpan w:val="2"/>
          </w:tcPr>
          <w:p>
            <w:pPr>
              <w:spacing w:after="0"/>
              <w:rPr>
                <w:sz w:val="20"/>
                <w:szCs w:val="20"/>
                <w:color w:val="auto"/>
              </w:rPr>
            </w:pPr>
            <w:r>
              <w:rPr>
                <w:rFonts w:ascii="Arial" w:cs="Arial" w:eastAsia="Arial" w:hAnsi="Arial"/>
                <w:sz w:val="18"/>
                <w:szCs w:val="18"/>
                <w:color w:val="auto"/>
              </w:rPr>
              <w:t>Other liabilities and deferred credits: Other</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CCCC"/>
          </w:tcPr>
          <w:p>
            <w:pPr>
              <w:ind w:left="200"/>
              <w:spacing w:after="0"/>
              <w:rPr>
                <w:sz w:val="20"/>
                <w:szCs w:val="20"/>
                <w:color w:val="auto"/>
              </w:rPr>
            </w:pPr>
            <w:r>
              <w:rPr>
                <w:rFonts w:ascii="Arial" w:cs="Arial" w:eastAsia="Arial" w:hAnsi="Arial"/>
                <w:sz w:val="18"/>
                <w:szCs w:val="18"/>
                <w:color w:val="auto"/>
              </w:rPr>
              <w:t>Total liabilities</w:t>
            </w:r>
          </w:p>
        </w:tc>
        <w:tc>
          <w:tcPr>
            <w:tcW w:w="384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gridSpan w:val="6"/>
            <w:vMerge w:val="continue"/>
          </w:tcPr>
          <w:p>
            <w:pPr>
              <w:spacing w:after="0"/>
              <w:rPr>
                <w:sz w:val="14"/>
                <w:szCs w:val="14"/>
                <w:color w:val="auto"/>
              </w:rPr>
            </w:pPr>
          </w:p>
        </w:tc>
        <w:tc>
          <w:tcPr>
            <w:tcW w:w="3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80" w:type="dxa"/>
            <w:vAlign w:val="bottom"/>
            <w:gridSpan w:val="6"/>
          </w:tcPr>
          <w:p>
            <w:pPr>
              <w:spacing w:after="0"/>
              <w:rPr>
                <w:sz w:val="20"/>
                <w:szCs w:val="20"/>
                <w:color w:val="auto"/>
              </w:rPr>
            </w:pPr>
            <w:r>
              <w:rPr>
                <w:rFonts w:ascii="Arial" w:cs="Arial" w:eastAsia="Arial" w:hAnsi="Arial"/>
                <w:sz w:val="18"/>
                <w:szCs w:val="18"/>
                <w:i w:val="1"/>
                <w:iCs w:val="1"/>
                <w:color w:val="auto"/>
              </w:rPr>
              <w:t>Assets:</w:t>
            </w:r>
          </w:p>
        </w:tc>
        <w:tc>
          <w:tcPr>
            <w:tcW w:w="3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Fuel contracts due within one year</w:t>
            </w:r>
          </w:p>
        </w:tc>
        <w:tc>
          <w:tcPr>
            <w:tcW w:w="43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tcPr>
          <w:p>
            <w:pPr>
              <w:spacing w:after="0"/>
              <w:rPr>
                <w:sz w:val="20"/>
                <w:szCs w:val="20"/>
                <w:color w:val="auto"/>
              </w:rPr>
            </w:pPr>
            <w:r>
              <w:rPr>
                <w:rFonts w:ascii="Arial" w:cs="Arial" w:eastAsia="Arial" w:hAnsi="Arial"/>
                <w:sz w:val="18"/>
                <w:szCs w:val="18"/>
                <w:i w:val="1"/>
                <w:iCs w:val="1"/>
                <w:color w:val="auto"/>
              </w:rPr>
              <w:t>Liabilities:</w:t>
            </w:r>
          </w:p>
        </w:tc>
        <w:tc>
          <w:tcPr>
            <w:tcW w:w="3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Fuel contracts due within one year</w:t>
            </w:r>
          </w:p>
        </w:tc>
        <w:tc>
          <w:tcPr>
            <w:tcW w:w="434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Fuel derivative instruments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5"/>
          </w:tcPr>
          <w:p>
            <w:pPr>
              <w:spacing w:after="0"/>
              <w:rPr>
                <w:sz w:val="20"/>
                <w:szCs w:val="20"/>
                <w:color w:val="auto"/>
              </w:rPr>
            </w:pPr>
            <w:r>
              <w:rPr>
                <w:rFonts w:ascii="Arial" w:cs="Arial" w:eastAsia="Arial" w:hAnsi="Arial"/>
                <w:sz w:val="18"/>
                <w:szCs w:val="18"/>
                <w:color w:val="auto"/>
              </w:rPr>
              <w:t>Fuel contracts with maturities greater than one year</w:t>
            </w:r>
          </w:p>
        </w:tc>
        <w:tc>
          <w:tcPr>
            <w:tcW w:w="4340" w:type="dxa"/>
            <w:vAlign w:val="bottom"/>
            <w:gridSpan w:val="2"/>
          </w:tcPr>
          <w:p>
            <w:pPr>
              <w:spacing w:after="0"/>
              <w:rPr>
                <w:sz w:val="20"/>
                <w:szCs w:val="20"/>
                <w:color w:val="auto"/>
              </w:rPr>
            </w:pPr>
            <w:r>
              <w:rPr>
                <w:rFonts w:ascii="Arial" w:cs="Arial" w:eastAsia="Arial" w:hAnsi="Arial"/>
                <w:sz w:val="18"/>
                <w:szCs w:val="18"/>
                <w:color w:val="auto"/>
              </w:rPr>
              <w:t>Other liabilities and deferred credits: Other</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5"/>
            <w:shd w:val="clear" w:color="auto" w:fill="CCCCCC"/>
          </w:tcPr>
          <w:p>
            <w:pPr>
              <w:ind w:left="200"/>
              <w:spacing w:after="0"/>
              <w:rPr>
                <w:sz w:val="20"/>
                <w:szCs w:val="20"/>
                <w:color w:val="auto"/>
              </w:rPr>
            </w:pPr>
            <w:r>
              <w:rPr>
                <w:rFonts w:ascii="Arial" w:cs="Arial" w:eastAsia="Arial" w:hAnsi="Arial"/>
                <w:sz w:val="18"/>
                <w:szCs w:val="18"/>
                <w:color w:val="auto"/>
              </w:rPr>
              <w:t>Total liabilities</w:t>
            </w:r>
          </w:p>
        </w:tc>
        <w:tc>
          <w:tcPr>
            <w:tcW w:w="3840" w:type="dxa"/>
            <w:vAlign w:val="bottom"/>
            <w:shd w:val="clear" w:color="auto" w:fill="CCCCCC"/>
          </w:tcPr>
          <w:p>
            <w:pPr>
              <w:spacing w:after="0"/>
              <w:rPr>
                <w:sz w:val="18"/>
                <w:szCs w:val="18"/>
                <w:color w:val="auto"/>
              </w:rPr>
            </w:pPr>
          </w:p>
        </w:tc>
        <w:tc>
          <w:tcPr>
            <w:tcW w:w="500" w:type="dxa"/>
            <w:vAlign w:val="bottom"/>
            <w:shd w:val="clear" w:color="auto" w:fill="CCCCCC"/>
          </w:tcPr>
          <w:p>
            <w:pPr>
              <w:spacing w:after="0"/>
              <w:rPr>
                <w:sz w:val="18"/>
                <w:szCs w:val="18"/>
                <w:color w:val="auto"/>
              </w:rPr>
            </w:pP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124</w:t>
            </w:r>
          </w:p>
        </w:tc>
        <w:tc>
          <w:tcPr>
            <w:tcW w:w="5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Credit Risk and Fair Value</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is exposed to credit losses in the event of non-performance by counterparties to its derivative instruments. While the Company records derivative instruments on a gross basis, the Company monitors its net derivative position with each counterparty to monitor credit risk. Based on the fair value of our fuel derivative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91" w:name="page92"/>
    <w:bookmarkEnd w:id="91"/>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instruments, our counterparties may require us to post collateral when the price of the underlying commodity decreases, and we may require our counterparties to provide us with collateral when the price of the underlying commodity increases. The Company had on deposit $26 million and $577 million of collateral with fuel derivative counterparties as of December 31, 2015 and December 31, 2014, respectively. The collateral is recorded as Fuel hedge collateral deposits on the Company’s consolidated balance sheets.</w:t>
      </w:r>
    </w:p>
    <w:p>
      <w:pPr>
        <w:spacing w:after="0" w:line="8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have master trading agreements with all of our fuel hedging counterparties that allow us to net our fuel hedge derivative positions. We have elected not to net the fair value positions and collateral recorded on our consolidated balance sheets. The following table shows the potential net fair value positions (including fuel derivatives and related collateral) had we elected to offset. The table reflects offset at the counterparty level (in millions):</w:t>
      </w:r>
    </w:p>
    <w:p>
      <w:pPr>
        <w:spacing w:after="0" w:line="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w w:val="93"/>
              </w:rPr>
              <w:t>December 31, 2014</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CCCC"/>
            </w:tcBorders>
            <w:shd w:val="clear" w:color="auto" w:fill="CCCCCC"/>
          </w:tcPr>
          <w:p>
            <w:pPr>
              <w:spacing w:after="0" w:line="202" w:lineRule="exact"/>
              <w:rPr>
                <w:sz w:val="20"/>
                <w:szCs w:val="20"/>
                <w:color w:val="auto"/>
              </w:rPr>
            </w:pPr>
            <w:r>
              <w:rPr>
                <w:rFonts w:ascii="Arial" w:cs="Arial" w:eastAsia="Arial" w:hAnsi="Arial"/>
                <w:sz w:val="18"/>
                <w:szCs w:val="18"/>
                <w:color w:val="auto"/>
              </w:rPr>
              <w:t>Fuel derivative instruments</w:t>
            </w:r>
          </w:p>
        </w:tc>
        <w:tc>
          <w:tcPr>
            <w:tcW w:w="1580" w:type="dxa"/>
            <w:vAlign w:val="bottom"/>
            <w:tcBorders>
              <w:top w:val="single" w:sz="8" w:color="CCCCCC"/>
            </w:tcBorders>
            <w:shd w:val="clear" w:color="auto" w:fill="CCCCCC"/>
          </w:tcPr>
          <w:p>
            <w:pPr>
              <w:spacing w:after="0"/>
              <w:rPr>
                <w:sz w:val="18"/>
                <w:szCs w:val="18"/>
                <w:color w:val="auto"/>
              </w:rPr>
            </w:pPr>
          </w:p>
        </w:tc>
        <w:tc>
          <w:tcPr>
            <w:tcW w:w="480" w:type="dxa"/>
            <w:vAlign w:val="bottom"/>
            <w:tcBorders>
              <w:top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CCCC"/>
            </w:tcBorders>
            <w:shd w:val="clear" w:color="auto" w:fill="CCCCCC"/>
          </w:tcPr>
          <w:p>
            <w:pPr>
              <w:spacing w:after="0"/>
              <w:rPr>
                <w:sz w:val="18"/>
                <w:szCs w:val="18"/>
                <w:color w:val="auto"/>
              </w:rPr>
            </w:pPr>
          </w:p>
        </w:tc>
        <w:tc>
          <w:tcPr>
            <w:tcW w:w="460" w:type="dxa"/>
            <w:vAlign w:val="bottom"/>
            <w:tcBorders>
              <w:top w:val="single" w:sz="8" w:color="auto"/>
            </w:tcBorders>
            <w:shd w:val="clear" w:color="auto" w:fill="CCCCCC"/>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CCCC"/>
            </w:tcBorders>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liabilities and deferred credits: Other</w:t>
            </w:r>
          </w:p>
        </w:tc>
        <w:tc>
          <w:tcPr>
            <w:tcW w:w="1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CCCC"/>
          </w:tcPr>
          <w:p>
            <w:pPr>
              <w:spacing w:after="0"/>
              <w:rPr>
                <w:sz w:val="20"/>
                <w:szCs w:val="20"/>
                <w:color w:val="auto"/>
              </w:rPr>
            </w:pPr>
            <w:r>
              <w:rPr>
                <w:rFonts w:ascii="Arial" w:cs="Arial" w:eastAsia="Arial" w:hAnsi="Arial"/>
                <w:sz w:val="18"/>
                <w:szCs w:val="18"/>
                <w:color w:val="auto"/>
              </w:rPr>
              <w:t>Hedge derivatives liabilities, net</w:t>
            </w:r>
          </w:p>
        </w:tc>
        <w:tc>
          <w:tcPr>
            <w:tcW w:w="2060" w:type="dxa"/>
            <w:vAlign w:val="bottom"/>
            <w:gridSpan w:val="2"/>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98</w:t>
            </w:r>
          </w:p>
        </w:tc>
        <w:tc>
          <w:tcPr>
            <w:tcW w:w="700" w:type="dxa"/>
            <w:vAlign w:val="bottom"/>
            <w:gridSpan w:val="2"/>
            <w:shd w:val="clear" w:color="auto" w:fill="CCCCCC"/>
          </w:tcPr>
          <w:p>
            <w:pPr>
              <w:jc w:val="right"/>
              <w:ind w:right="2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CCC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fuel hedge gains (losses) recognized during the periods presented and their classification in the financial statements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sz w:val="20"/>
                <w:szCs w:val="20"/>
                <w:color w:val="auto"/>
              </w:rPr>
            </w:pPr>
            <w:r>
              <w:rPr>
                <w:rFonts w:ascii="Arial" w:cs="Arial" w:eastAsia="Arial" w:hAnsi="Arial"/>
                <w:sz w:val="18"/>
                <w:szCs w:val="18"/>
                <w:b w:val="1"/>
                <w:bCs w:val="1"/>
                <w:color w:val="auto"/>
                <w:w w:val="85"/>
              </w:rPr>
              <w:t>Derivatives designated as cash flow hedges</w:t>
            </w: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4"/>
        </w:trPr>
        <w:tc>
          <w:tcPr>
            <w:tcW w:w="3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3"/>
          </w:tcPr>
          <w:p>
            <w:pPr>
              <w:jc w:val="center"/>
              <w:ind w:right="282"/>
              <w:spacing w:after="0"/>
              <w:rPr>
                <w:sz w:val="20"/>
                <w:szCs w:val="20"/>
                <w:color w:val="auto"/>
              </w:rPr>
            </w:pPr>
            <w:r>
              <w:rPr>
                <w:rFonts w:ascii="Arial" w:cs="Arial" w:eastAsia="Arial" w:hAnsi="Arial"/>
                <w:sz w:val="18"/>
                <w:szCs w:val="18"/>
                <w:b w:val="1"/>
                <w:bCs w:val="1"/>
                <w:color w:val="auto"/>
                <w:w w:val="87"/>
              </w:rPr>
              <w:t>Amount of Loss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3"/>
          </w:tcPr>
          <w:p>
            <w:pPr>
              <w:jc w:val="center"/>
              <w:ind w:left="236"/>
              <w:spacing w:after="0"/>
              <w:rPr>
                <w:sz w:val="20"/>
                <w:szCs w:val="20"/>
                <w:color w:val="auto"/>
              </w:rPr>
            </w:pPr>
            <w:r>
              <w:rPr>
                <w:rFonts w:ascii="Arial" w:cs="Arial" w:eastAsia="Arial" w:hAnsi="Arial"/>
                <w:sz w:val="18"/>
                <w:szCs w:val="18"/>
                <w:b w:val="1"/>
                <w:bCs w:val="1"/>
                <w:color w:val="auto"/>
                <w:w w:val="86"/>
              </w:rPr>
              <w:t>Amount of Loss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85"/>
              </w:rPr>
              <w:t>Loss Reclassified from</w:t>
            </w:r>
          </w:p>
        </w:tc>
        <w:tc>
          <w:tcPr>
            <w:tcW w:w="580" w:type="dxa"/>
            <w:vAlign w:val="bottom"/>
          </w:tcPr>
          <w:p>
            <w:pPr>
              <w:spacing w:after="0"/>
              <w:rPr>
                <w:sz w:val="18"/>
                <w:szCs w:val="18"/>
                <w:color w:val="auto"/>
              </w:rPr>
            </w:pPr>
          </w:p>
        </w:tc>
        <w:tc>
          <w:tcPr>
            <w:tcW w:w="1600" w:type="dxa"/>
            <w:vAlign w:val="bottom"/>
            <w:gridSpan w:val="3"/>
          </w:tcPr>
          <w:p>
            <w:pPr>
              <w:jc w:val="center"/>
              <w:ind w:right="282"/>
              <w:spacing w:after="0"/>
              <w:rPr>
                <w:sz w:val="20"/>
                <w:szCs w:val="20"/>
                <w:color w:val="auto"/>
              </w:rPr>
            </w:pPr>
            <w:r>
              <w:rPr>
                <w:rFonts w:ascii="Arial" w:cs="Arial" w:eastAsia="Arial" w:hAnsi="Arial"/>
                <w:sz w:val="18"/>
                <w:szCs w:val="18"/>
                <w:b w:val="1"/>
                <w:bCs w:val="1"/>
                <w:color w:val="auto"/>
                <w:w w:val="85"/>
              </w:rPr>
              <w:t>Recognized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3"/>
          </w:tcPr>
          <w:p>
            <w:pPr>
              <w:jc w:val="center"/>
              <w:ind w:left="236"/>
              <w:spacing w:after="0"/>
              <w:rPr>
                <w:sz w:val="20"/>
                <w:szCs w:val="20"/>
                <w:color w:val="auto"/>
              </w:rPr>
            </w:pPr>
            <w:r>
              <w:rPr>
                <w:rFonts w:ascii="Arial" w:cs="Arial" w:eastAsia="Arial" w:hAnsi="Arial"/>
                <w:sz w:val="18"/>
                <w:szCs w:val="18"/>
                <w:b w:val="1"/>
                <w:bCs w:val="1"/>
                <w:color w:val="auto"/>
                <w:w w:val="85"/>
              </w:rPr>
              <w:t>Recognized</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92"/>
              </w:rPr>
              <w:t>AOCI into Income</w:t>
            </w:r>
          </w:p>
        </w:tc>
        <w:tc>
          <w:tcPr>
            <w:tcW w:w="2180" w:type="dxa"/>
            <w:vAlign w:val="bottom"/>
            <w:gridSpan w:val="4"/>
          </w:tcPr>
          <w:p>
            <w:pPr>
              <w:jc w:val="center"/>
              <w:ind w:left="156"/>
              <w:spacing w:after="0"/>
              <w:rPr>
                <w:sz w:val="20"/>
                <w:szCs w:val="20"/>
                <w:color w:val="auto"/>
              </w:rPr>
            </w:pPr>
            <w:r>
              <w:rPr>
                <w:rFonts w:ascii="Arial" w:cs="Arial" w:eastAsia="Arial" w:hAnsi="Arial"/>
                <w:sz w:val="18"/>
                <w:szCs w:val="18"/>
                <w:b w:val="1"/>
                <w:bCs w:val="1"/>
                <w:color w:val="auto"/>
                <w:w w:val="87"/>
              </w:rPr>
              <w:t>Nonoperating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90"/>
              </w:rPr>
              <w:t>in AOCI on Derivatives</w:t>
            </w:r>
          </w:p>
        </w:tc>
        <w:tc>
          <w:tcPr>
            <w:tcW w:w="200" w:type="dxa"/>
            <w:vAlign w:val="bottom"/>
          </w:tcPr>
          <w:p>
            <w:pPr>
              <w:spacing w:after="0"/>
              <w:rPr>
                <w:sz w:val="18"/>
                <w:szCs w:val="18"/>
                <w:color w:val="auto"/>
              </w:rPr>
            </w:pPr>
          </w:p>
        </w:tc>
        <w:tc>
          <w:tcPr>
            <w:tcW w:w="1520" w:type="dxa"/>
            <w:vAlign w:val="bottom"/>
            <w:gridSpan w:val="3"/>
          </w:tcPr>
          <w:p>
            <w:pPr>
              <w:jc w:val="center"/>
              <w:ind w:left="276"/>
              <w:spacing w:after="0"/>
              <w:rPr>
                <w:sz w:val="20"/>
                <w:szCs w:val="20"/>
                <w:color w:val="auto"/>
              </w:rPr>
            </w:pPr>
            <w:r>
              <w:rPr>
                <w:rFonts w:ascii="Arial" w:cs="Arial" w:eastAsia="Arial" w:hAnsi="Arial"/>
                <w:sz w:val="18"/>
                <w:szCs w:val="18"/>
                <w:b w:val="1"/>
                <w:bCs w:val="1"/>
                <w:color w:val="auto"/>
                <w:w w:val="87"/>
              </w:rPr>
              <w:t>(Fuel Expense)</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80" w:type="dxa"/>
            <w:vAlign w:val="bottom"/>
            <w:gridSpan w:val="4"/>
          </w:tcPr>
          <w:p>
            <w:pPr>
              <w:jc w:val="center"/>
              <w:ind w:left="156"/>
              <w:spacing w:after="0"/>
              <w:rPr>
                <w:sz w:val="20"/>
                <w:szCs w:val="20"/>
                <w:color w:val="auto"/>
              </w:rPr>
            </w:pPr>
            <w:r>
              <w:rPr>
                <w:rFonts w:ascii="Arial" w:cs="Arial" w:eastAsia="Arial" w:hAnsi="Arial"/>
                <w:sz w:val="18"/>
                <w:szCs w:val="18"/>
                <w:b w:val="1"/>
                <w:bCs w:val="1"/>
                <w:color w:val="auto"/>
                <w:w w:val="85"/>
              </w:rPr>
              <w:t>(expense): Miscellaneous,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4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88"/>
              </w:rPr>
              <w:t>(Effective Portion)</w:t>
            </w:r>
          </w:p>
        </w:tc>
        <w:tc>
          <w:tcPr>
            <w:tcW w:w="200" w:type="dxa"/>
            <w:vAlign w:val="bottom"/>
          </w:tcPr>
          <w:p>
            <w:pPr>
              <w:spacing w:after="0"/>
              <w:rPr>
                <w:sz w:val="19"/>
                <w:szCs w:val="19"/>
                <w:color w:val="auto"/>
              </w:rPr>
            </w:pPr>
          </w:p>
        </w:tc>
        <w:tc>
          <w:tcPr>
            <w:tcW w:w="274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90"/>
              </w:rPr>
              <w:t>(Effective Portion)</w:t>
            </w:r>
          </w:p>
        </w:tc>
        <w:tc>
          <w:tcPr>
            <w:tcW w:w="2180" w:type="dxa"/>
            <w:vAlign w:val="bottom"/>
            <w:gridSpan w:val="4"/>
          </w:tcPr>
          <w:p>
            <w:pPr>
              <w:jc w:val="center"/>
              <w:ind w:left="136"/>
              <w:spacing w:after="0"/>
              <w:rPr>
                <w:sz w:val="20"/>
                <w:szCs w:val="20"/>
                <w:color w:val="auto"/>
              </w:rPr>
            </w:pPr>
            <w:r>
              <w:rPr>
                <w:rFonts w:ascii="Arial" w:cs="Arial" w:eastAsia="Arial" w:hAnsi="Arial"/>
                <w:sz w:val="18"/>
                <w:szCs w:val="18"/>
                <w:b w:val="1"/>
                <w:bCs w:val="1"/>
                <w:color w:val="auto"/>
                <w:w w:val="89"/>
              </w:rPr>
              <w:t>net (Ineffective Portion)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43"/>
        </w:trPr>
        <w:tc>
          <w:tcPr>
            <w:tcW w:w="3040" w:type="dxa"/>
            <w:vAlign w:val="bottom"/>
            <w:tcBorders>
              <w:bottom w:val="single" w:sz="8" w:color="CCCC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3"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CCC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2"/>
              <w:spacing w:after="0" w:line="143" w:lineRule="exact"/>
              <w:rPr>
                <w:sz w:val="20"/>
                <w:szCs w:val="20"/>
                <w:color w:val="auto"/>
              </w:rPr>
            </w:pPr>
            <w:r>
              <w:rPr>
                <w:rFonts w:ascii="Arial" w:cs="Arial" w:eastAsia="Arial" w:hAnsi="Arial"/>
                <w:sz w:val="14"/>
                <w:szCs w:val="14"/>
                <w:b w:val="1"/>
                <w:bCs w:val="1"/>
                <w:color w:val="auto"/>
                <w:w w:val="76"/>
              </w:rPr>
              <w:t>2014</w:t>
            </w:r>
          </w:p>
        </w:tc>
        <w:tc>
          <w:tcPr>
            <w:tcW w:w="660" w:type="dxa"/>
            <w:vAlign w:val="bottom"/>
            <w:tcBorders>
              <w:bottom w:val="single" w:sz="8" w:color="CCCC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3"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CC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02"/>
              <w:spacing w:after="0" w:line="143" w:lineRule="exact"/>
              <w:rPr>
                <w:sz w:val="20"/>
                <w:szCs w:val="20"/>
                <w:color w:val="auto"/>
              </w:rPr>
            </w:pPr>
            <w:r>
              <w:rPr>
                <w:rFonts w:ascii="Arial" w:cs="Arial" w:eastAsia="Arial" w:hAnsi="Arial"/>
                <w:sz w:val="14"/>
                <w:szCs w:val="14"/>
                <w:b w:val="1"/>
                <w:bCs w:val="1"/>
                <w:color w:val="auto"/>
                <w:w w:val="83"/>
              </w:rPr>
              <w:t>2014</w:t>
            </w:r>
          </w:p>
        </w:tc>
        <w:tc>
          <w:tcPr>
            <w:tcW w:w="660" w:type="dxa"/>
            <w:vAlign w:val="bottom"/>
            <w:tcBorders>
              <w:bottom w:val="single" w:sz="8" w:color="CCCCCC"/>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CCCCCC"/>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
              <w:spacing w:after="0" w:line="143"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CCCC"/>
            </w:tcBorders>
          </w:tcPr>
          <w:p>
            <w:pPr>
              <w:spacing w:after="0"/>
              <w:rPr>
                <w:sz w:val="12"/>
                <w:szCs w:val="12"/>
                <w:color w:val="auto"/>
              </w:rPr>
            </w:pPr>
          </w:p>
        </w:tc>
      </w:tr>
      <w:tr>
        <w:trPr>
          <w:trHeight w:val="210"/>
        </w:trPr>
        <w:tc>
          <w:tcPr>
            <w:tcW w:w="3040" w:type="dxa"/>
            <w:vAlign w:val="bottom"/>
            <w:shd w:val="clear" w:color="auto" w:fill="CCCCCC"/>
          </w:tcPr>
          <w:p>
            <w:pPr>
              <w:spacing w:after="0" w:line="202" w:lineRule="exact"/>
              <w:rPr>
                <w:sz w:val="20"/>
                <w:szCs w:val="20"/>
                <w:color w:val="auto"/>
              </w:rPr>
            </w:pPr>
            <w:r>
              <w:rPr>
                <w:rFonts w:ascii="Arial" w:cs="Arial" w:eastAsia="Arial" w:hAnsi="Arial"/>
                <w:sz w:val="18"/>
                <w:szCs w:val="18"/>
                <w:color w:val="auto"/>
              </w:rPr>
              <w:t>Fuel contracts</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CCCC"/>
          </w:tcPr>
          <w:p>
            <w:pPr>
              <w:spacing w:after="0"/>
              <w:rPr>
                <w:sz w:val="18"/>
                <w:szCs w:val="18"/>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(320)</w:t>
            </w:r>
          </w:p>
        </w:tc>
        <w:tc>
          <w:tcPr>
            <w:tcW w:w="660" w:type="dxa"/>
            <w:vAlign w:val="bottom"/>
            <w:shd w:val="clear" w:color="auto" w:fill="CCCCCC"/>
          </w:tcPr>
          <w:p>
            <w:pPr>
              <w:spacing w:after="0"/>
              <w:rPr>
                <w:sz w:val="18"/>
                <w:szCs w:val="18"/>
                <w:color w:val="auto"/>
              </w:rPr>
            </w:pPr>
          </w:p>
        </w:tc>
        <w:tc>
          <w:tcPr>
            <w:tcW w:w="28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(599)</w:t>
            </w:r>
          </w:p>
        </w:tc>
        <w:tc>
          <w:tcPr>
            <w:tcW w:w="66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(604)</w:t>
            </w:r>
          </w:p>
        </w:tc>
        <w:tc>
          <w:tcPr>
            <w:tcW w:w="660" w:type="dxa"/>
            <w:vAlign w:val="bottom"/>
            <w:shd w:val="clear" w:color="auto" w:fill="CCCCCC"/>
          </w:tcPr>
          <w:p>
            <w:pPr>
              <w:spacing w:after="0"/>
              <w:rPr>
                <w:sz w:val="18"/>
                <w:szCs w:val="18"/>
                <w:color w:val="auto"/>
              </w:rPr>
            </w:pPr>
          </w:p>
        </w:tc>
        <w:tc>
          <w:tcPr>
            <w:tcW w:w="260" w:type="dxa"/>
            <w:vAlign w:val="bottom"/>
            <w:shd w:val="clear" w:color="auto" w:fill="CCCCCC"/>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(89)</w:t>
            </w:r>
          </w:p>
        </w:tc>
        <w:tc>
          <w:tcPr>
            <w:tcW w:w="660" w:type="dxa"/>
            <w:vAlign w:val="bottom"/>
            <w:shd w:val="clear" w:color="auto" w:fill="CCCCCC"/>
          </w:tcPr>
          <w:p>
            <w:pPr>
              <w:spacing w:after="0"/>
              <w:rPr>
                <w:sz w:val="18"/>
                <w:szCs w:val="18"/>
                <w:color w:val="auto"/>
              </w:rPr>
            </w:pPr>
          </w:p>
        </w:tc>
        <w:tc>
          <w:tcPr>
            <w:tcW w:w="580" w:type="dxa"/>
            <w:vAlign w:val="bottom"/>
            <w:shd w:val="clear" w:color="auto" w:fill="CCCCCC"/>
          </w:tcPr>
          <w:p>
            <w:pPr>
              <w:jc w:val="right"/>
              <w:ind w:right="35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CCCC"/>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CCCC"/>
          </w:tcPr>
          <w:p>
            <w:pPr>
              <w:spacing w:after="0"/>
              <w:rPr>
                <w:sz w:val="18"/>
                <w:szCs w:val="18"/>
                <w:color w:val="auto"/>
              </w:rPr>
            </w:pPr>
          </w:p>
        </w:tc>
        <w:tc>
          <w:tcPr>
            <w:tcW w:w="660" w:type="dxa"/>
            <w:vAlign w:val="bottom"/>
            <w:shd w:val="clear" w:color="auto" w:fill="CCCCCC"/>
          </w:tcPr>
          <w:p>
            <w:pPr>
              <w:jc w:val="right"/>
              <w:ind w:right="46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CCCC"/>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for hedge accounting</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Fuel contracts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Derivatives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 of Gain (Loss) Recognized</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Nonoperating income (expense):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Miscellaneous, net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4"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4"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4" w:lineRule="exact"/>
              <w:rPr>
                <w:sz w:val="20"/>
                <w:szCs w:val="20"/>
                <w:color w:val="auto"/>
              </w:rPr>
            </w:pPr>
            <w:r>
              <w:rPr>
                <w:rFonts w:ascii="Arial" w:cs="Arial" w:eastAsia="Arial" w:hAnsi="Arial"/>
                <w:sz w:val="14"/>
                <w:szCs w:val="14"/>
                <w:b w:val="1"/>
                <w:bCs w:val="1"/>
                <w:color w:val="auto"/>
              </w:rPr>
              <w:t>2013</w:t>
            </w:r>
          </w:p>
        </w:tc>
      </w:tr>
      <w:tr>
        <w:trPr>
          <w:trHeight w:val="216"/>
        </w:trPr>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w:t>
            </w: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-149225</wp:posOffset>
            </wp:positionV>
            <wp:extent cx="543687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36870" cy="146050"/>
                    </a:xfrm>
                    <a:prstGeom prst="rect">
                      <a:avLst/>
                    </a:prstGeom>
                    <a:noFill/>
                  </pic:spPr>
                </pic:pic>
              </a:graphicData>
            </a:graphic>
          </wp:anchor>
        </w:drawing>
      </w:r>
    </w:p>
    <w:p>
      <w:pPr>
        <w:spacing w:after="0" w:line="498" w:lineRule="exact"/>
        <w:rPr>
          <w:sz w:val="20"/>
          <w:szCs w:val="20"/>
          <w:color w:val="auto"/>
        </w:rPr>
      </w:pPr>
    </w:p>
    <w:p>
      <w:pPr>
        <w:sectPr>
          <w:pgSz w:w="11900" w:h="16838" w:orient="portrait"/>
          <w:cols w:equalWidth="0" w:num="2">
            <w:col w:w="3820" w:space="720"/>
            <w:col w:w="6880"/>
          </w:cols>
          <w:pgMar w:left="240" w:top="280" w:right="239" w:bottom="1440" w:gutter="0" w:footer="0" w:header="0"/>
          <w:type w:val="continuous"/>
        </w:sectPr>
      </w:pPr>
    </w:p>
    <w:p>
      <w:pPr>
        <w:ind w:right="60"/>
        <w:spacing w:after="0" w:line="289" w:lineRule="auto"/>
        <w:rPr>
          <w:sz w:val="20"/>
          <w:szCs w:val="20"/>
          <w:color w:val="auto"/>
        </w:rPr>
      </w:pPr>
      <w:r>
        <w:rPr>
          <w:rFonts w:ascii="Arial" w:cs="Arial" w:eastAsia="Arial" w:hAnsi="Arial"/>
          <w:sz w:val="16"/>
          <w:szCs w:val="16"/>
          <w:color w:val="auto"/>
        </w:rPr>
        <w:t>The Company generates revenues and incurs expenses in numerous foreign currencies. Changes in foreign currency exchange rates impact the Company’s results of operations through changes in the dollar value of foreign currency-denominated operating revenues and expenses. Some of the Company’s more significant foreign currency exposures include the Canadian dollar, Chinese renminbi, European euro, British pound and Japanese yen. At times, the Company uses derivative financial instruments, such as options, collars and forward contracts, to hedge its exposure to foreign currency. At December 31, 2015, the Company had foreign currency derivative contracts in place to hedge European euro denominated sales. The notional amount of the hedges equates to 18% of the Company’s projected European euro denominated net cash inflows for 2016. Net cash relates primarily to passenger ticket sales inflows partially offset by expenses paid in local currencies. At December 31, 2015, the fair value of the Company’s foreign currency derivatives was not material to the Company’s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9480" w:type="dxa"/>
            <w:vAlign w:val="bottom"/>
            <w:gridSpan w:val="6"/>
          </w:tcPr>
          <w:p>
            <w:pPr>
              <w:spacing w:after="0"/>
              <w:rPr>
                <w:sz w:val="20"/>
                <w:szCs w:val="20"/>
                <w:color w:val="auto"/>
              </w:rPr>
            </w:pPr>
            <w:r>
              <w:rPr>
                <w:rFonts w:ascii="Arial" w:cs="Arial" w:eastAsia="Arial" w:hAnsi="Arial"/>
                <w:sz w:val="18"/>
                <w:szCs w:val="18"/>
                <w:b w:val="1"/>
                <w:bCs w:val="1"/>
                <w:color w:val="auto"/>
              </w:rPr>
              <w:t>NOTE 11 - DEBT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9480" w:type="dxa"/>
            <w:vAlign w:val="bottom"/>
            <w:gridSpan w:val="6"/>
          </w:tcPr>
          <w:p>
            <w:pPr>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24"/>
                <w:szCs w:val="24"/>
                <w:color w:val="auto"/>
              </w:rPr>
            </w:pPr>
          </w:p>
        </w:tc>
        <w:tc>
          <w:tcPr>
            <w:tcW w:w="1780" w:type="dxa"/>
            <w:vAlign w:val="bottom"/>
            <w:gridSpan w:val="5"/>
          </w:tcPr>
          <w:p>
            <w:pPr>
              <w:ind w:left="4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6"/>
            <w:vMerge w:val="restart"/>
          </w:tcPr>
          <w:p>
            <w:pPr>
              <w:spacing w:after="0"/>
              <w:rPr>
                <w:sz w:val="20"/>
                <w:szCs w:val="20"/>
                <w:color w:val="auto"/>
              </w:rPr>
            </w:pPr>
            <w:r>
              <w:rPr>
                <w:rFonts w:ascii="Arial" w:cs="Arial" w:eastAsia="Arial" w:hAnsi="Arial"/>
                <w:sz w:val="18"/>
                <w:szCs w:val="18"/>
                <w:color w:val="auto"/>
              </w:rPr>
              <w:t>Secured</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60" w:type="dxa"/>
            <w:vAlign w:val="bottom"/>
            <w:gridSpan w:val="5"/>
            <w:shd w:val="clear" w:color="auto" w:fill="CCCCCC"/>
          </w:tcPr>
          <w:p>
            <w:pPr>
              <w:spacing w:after="0"/>
              <w:rPr>
                <w:sz w:val="20"/>
                <w:szCs w:val="20"/>
                <w:color w:val="auto"/>
              </w:rPr>
            </w:pPr>
            <w:r>
              <w:rPr>
                <w:rFonts w:ascii="Arial" w:cs="Arial" w:eastAsia="Arial" w:hAnsi="Arial"/>
                <w:sz w:val="18"/>
                <w:szCs w:val="18"/>
                <w:color w:val="auto"/>
                <w:w w:val="89"/>
              </w:rPr>
              <w:t>Notes payable, fixed interest rates of 1.42% to 12.00% (weighted average rate of 5.37% as of December 31, 2015), payable through</w:t>
            </w:r>
          </w:p>
        </w:tc>
        <w:tc>
          <w:tcPr>
            <w:tcW w:w="160" w:type="dxa"/>
            <w:vAlign w:val="bottom"/>
            <w:shd w:val="clear" w:color="auto" w:fill="CCCCCC"/>
          </w:tcPr>
          <w:p>
            <w:pPr>
              <w:spacing w:after="0"/>
              <w:rPr>
                <w:sz w:val="18"/>
                <w:szCs w:val="18"/>
                <w:color w:val="auto"/>
              </w:rPr>
            </w:pPr>
          </w:p>
        </w:tc>
        <w:tc>
          <w:tcPr>
            <w:tcW w:w="600" w:type="dxa"/>
            <w:vAlign w:val="bottom"/>
            <w:shd w:val="clear" w:color="auto" w:fill="CCCCCC"/>
          </w:tcPr>
          <w:p>
            <w:pPr>
              <w:spacing w:after="0"/>
              <w:rPr>
                <w:sz w:val="18"/>
                <w:szCs w:val="18"/>
                <w:color w:val="auto"/>
              </w:rPr>
            </w:pPr>
          </w:p>
        </w:tc>
        <w:tc>
          <w:tcPr>
            <w:tcW w:w="1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5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CCCC"/>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7480" w:type="dxa"/>
            <w:vAlign w:val="bottom"/>
            <w:shd w:val="clear" w:color="auto" w:fill="CCCCCC"/>
          </w:tcPr>
          <w:p>
            <w:pPr>
              <w:spacing w:after="0"/>
              <w:rPr>
                <w:sz w:val="19"/>
                <w:szCs w:val="19"/>
                <w:color w:val="auto"/>
              </w:rPr>
            </w:pPr>
          </w:p>
        </w:tc>
        <w:tc>
          <w:tcPr>
            <w:tcW w:w="1140" w:type="dxa"/>
            <w:vAlign w:val="bottom"/>
            <w:shd w:val="clear" w:color="auto" w:fill="CCCCCC"/>
          </w:tcPr>
          <w:p>
            <w:pPr>
              <w:spacing w:after="0"/>
              <w:rPr>
                <w:sz w:val="19"/>
                <w:szCs w:val="19"/>
                <w:color w:val="auto"/>
              </w:rPr>
            </w:pP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7,971</w:t>
            </w:r>
          </w:p>
        </w:tc>
        <w:tc>
          <w:tcPr>
            <w:tcW w:w="120" w:type="dxa"/>
            <w:vAlign w:val="bottom"/>
            <w:shd w:val="clear" w:color="auto" w:fill="CCCCCC"/>
          </w:tcPr>
          <w:p>
            <w:pPr>
              <w:spacing w:after="0"/>
              <w:rPr>
                <w:sz w:val="19"/>
                <w:szCs w:val="19"/>
                <w:color w:val="auto"/>
              </w:rPr>
            </w:pPr>
          </w:p>
        </w:tc>
        <w:tc>
          <w:tcPr>
            <w:tcW w:w="1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7,464</w:t>
            </w:r>
          </w:p>
        </w:tc>
        <w:tc>
          <w:tcPr>
            <w:tcW w:w="3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1"/>
              </w:rPr>
              <w:t>Notes payable, floating interest rates of the London Interbank Offered Rate (“LIBOR”) plus 0.20% to 2.85%, payable through 2027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shd w:val="clear" w:color="auto" w:fill="CCCCCC"/>
          </w:tcPr>
          <w:p>
            <w:pPr>
              <w:spacing w:after="0"/>
              <w:rPr>
                <w:sz w:val="20"/>
                <w:szCs w:val="20"/>
                <w:color w:val="auto"/>
              </w:rPr>
            </w:pPr>
            <w:r>
              <w:rPr>
                <w:rFonts w:ascii="Arial" w:cs="Arial" w:eastAsia="Arial" w:hAnsi="Arial"/>
                <w:sz w:val="18"/>
                <w:szCs w:val="18"/>
                <w:color w:val="auto"/>
                <w:w w:val="93"/>
              </w:rPr>
              <w:t>Term loan, LIBOR subject to a 0.75% floor, plus 2.75%, or alternative rate based on certain market rates plus 1.75%, due 2019</w:t>
            </w:r>
          </w:p>
        </w:tc>
        <w:tc>
          <w:tcPr>
            <w:tcW w:w="160" w:type="dxa"/>
            <w:vAlign w:val="bottom"/>
            <w:shd w:val="clear" w:color="auto" w:fill="CCCCCC"/>
          </w:tcPr>
          <w:p>
            <w:pPr>
              <w:spacing w:after="0"/>
              <w:rPr>
                <w:sz w:val="18"/>
                <w:szCs w:val="18"/>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w w:val="95"/>
              </w:rPr>
              <w:t>Term loan, LIBOR subject to a 0.75% floor, plus 3.00%, or alternative rate based on certain market rates plus 2%, due 2021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480" w:type="dxa"/>
            <w:vAlign w:val="bottom"/>
            <w:gridSpan w:val="6"/>
          </w:tcPr>
          <w:p>
            <w:pPr>
              <w:spacing w:after="0" w:line="184" w:lineRule="exact"/>
              <w:rPr>
                <w:sz w:val="20"/>
                <w:szCs w:val="20"/>
                <w:color w:val="auto"/>
              </w:rPr>
            </w:pPr>
            <w:r>
              <w:rPr>
                <w:rFonts w:ascii="Arial" w:cs="Arial" w:eastAsia="Arial" w:hAnsi="Arial"/>
                <w:sz w:val="18"/>
                <w:szCs w:val="18"/>
                <w:color w:val="auto"/>
              </w:rPr>
              <w:t>Unsecured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6% Notes due 2026 to 2028 (a)</w:t>
            </w:r>
          </w:p>
        </w:tc>
        <w:tc>
          <w:tcPr>
            <w:tcW w:w="160" w:type="dxa"/>
            <w:vAlign w:val="bottom"/>
            <w:shd w:val="clear" w:color="auto" w:fill="CCCCCC"/>
          </w:tcPr>
          <w:p>
            <w:pPr>
              <w:spacing w:after="0"/>
              <w:rPr>
                <w:sz w:val="18"/>
                <w:szCs w:val="18"/>
                <w:color w:val="auto"/>
              </w:rPr>
            </w:pPr>
          </w:p>
        </w:tc>
        <w:tc>
          <w:tcPr>
            <w:tcW w:w="720" w:type="dxa"/>
            <w:vAlign w:val="bottom"/>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632</w:t>
            </w:r>
          </w:p>
        </w:tc>
        <w:tc>
          <w:tcPr>
            <w:tcW w:w="3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6% Senior Notes due 2020 (a)</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6.375% Senior Notes due 2018 (a)</w:t>
            </w:r>
          </w:p>
        </w:tc>
        <w:tc>
          <w:tcPr>
            <w:tcW w:w="160" w:type="dxa"/>
            <w:vAlign w:val="bottom"/>
            <w:shd w:val="clear" w:color="auto" w:fill="CCCCCC"/>
          </w:tcPr>
          <w:p>
            <w:pPr>
              <w:spacing w:after="0"/>
              <w:rPr>
                <w:sz w:val="18"/>
                <w:szCs w:val="18"/>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4.5% Convertible Notes due 2015</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CCCC"/>
          </w:tcPr>
          <w:p>
            <w:pPr>
              <w:spacing w:after="0"/>
              <w:rPr>
                <w:sz w:val="18"/>
                <w:szCs w:val="18"/>
                <w:color w:val="auto"/>
              </w:rPr>
            </w:pP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CCCC"/>
          </w:tcPr>
          <w:p>
            <w:pPr>
              <w:spacing w:after="0"/>
              <w:rPr>
                <w:sz w:val="18"/>
                <w:szCs w:val="18"/>
                <w:color w:val="auto"/>
              </w:rPr>
            </w:pPr>
          </w:p>
        </w:tc>
        <w:tc>
          <w:tcPr>
            <w:tcW w:w="18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11,042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11,533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shd w:val="clear" w:color="auto" w:fill="CCCCCC"/>
          </w:tcPr>
          <w:p>
            <w:pPr>
              <w:ind w:left="420"/>
              <w:spacing w:after="0"/>
              <w:rPr>
                <w:sz w:val="20"/>
                <w:szCs w:val="20"/>
                <w:color w:val="auto"/>
              </w:rPr>
            </w:pPr>
            <w:r>
              <w:rPr>
                <w:rFonts w:ascii="Arial" w:cs="Arial" w:eastAsia="Arial" w:hAnsi="Arial"/>
                <w:sz w:val="18"/>
                <w:szCs w:val="18"/>
                <w:color w:val="auto"/>
              </w:rPr>
              <w:t>Less: unamortized debt discount, premiums and debt issuance costs</w:t>
            </w:r>
          </w:p>
        </w:tc>
        <w:tc>
          <w:tcPr>
            <w:tcW w:w="160" w:type="dxa"/>
            <w:vAlign w:val="bottom"/>
            <w:shd w:val="clear" w:color="auto" w:fill="CCCCCC"/>
          </w:tcPr>
          <w:p>
            <w:pPr>
              <w:spacing w:after="0"/>
              <w:rPr>
                <w:sz w:val="18"/>
                <w:szCs w:val="18"/>
                <w:color w:val="auto"/>
              </w:rPr>
            </w:pPr>
          </w:p>
        </w:tc>
        <w:tc>
          <w:tcPr>
            <w:tcW w:w="720" w:type="dxa"/>
            <w:vAlign w:val="bottom"/>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CCCC"/>
          </w:tcPr>
          <w:p>
            <w:pPr>
              <w:spacing w:after="0"/>
              <w:rPr>
                <w:sz w:val="18"/>
                <w:szCs w:val="18"/>
                <w:color w:val="auto"/>
              </w:rPr>
            </w:pPr>
          </w:p>
        </w:tc>
        <w:tc>
          <w:tcPr>
            <w:tcW w:w="880" w:type="dxa"/>
            <w:vAlign w:val="bottom"/>
            <w:gridSpan w:val="2"/>
            <w:shd w:val="clear" w:color="auto" w:fill="CCCCCC"/>
          </w:tcPr>
          <w:p>
            <w:pPr>
              <w:ind w:left="200"/>
              <w:spacing w:after="0"/>
              <w:rPr>
                <w:sz w:val="20"/>
                <w:szCs w:val="20"/>
                <w:color w:val="auto"/>
              </w:rPr>
            </w:pPr>
            <w:r>
              <w:rPr>
                <w:rFonts w:ascii="Arial" w:cs="Arial" w:eastAsia="Arial" w:hAnsi="Arial"/>
                <w:sz w:val="18"/>
                <w:szCs w:val="18"/>
                <w:color w:val="auto"/>
                <w:w w:val="95"/>
              </w:rPr>
              <w:t>(267) (b)</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5"/>
          </w:tcPr>
          <w:p>
            <w:pPr>
              <w:ind w:left="42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5"/>
            <w:shd w:val="clear" w:color="auto" w:fill="CCCCCC"/>
          </w:tcPr>
          <w:p>
            <w:pPr>
              <w:spacing w:after="0"/>
              <w:rPr>
                <w:sz w:val="20"/>
                <w:szCs w:val="20"/>
                <w:color w:val="auto"/>
              </w:rPr>
            </w:pPr>
            <w:r>
              <w:rPr>
                <w:rFonts w:ascii="Arial" w:cs="Arial" w:eastAsia="Arial" w:hAnsi="Arial"/>
                <w:sz w:val="18"/>
                <w:szCs w:val="18"/>
                <w:color w:val="auto"/>
              </w:rPr>
              <w:t>Long-term debt, net</w:t>
            </w:r>
          </w:p>
        </w:tc>
        <w:tc>
          <w:tcPr>
            <w:tcW w:w="16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9,673</w:t>
            </w:r>
          </w:p>
        </w:tc>
        <w:tc>
          <w:tcPr>
            <w:tcW w:w="120" w:type="dxa"/>
            <w:vAlign w:val="bottom"/>
            <w:shd w:val="clear" w:color="auto" w:fill="CCCCCC"/>
          </w:tcPr>
          <w:p>
            <w:pPr>
              <w:spacing w:after="0"/>
              <w:rPr>
                <w:sz w:val="18"/>
                <w:szCs w:val="18"/>
                <w:color w:val="auto"/>
              </w:rPr>
            </w:pPr>
          </w:p>
        </w:tc>
        <w:tc>
          <w:tcPr>
            <w:tcW w:w="1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9,953</w:t>
            </w:r>
          </w:p>
        </w:tc>
        <w:tc>
          <w:tcPr>
            <w:tcW w:w="3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UAL is the issuer of this debt. United is a guarantor.</w:t>
      </w:r>
    </w:p>
    <w:p>
      <w:pPr>
        <w:spacing w:after="0" w:line="36" w:lineRule="exact"/>
        <w:rPr>
          <w:rFonts w:ascii="Arial" w:cs="Arial" w:eastAsia="Arial" w:hAnsi="Arial"/>
          <w:sz w:val="18"/>
          <w:szCs w:val="18"/>
          <w:color w:val="auto"/>
        </w:rPr>
      </w:pPr>
    </w:p>
    <w:p>
      <w:pPr>
        <w:ind w:right="20" w:firstLine="8"/>
        <w:spacing w:after="0" w:line="332"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2014 amount differs from the amount reported in the Company’s Form 10-K for the fiscal year ended December 31, 2014 due to the adoption of an accounting standard update in 2015. See Note 1(t) Recently Issued Accounting Standards of this report for additional information.</w:t>
      </w:r>
    </w:p>
    <w:p>
      <w:pPr>
        <w:spacing w:after="0" w:line="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 below presents the Company’s contractual principal payments at December 31, 2015 under then-outstanding long-term debt agreements in each of the next five calendar years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CCCC"/>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CCCC"/>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r>
      <w:tr>
        <w:trPr>
          <w:trHeight w:val="216"/>
        </w:trPr>
        <w:tc>
          <w:tcPr>
            <w:tcW w:w="10480" w:type="dxa"/>
            <w:vAlign w:val="bottom"/>
            <w:shd w:val="clear" w:color="auto" w:fill="CCCCCC"/>
          </w:tcPr>
          <w:p>
            <w:pPr>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CCCC"/>
          </w:tcPr>
          <w:p>
            <w:pPr>
              <w:spacing w:after="0"/>
              <w:rPr>
                <w:sz w:val="18"/>
                <w:szCs w:val="18"/>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CCCC"/>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r>
      <w:tr>
        <w:trPr>
          <w:trHeight w:val="216"/>
        </w:trPr>
        <w:tc>
          <w:tcPr>
            <w:tcW w:w="10480" w:type="dxa"/>
            <w:vAlign w:val="bottom"/>
            <w:shd w:val="clear" w:color="auto" w:fill="CCCCCC"/>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CCCC"/>
          </w:tcPr>
          <w:p>
            <w:pPr>
              <w:spacing w:after="0"/>
              <w:rPr>
                <w:sz w:val="18"/>
                <w:szCs w:val="18"/>
                <w:color w:val="auto"/>
              </w:rPr>
            </w:pPr>
          </w:p>
        </w:tc>
        <w:tc>
          <w:tcPr>
            <w:tcW w:w="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CCCC"/>
          </w:tcPr>
          <w:p>
            <w:pPr>
              <w:spacing w:after="0"/>
              <w:rPr>
                <w:sz w:val="18"/>
                <w:szCs w:val="18"/>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After 2020</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19"/>
                <w:szCs w:val="19"/>
                <w:color w:val="auto"/>
              </w:rPr>
            </w:pPr>
          </w:p>
        </w:tc>
      </w:tr>
      <w:tr>
        <w:trPr>
          <w:trHeight w:val="216"/>
        </w:trPr>
        <w:tc>
          <w:tcPr>
            <w:tcW w:w="10480" w:type="dxa"/>
            <w:vAlign w:val="bottom"/>
            <w:shd w:val="clear" w:color="auto" w:fill="CCCCCC"/>
          </w:tcPr>
          <w:p>
            <w:pPr>
              <w:spacing w:after="0"/>
              <w:rPr>
                <w:sz w:val="18"/>
                <w:szCs w:val="18"/>
                <w:color w:val="auto"/>
              </w:rPr>
            </w:pPr>
          </w:p>
        </w:tc>
        <w:tc>
          <w:tcPr>
            <w:tcW w:w="240" w:type="dxa"/>
            <w:vAlign w:val="bottom"/>
            <w:tcBorders>
              <w:bottom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8"/>
              </w:rPr>
              <w:t>11,042</w:t>
            </w:r>
          </w:p>
        </w:tc>
        <w:tc>
          <w:tcPr>
            <w:tcW w:w="100" w:type="dxa"/>
            <w:vAlign w:val="bottom"/>
            <w:shd w:val="clear" w:color="auto" w:fill="CCCCCC"/>
          </w:tcPr>
          <w:p>
            <w:pPr>
              <w:spacing w:after="0"/>
              <w:rPr>
                <w:sz w:val="18"/>
                <w:szCs w:val="18"/>
                <w:color w:val="auto"/>
              </w:rPr>
            </w:pP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December 31, 2015, a substantial portion of the Company’s assets, principally aircraft, route authorities and loyalty program intangible assets, was pledged under various loan and other agreements. As of December 31, 2015, UAL and United were in compliance with their respective debt covenants. Continued compliance depends on many factors, some of which are beyond the Company’s control, including the overall industry revenue environment and the level of fuel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Secured debt</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2013 Credit and Guaranty Agreement. </w:t>
      </w:r>
      <w:r>
        <w:rPr>
          <w:rFonts w:ascii="Arial" w:cs="Arial" w:eastAsia="Arial" w:hAnsi="Arial"/>
          <w:sz w:val="18"/>
          <w:szCs w:val="18"/>
          <w:color w:val="auto"/>
        </w:rPr>
        <w:t>United and UAL are parties to a Credit and Guaranty Agreement (the “Credit Agreement”) as the borrower and guarantor,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Credit Agreement consists of a $900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93" w:name="page94"/>
    <w:bookmarkEnd w:id="93"/>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million term loan due April 2019 (of which $875 million was outstanding as of December 31, 2015) (the “Term Loan due 2019”), a $500 million term loan due September 2021 (of which $194 million was outstanding as of December 31, 2015) (the “Term Loan due 2021”) and a $1.35 billion revolving credit facility, with $1.35 billion being available for drawing until April 2018 and $1.315 billion being available for drawing until January 2019.</w:t>
      </w:r>
    </w:p>
    <w:p>
      <w:pPr>
        <w:spacing w:after="0" w:line="5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term loans under the Credit Agreement bear interest at a variable rate equal to LIBOR plus a margin of, in the case of the Term Loan due 2019, 2.75% per annum and, in the case of the Term Loan due 2021, 3.0% per annum, subject in each case to a 0.75% floor. Borrowings under the revolving credit facility of the Credit Agreement bear interest at a variable rate equal to LIBOR plus a margin of 3.0% per annum, or another rate based on certain market interest rates, plus a margin of 2.0% per annum. The principal amount of the term loans must be repaid in consecutive quarterly installments of 0.25% of the original principal amount thereof, with any unpaid balance due, in the case of the Term Loan due 2019, on April 1, 2019 and, in the case of the Term Loan due 2021, on September 15, 2021. United may prepay all or a portion of the term loans from time to time, at par plus accrued and unpaid interest. United pays a commitment fee equal to 0.75% per-annum on the undrawn amount available under the revolving credit facility.</w:t>
      </w:r>
    </w:p>
    <w:p>
      <w:pPr>
        <w:spacing w:after="0" w:line="6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Term Loan due 2021 ranks pari passu with the Term Loan due 2019 that United originally borrowed under the Credit Agreement. The Credit Agreement requires United to repay the term loans and any other outstanding borrowings under the Credit Agreement at par plus accrued and unpaid interest if certain changes of control of UAL occur.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2015, United had its entire capacity of $1.35 billion available under the revolving credit facility of the Company’s Credit Agreement.</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December 31, 2015, United had cash collateralized $70 million of letters of credit. United also had $437 million of performance bonds relating to various real estate, customs and aircraft financing obligations at December 31, 2015. Most of the letters of credit have evergreen clauses and are expected to be renewed on an annual basis and the performance bonds have expiration dates through 2019.</w:t>
      </w:r>
    </w:p>
    <w:p>
      <w:pPr>
        <w:spacing w:after="0" w:line="86"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b w:val="1"/>
          <w:bCs w:val="1"/>
          <w:i w:val="1"/>
          <w:iCs w:val="1"/>
          <w:color w:val="auto"/>
        </w:rPr>
        <w:t xml:space="preserve">EETCs. </w:t>
      </w:r>
      <w:r>
        <w:rPr>
          <w:rFonts w:ascii="Arial" w:cs="Arial" w:eastAsia="Arial" w:hAnsi="Arial"/>
          <w:sz w:val="15"/>
          <w:szCs w:val="15"/>
          <w:color w:val="auto"/>
        </w:rPr>
        <w:t>United has $7.8 billion principal amount of equipment notes outstanding issued under EETC financings included in notes payable in the table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debt above. Generally, the structure of these EETC financings consist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 are issued by United and secured by its aircraft. The payment obligations under the equipment notes are those of United.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80" w:right="279" w:bottom="1440" w:gutter="0" w:footer="0" w:header="0"/>
        </w:sectPr>
      </w:pPr>
    </w:p>
    <w:bookmarkStart w:id="94" w:name="page95"/>
    <w:bookmarkEnd w:id="9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November 2015 and August 2014, United created separate EETC pass-through trusts, each of which issued pass-through certificates. The proceeds of the issuance of the pass-through certificates are used to purchase equipment notes issued by United and secured by its aircraft. The Company records the debt obligation upon issuance of the equipment notes rather than upon the initial issuance of the pass-through certificates. United has received and recorded all of the proceeds from the November 2015 and August 2014 pass-through trusts as debt as of December 31, 2015. Certain details of the pass-through trusts with proceeds received from issuance of debt in 2015 are as follows (in millions, except stated interest rate):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3"/>
              </w:rPr>
              <w:t>Proceeds</w:t>
            </w:r>
          </w:p>
        </w:tc>
        <w:tc>
          <w:tcPr>
            <w:tcW w:w="44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proceeds from</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Final expected</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Total debt</w:t>
            </w:r>
          </w:p>
        </w:tc>
        <w:tc>
          <w:tcPr>
            <w:tcW w:w="4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received from</w:t>
            </w:r>
          </w:p>
        </w:tc>
        <w:tc>
          <w:tcPr>
            <w:tcW w:w="44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issuance of debt</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04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87"/>
              </w:rPr>
              <w:t>Stated</w:t>
            </w:r>
          </w:p>
        </w:tc>
        <w:tc>
          <w:tcPr>
            <w:tcW w:w="240" w:type="dxa"/>
            <w:vAlign w:val="bottom"/>
          </w:tcPr>
          <w:p>
            <w:pPr>
              <w:spacing w:after="0"/>
              <w:rPr>
                <w:sz w:val="17"/>
                <w:szCs w:val="17"/>
                <w:color w:val="auto"/>
              </w:rPr>
            </w:pPr>
          </w:p>
        </w:tc>
        <w:tc>
          <w:tcPr>
            <w:tcW w:w="118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88"/>
              </w:rPr>
              <w:t>recorded</w:t>
            </w:r>
          </w:p>
        </w:tc>
        <w:tc>
          <w:tcPr>
            <w:tcW w:w="440" w:type="dxa"/>
            <w:vAlign w:val="bottom"/>
          </w:tcPr>
          <w:p>
            <w:pPr>
              <w:spacing w:after="0"/>
              <w:rPr>
                <w:sz w:val="17"/>
                <w:szCs w:val="17"/>
                <w:color w:val="auto"/>
              </w:rPr>
            </w:pPr>
          </w:p>
        </w:tc>
        <w:tc>
          <w:tcPr>
            <w:tcW w:w="10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0"/>
              </w:rPr>
              <w:t>issuance of</w:t>
            </w:r>
          </w:p>
        </w:tc>
        <w:tc>
          <w:tcPr>
            <w:tcW w:w="440" w:type="dxa"/>
            <w:vAlign w:val="bottom"/>
          </w:tcPr>
          <w:p>
            <w:pPr>
              <w:spacing w:after="0"/>
              <w:rPr>
                <w:sz w:val="17"/>
                <w:szCs w:val="17"/>
                <w:color w:val="auto"/>
              </w:rPr>
            </w:pPr>
          </w:p>
        </w:tc>
        <w:tc>
          <w:tcPr>
            <w:tcW w:w="130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85"/>
              </w:rPr>
              <w:t>to be received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distribution</w:t>
            </w: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interest</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as of December 31,</w:t>
            </w:r>
          </w:p>
        </w:tc>
        <w:tc>
          <w:tcPr>
            <w:tcW w:w="4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debt during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 future</w:t>
            </w:r>
          </w:p>
        </w:tc>
        <w:tc>
          <w:tcPr>
            <w:tcW w:w="0" w:type="dxa"/>
            <w:vAlign w:val="bottom"/>
          </w:tcPr>
          <w:p>
            <w:pPr>
              <w:spacing w:after="0"/>
              <w:rPr>
                <w:sz w:val="1"/>
                <w:szCs w:val="1"/>
                <w:color w:val="auto"/>
              </w:rPr>
            </w:pPr>
          </w:p>
        </w:tc>
      </w:tr>
      <w:tr>
        <w:trPr>
          <w:trHeight w:val="243"/>
        </w:trPr>
        <w:tc>
          <w:tcPr>
            <w:tcW w:w="2220" w:type="dxa"/>
            <w:vAlign w:val="bottom"/>
            <w:gridSpan w:val="2"/>
          </w:tcPr>
          <w:p>
            <w:pPr>
              <w:ind w:left="520"/>
              <w:spacing w:after="0"/>
              <w:rPr>
                <w:sz w:val="20"/>
                <w:szCs w:val="20"/>
                <w:color w:val="auto"/>
              </w:rPr>
            </w:pPr>
            <w:r>
              <w:rPr>
                <w:rFonts w:ascii="Arial" w:cs="Arial" w:eastAsia="Arial" w:hAnsi="Arial"/>
                <w:sz w:val="18"/>
                <w:szCs w:val="18"/>
                <w:b w:val="1"/>
                <w:bCs w:val="1"/>
                <w:color w:val="auto"/>
              </w:rPr>
              <w:t>EETC Date</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Class</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Principal</w:t>
            </w:r>
          </w:p>
        </w:tc>
        <w:tc>
          <w:tcPr>
            <w:tcW w:w="420" w:type="dxa"/>
            <w:vAlign w:val="bottom"/>
          </w:tcPr>
          <w:p>
            <w:pPr>
              <w:spacing w:after="0"/>
              <w:rPr>
                <w:sz w:val="21"/>
                <w:szCs w:val="21"/>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date</w:t>
            </w: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rate</w:t>
            </w:r>
          </w:p>
        </w:tc>
        <w:tc>
          <w:tcPr>
            <w:tcW w:w="240" w:type="dxa"/>
            <w:vAlign w:val="bottom"/>
          </w:tcPr>
          <w:p>
            <w:pPr>
              <w:spacing w:after="0"/>
              <w:rPr>
                <w:sz w:val="21"/>
                <w:szCs w:val="21"/>
                <w:color w:val="auto"/>
              </w:rPr>
            </w:pPr>
          </w:p>
        </w:tc>
        <w:tc>
          <w:tcPr>
            <w:tcW w:w="1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periods</w:t>
            </w:r>
          </w:p>
        </w:tc>
        <w:tc>
          <w:tcPr>
            <w:tcW w:w="0" w:type="dxa"/>
            <w:vAlign w:val="bottom"/>
          </w:tcPr>
          <w:p>
            <w:pPr>
              <w:spacing w:after="0"/>
              <w:rPr>
                <w:sz w:val="1"/>
                <w:szCs w:val="1"/>
                <w:color w:val="auto"/>
              </w:rPr>
            </w:pPr>
          </w:p>
        </w:tc>
      </w:tr>
      <w:tr>
        <w:trPr>
          <w:trHeight w:val="211"/>
        </w:trPr>
        <w:tc>
          <w:tcPr>
            <w:tcW w:w="188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November 2015</w:t>
            </w:r>
          </w:p>
        </w:tc>
        <w:tc>
          <w:tcPr>
            <w:tcW w:w="340" w:type="dxa"/>
            <w:vAlign w:val="bottom"/>
            <w:tcBorders>
              <w:top w:val="single" w:sz="8" w:color="CCCCCC"/>
            </w:tcBorders>
            <w:shd w:val="clear" w:color="auto" w:fill="CCCCCC"/>
          </w:tcPr>
          <w:p>
            <w:pPr>
              <w:spacing w:after="0"/>
              <w:rPr>
                <w:sz w:val="18"/>
                <w:szCs w:val="18"/>
                <w:color w:val="auto"/>
              </w:rPr>
            </w:pPr>
          </w:p>
        </w:tc>
        <w:tc>
          <w:tcPr>
            <w:tcW w:w="44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AA</w:t>
            </w:r>
          </w:p>
        </w:tc>
        <w:tc>
          <w:tcPr>
            <w:tcW w:w="340" w:type="dxa"/>
            <w:vAlign w:val="bottom"/>
            <w:tcBorders>
              <w:top w:val="single" w:sz="8" w:color="CCCCCC"/>
            </w:tcBorders>
            <w:shd w:val="clear" w:color="auto" w:fill="CCCCCC"/>
          </w:tcPr>
          <w:p>
            <w:pPr>
              <w:spacing w:after="0"/>
              <w:rPr>
                <w:sz w:val="18"/>
                <w:szCs w:val="18"/>
                <w:color w:val="auto"/>
              </w:rPr>
            </w:pPr>
          </w:p>
        </w:tc>
        <w:tc>
          <w:tcPr>
            <w:tcW w:w="2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334</w:t>
            </w:r>
          </w:p>
        </w:tc>
        <w:tc>
          <w:tcPr>
            <w:tcW w:w="420" w:type="dxa"/>
            <w:vAlign w:val="bottom"/>
            <w:tcBorders>
              <w:top w:val="single" w:sz="8" w:color="CCCCCC"/>
            </w:tcBorders>
            <w:shd w:val="clear" w:color="auto" w:fill="CCCCCC"/>
          </w:tcPr>
          <w:p>
            <w:pPr>
              <w:spacing w:after="0"/>
              <w:rPr>
                <w:sz w:val="18"/>
                <w:szCs w:val="18"/>
                <w:color w:val="auto"/>
              </w:rPr>
            </w:pPr>
          </w:p>
        </w:tc>
        <w:tc>
          <w:tcPr>
            <w:tcW w:w="130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5"/>
              </w:rPr>
              <w:t>December 2027</w:t>
            </w:r>
          </w:p>
        </w:tc>
        <w:tc>
          <w:tcPr>
            <w:tcW w:w="320" w:type="dxa"/>
            <w:vAlign w:val="bottom"/>
            <w:tcBorders>
              <w:top w:val="single" w:sz="8" w:color="CCCCCC"/>
            </w:tcBorders>
            <w:shd w:val="clear" w:color="auto" w:fill="CCCCCC"/>
          </w:tcPr>
          <w:p>
            <w:pPr>
              <w:spacing w:after="0"/>
              <w:rPr>
                <w:sz w:val="18"/>
                <w:szCs w:val="18"/>
                <w:color w:val="auto"/>
              </w:rPr>
            </w:pPr>
          </w:p>
        </w:tc>
        <w:tc>
          <w:tcPr>
            <w:tcW w:w="6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3.45%</w:t>
            </w:r>
          </w:p>
        </w:tc>
        <w:tc>
          <w:tcPr>
            <w:tcW w:w="420" w:type="dxa"/>
            <w:vAlign w:val="bottom"/>
            <w:tcBorders>
              <w:top w:val="single" w:sz="8" w:color="CCCCCC"/>
            </w:tcBorders>
            <w:shd w:val="clear" w:color="auto" w:fill="CCCCCC"/>
          </w:tcPr>
          <w:p>
            <w:pPr>
              <w:spacing w:after="0"/>
              <w:rPr>
                <w:sz w:val="18"/>
                <w:szCs w:val="18"/>
                <w:color w:val="auto"/>
              </w:rPr>
            </w:pPr>
          </w:p>
        </w:tc>
        <w:tc>
          <w:tcPr>
            <w:tcW w:w="240" w:type="dxa"/>
            <w:vAlign w:val="bottom"/>
            <w:tcBorders>
              <w:top w:val="single" w:sz="8" w:color="auto"/>
            </w:tcBorders>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Borders>
              <w:top w:val="single" w:sz="8" w:color="CCCCCC"/>
            </w:tcBorders>
            <w:shd w:val="clear" w:color="auto" w:fill="CCCCCC"/>
          </w:tcPr>
          <w:p>
            <w:pPr>
              <w:spacing w:after="0"/>
              <w:rPr>
                <w:sz w:val="18"/>
                <w:szCs w:val="18"/>
                <w:color w:val="auto"/>
              </w:rPr>
            </w:pPr>
          </w:p>
        </w:tc>
        <w:tc>
          <w:tcPr>
            <w:tcW w:w="1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CCCC"/>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November 2015</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A</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December 2022</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August 2014</w:t>
            </w:r>
          </w:p>
        </w:tc>
        <w:tc>
          <w:tcPr>
            <w:tcW w:w="780" w:type="dxa"/>
            <w:vAlign w:val="bottom"/>
            <w:gridSpan w:val="2"/>
            <w:shd w:val="clear" w:color="auto" w:fill="CCCCCC"/>
          </w:tcPr>
          <w:p>
            <w:pPr>
              <w:jc w:val="center"/>
              <w:ind w:right="340"/>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CCCC"/>
          </w:tcPr>
          <w:p>
            <w:pPr>
              <w:spacing w:after="0"/>
              <w:rPr>
                <w:sz w:val="18"/>
                <w:szCs w:val="18"/>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823</w:t>
            </w:r>
          </w:p>
        </w:tc>
        <w:tc>
          <w:tcPr>
            <w:tcW w:w="420" w:type="dxa"/>
            <w:vAlign w:val="bottom"/>
            <w:shd w:val="clear" w:color="auto" w:fill="CCCCCC"/>
          </w:tcPr>
          <w:p>
            <w:pPr>
              <w:spacing w:after="0"/>
              <w:rPr>
                <w:sz w:val="18"/>
                <w:szCs w:val="18"/>
                <w:color w:val="auto"/>
              </w:rPr>
            </w:pPr>
          </w:p>
        </w:tc>
        <w:tc>
          <w:tcPr>
            <w:tcW w:w="1620" w:type="dxa"/>
            <w:vAlign w:val="bottom"/>
            <w:gridSpan w:val="2"/>
            <w:shd w:val="clear" w:color="auto" w:fill="CCCCCC"/>
          </w:tcPr>
          <w:p>
            <w:pPr>
              <w:jc w:val="center"/>
              <w:ind w:right="320"/>
              <w:spacing w:after="0"/>
              <w:rPr>
                <w:sz w:val="20"/>
                <w:szCs w:val="20"/>
                <w:color w:val="auto"/>
              </w:rPr>
            </w:pPr>
            <w:r>
              <w:rPr>
                <w:rFonts w:ascii="Arial" w:cs="Arial" w:eastAsia="Arial" w:hAnsi="Arial"/>
                <w:sz w:val="18"/>
                <w:szCs w:val="18"/>
                <w:color w:val="auto"/>
                <w:w w:val="85"/>
              </w:rPr>
              <w:t>September 2026</w:t>
            </w:r>
          </w:p>
        </w:tc>
        <w:tc>
          <w:tcPr>
            <w:tcW w:w="1040" w:type="dxa"/>
            <w:vAlign w:val="bottom"/>
            <w:gridSpan w:val="2"/>
            <w:shd w:val="clear" w:color="auto" w:fill="CCCCCC"/>
          </w:tcPr>
          <w:p>
            <w:pPr>
              <w:jc w:val="right"/>
              <w:ind w:right="42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CCCC"/>
          </w:tcPr>
          <w:p>
            <w:pPr>
              <w:spacing w:after="0"/>
              <w:rPr>
                <w:sz w:val="18"/>
                <w:szCs w:val="18"/>
                <w:color w:val="auto"/>
              </w:rPr>
            </w:pPr>
          </w:p>
        </w:tc>
        <w:tc>
          <w:tcPr>
            <w:tcW w:w="11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823</w:t>
            </w:r>
          </w:p>
        </w:tc>
        <w:tc>
          <w:tcPr>
            <w:tcW w:w="44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711</w:t>
            </w:r>
          </w:p>
        </w:tc>
        <w:tc>
          <w:tcPr>
            <w:tcW w:w="440" w:type="dxa"/>
            <w:vAlign w:val="bottom"/>
            <w:shd w:val="clear" w:color="auto" w:fill="CCCCCC"/>
          </w:tcPr>
          <w:p>
            <w:pPr>
              <w:spacing w:after="0"/>
              <w:rPr>
                <w:sz w:val="18"/>
                <w:szCs w:val="18"/>
                <w:color w:val="auto"/>
              </w:rPr>
            </w:pPr>
          </w:p>
        </w:tc>
        <w:tc>
          <w:tcPr>
            <w:tcW w:w="160" w:type="dxa"/>
            <w:vAlign w:val="bottom"/>
            <w:shd w:val="clear" w:color="auto" w:fill="CCCCCC"/>
          </w:tcPr>
          <w:p>
            <w:pPr>
              <w:spacing w:after="0"/>
              <w:rPr>
                <w:sz w:val="18"/>
                <w:szCs w:val="18"/>
                <w:color w:val="auto"/>
              </w:rPr>
            </w:pPr>
          </w:p>
        </w:tc>
        <w:tc>
          <w:tcPr>
            <w:tcW w:w="1140" w:type="dxa"/>
            <w:vAlign w:val="bottom"/>
            <w:gridSpan w:val="2"/>
            <w:shd w:val="clear" w:color="auto" w:fill="CCCCC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20" w:type="dxa"/>
            <w:vAlign w:val="bottom"/>
            <w:gridSpan w:val="2"/>
          </w:tcPr>
          <w:p>
            <w:pPr>
              <w:spacing w:after="0"/>
              <w:rPr>
                <w:sz w:val="20"/>
                <w:szCs w:val="20"/>
                <w:color w:val="auto"/>
              </w:rPr>
            </w:pPr>
            <w:r>
              <w:rPr>
                <w:rFonts w:ascii="Arial" w:cs="Arial" w:eastAsia="Arial" w:hAnsi="Arial"/>
                <w:sz w:val="18"/>
                <w:szCs w:val="18"/>
                <w:color w:val="auto"/>
              </w:rPr>
              <w:t>August 2014</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B</w:t>
            </w: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September 2022</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4.625%</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44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7"/>
              </w:rPr>
              <w:t>1,495</w:t>
            </w:r>
          </w:p>
        </w:tc>
        <w:tc>
          <w:tcPr>
            <w:tcW w:w="420" w:type="dxa"/>
            <w:vAlign w:val="bottom"/>
            <w:shd w:val="clear" w:color="auto" w:fill="CCCCCC"/>
          </w:tcPr>
          <w:p>
            <w:pPr>
              <w:spacing w:after="0"/>
              <w:rPr>
                <w:sz w:val="18"/>
                <w:szCs w:val="18"/>
                <w:color w:val="auto"/>
              </w:rPr>
            </w:pPr>
          </w:p>
        </w:tc>
        <w:tc>
          <w:tcPr>
            <w:tcW w:w="130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62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240" w:type="dxa"/>
            <w:vAlign w:val="bottom"/>
            <w:shd w:val="clear" w:color="auto" w:fill="CCCCCC"/>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1,495</w:t>
            </w:r>
          </w:p>
        </w:tc>
        <w:tc>
          <w:tcPr>
            <w:tcW w:w="6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1,351</w:t>
            </w:r>
          </w:p>
        </w:tc>
        <w:tc>
          <w:tcPr>
            <w:tcW w:w="60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CCC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2015, United borrowed approximately $590 million aggregate principal amount from various financial institutions to finance the purchase of several aircraft delivered in 2015. The notes evidencing these borrowings, which are secured by the related aircraft, have maturity dates ranging from 2025 to 2027 and interest rates comprised of the LIBOR plus a specified margin.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Unsecured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6% Notes due 2026. </w:t>
      </w:r>
      <w:r>
        <w:rPr>
          <w:rFonts w:ascii="Arial" w:cs="Arial" w:eastAsia="Arial" w:hAnsi="Arial"/>
          <w:sz w:val="18"/>
          <w:szCs w:val="18"/>
          <w:color w:val="auto"/>
        </w:rPr>
        <w:t>In 2015, UAL used cash to repurchase all $321 million par value 6% Notes due 2026 (the “2026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6% Notes due 2028. </w:t>
      </w:r>
      <w:r>
        <w:rPr>
          <w:rFonts w:ascii="Arial" w:cs="Arial" w:eastAsia="Arial" w:hAnsi="Arial"/>
          <w:sz w:val="18"/>
          <w:szCs w:val="18"/>
          <w:color w:val="auto"/>
        </w:rPr>
        <w:t>In 2015, UAL used cash to repurchase all $311 million par value 6% Notes due 2028 (the “2028 Notes”).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2015, the Company recorded a nonoperating special charge of $134 million for the extinguishment of the 2026 Notes and the 2028 Notes. The nonoperating special charge is related to the write-off of unamortized debt discounts.</w:t>
      </w:r>
    </w:p>
    <w:p>
      <w:pPr>
        <w:spacing w:after="0" w:line="78"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b w:val="1"/>
          <w:bCs w:val="1"/>
          <w:i w:val="1"/>
          <w:iCs w:val="1"/>
          <w:color w:val="auto"/>
        </w:rPr>
        <w:t xml:space="preserve">4.5% Convertible Notes due 2015. </w:t>
      </w:r>
      <w:r>
        <w:rPr>
          <w:rFonts w:ascii="Arial" w:cs="Arial" w:eastAsia="Arial" w:hAnsi="Arial"/>
          <w:sz w:val="18"/>
          <w:szCs w:val="18"/>
          <w:color w:val="auto"/>
        </w:rPr>
        <w:t>The 4.5% Convertible Notes were convertible by holders into shares of UAL common stock at a conversion price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$18.93 per share. During 2014, United used $62 million of cash to purchase and retire $28 million aggregate principal amount of its 4.5% Convertible Notes in market transactions. UAL recorded $34 million of the repurchase cost as a reduction of additional paid-in capital. In January 2015, the holders of substantially all of the remaining $202 million principal amount of the 4.5% Convertible Notes exercised their conversion option resulting in the issuance of 11 million shares of UAL common stock.</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4.5% Senior Limited-Subordination Convertible Notes due 2021. </w:t>
      </w:r>
      <w:r>
        <w:rPr>
          <w:rFonts w:ascii="Arial" w:cs="Arial" w:eastAsia="Arial" w:hAnsi="Arial"/>
          <w:sz w:val="18"/>
          <w:szCs w:val="18"/>
          <w:color w:val="auto"/>
        </w:rPr>
        <w:t>In January 2014, holders of substantially all of the remaining $156 million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amount of the 4.5% Senior Limited-Subordination Convertible Notes due 2021 exercised their right to convert such notes into approximately 5 million shares of UAL common stock.</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Convertible Debt Securities and Derivatives. </w:t>
      </w:r>
      <w:r>
        <w:rPr>
          <w:rFonts w:ascii="Arial" w:cs="Arial" w:eastAsia="Arial" w:hAnsi="Arial"/>
          <w:sz w:val="18"/>
          <w:szCs w:val="18"/>
          <w:color w:val="auto"/>
        </w:rPr>
        <w:t>UAL, United and the trustee for the 4.5% Convertible Notes were parties to a supplemental indenture that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United’s convertible debt convertible into shares of UAL common stock. For purposes of United separate-entity reporting, as a result of the remaining outstanding debt having been convertible into the stock of a non-consolidated entity, the embedded conversion options in United’s convertible debt were required to be separated and accounted for as though they were free-standing derivatives.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95" w:name="page96"/>
    <w:bookmarkEnd w:id="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UAL’s contractual commitment to provide common stock to satisfy United’s obligation upon conversion of the debt was an embedded call option on UAL common stock that was also required to be separated and accounted for as though it were a free-standing derivative. The fair value of the indenture derivative on a separate-entity reporting basis as of December 31, 2014 was an asset of $712 million. The fair value of the embedded conversion options as of December 31, 2014 was a liability of $511 million. The 4.5% Convertible Notes and their related indenture derivative and conversion options were retired in 2015. The initial contribution of the indenture derivatives to United by UAL was accounted for as additional paid-in capital in United’s separate-entity financial statements. Changes in fair value of both the indenture derivative and the embedded conversion options subsequent to October 1, 2010 were recognized in Nonoperating income (expense).</w:t>
      </w:r>
    </w:p>
    <w:p>
      <w:pPr>
        <w:spacing w:after="0" w:line="58"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i w:val="1"/>
          <w:iCs w:val="1"/>
          <w:color w:val="auto"/>
        </w:rPr>
        <w:t>6% Convertible Senior Notes due 2029</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2014, UAL issued approximately 12 million shares of UAL common stock in exchange for, or upon conversion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$104 million in aggregate principal amount of UAL’s outstanding 6% Convertible Senior Notes due 2029 held by the holders of these notes.</w:t>
      </w:r>
    </w:p>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00"/>
          </w:cols>
          <w:pgMar w:left="240" w:top="280" w:right="359" w:bottom="1440" w:gutter="0" w:footer="0" w:header="0"/>
        </w:sectPr>
      </w:pPr>
    </w:p>
    <w:bookmarkStart w:id="96" w:name="page97"/>
    <w:bookmarkEnd w:id="9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collateral, covenants and cross default provisions of the Company’s principal debt instruments that contain such provisions are summarized in the table below:</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Debt Instrument</w:t>
            </w:r>
          </w:p>
        </w:tc>
        <w:tc>
          <w:tcPr>
            <w:tcW w:w="58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Collateral, Covenants and Cross Default Provisions</w:t>
            </w:r>
          </w:p>
        </w:tc>
        <w:tc>
          <w:tcPr>
            <w:tcW w:w="0" w:type="dxa"/>
            <w:vAlign w:val="bottom"/>
          </w:tcPr>
          <w:p>
            <w:pPr>
              <w:spacing w:after="0"/>
              <w:rPr>
                <w:sz w:val="1"/>
                <w:szCs w:val="1"/>
                <w:color w:val="auto"/>
              </w:rPr>
            </w:pPr>
          </w:p>
        </w:tc>
      </w:tr>
      <w:tr>
        <w:trPr>
          <w:trHeight w:val="201"/>
        </w:trPr>
        <w:tc>
          <w:tcPr>
            <w:tcW w:w="56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Various equipment notes and other notes payable</w:t>
            </w:r>
          </w:p>
        </w:tc>
        <w:tc>
          <w:tcPr>
            <w:tcW w:w="58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Secured by certain aircraft. The indentures contain events of default that are</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customary for aircraft financing, including in certain cases cross default to</w:t>
            </w:r>
          </w:p>
        </w:tc>
        <w:tc>
          <w:tcPr>
            <w:tcW w:w="0" w:type="dxa"/>
            <w:vAlign w:val="bottom"/>
          </w:tcPr>
          <w:p>
            <w:pPr>
              <w:spacing w:after="0"/>
              <w:rPr>
                <w:sz w:val="1"/>
                <w:szCs w:val="1"/>
                <w:color w:val="auto"/>
              </w:rPr>
            </w:pPr>
          </w:p>
        </w:tc>
      </w:tr>
      <w:tr>
        <w:trPr>
          <w:trHeight w:val="223"/>
        </w:trPr>
        <w:tc>
          <w:tcPr>
            <w:tcW w:w="5600" w:type="dxa"/>
            <w:vAlign w:val="bottom"/>
            <w:tcBorders>
              <w:left w:val="single" w:sz="8" w:color="auto"/>
              <w:bottom w:val="single" w:sz="8" w:color="auto"/>
              <w:right w:val="single" w:sz="8" w:color="auto"/>
            </w:tcBorders>
          </w:tcPr>
          <w:p>
            <w:pPr>
              <w:spacing w:after="0"/>
              <w:rPr>
                <w:sz w:val="19"/>
                <w:szCs w:val="19"/>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other related aircraft.</w:t>
            </w:r>
          </w:p>
        </w:tc>
        <w:tc>
          <w:tcPr>
            <w:tcW w:w="0" w:type="dxa"/>
            <w:vAlign w:val="bottom"/>
          </w:tcPr>
          <w:p>
            <w:pPr>
              <w:spacing w:after="0"/>
              <w:rPr>
                <w:sz w:val="1"/>
                <w:szCs w:val="1"/>
                <w:color w:val="auto"/>
              </w:rPr>
            </w:pPr>
          </w:p>
        </w:tc>
      </w:tr>
      <w:tr>
        <w:trPr>
          <w:trHeight w:val="202"/>
        </w:trPr>
        <w:tc>
          <w:tcPr>
            <w:tcW w:w="56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Credit Agreement</w:t>
            </w:r>
          </w:p>
        </w:tc>
        <w:tc>
          <w:tcPr>
            <w:tcW w:w="5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Secured by certain of United’s international route authorities, specified take-off</w:t>
            </w:r>
          </w:p>
        </w:tc>
        <w:tc>
          <w:tcPr>
            <w:tcW w:w="0" w:type="dxa"/>
            <w:vAlign w:val="bottom"/>
          </w:tcPr>
          <w:p>
            <w:pPr>
              <w:spacing w:after="0"/>
              <w:rPr>
                <w:sz w:val="1"/>
                <w:szCs w:val="1"/>
                <w:color w:val="auto"/>
              </w:rPr>
            </w:pPr>
          </w:p>
        </w:tc>
      </w:tr>
      <w:tr>
        <w:trPr>
          <w:trHeight w:val="222"/>
        </w:trPr>
        <w:tc>
          <w:tcPr>
            <w:tcW w:w="5600" w:type="dxa"/>
            <w:vAlign w:val="bottom"/>
            <w:tcBorders>
              <w:left w:val="single" w:sz="8" w:color="auto"/>
              <w:right w:val="single" w:sz="8" w:color="auto"/>
            </w:tcBorders>
          </w:tcPr>
          <w:p>
            <w:pPr>
              <w:spacing w:after="0"/>
              <w:rPr>
                <w:sz w:val="19"/>
                <w:szCs w:val="19"/>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landing slots at certain airports and certain other assets.</w:t>
            </w:r>
          </w:p>
        </w:tc>
        <w:tc>
          <w:tcPr>
            <w:tcW w:w="0" w:type="dxa"/>
            <w:vAlign w:val="bottom"/>
          </w:tcPr>
          <w:p>
            <w:pPr>
              <w:spacing w:after="0"/>
              <w:rPr>
                <w:sz w:val="1"/>
                <w:szCs w:val="1"/>
                <w:color w:val="auto"/>
              </w:rPr>
            </w:pPr>
          </w:p>
        </w:tc>
      </w:tr>
      <w:tr>
        <w:trPr>
          <w:trHeight w:val="331"/>
        </w:trPr>
        <w:tc>
          <w:tcPr>
            <w:tcW w:w="5600" w:type="dxa"/>
            <w:vAlign w:val="bottom"/>
            <w:tcBorders>
              <w:left w:val="single" w:sz="8" w:color="auto"/>
              <w:right w:val="single" w:sz="8" w:color="auto"/>
            </w:tcBorders>
          </w:tcPr>
          <w:p>
            <w:pPr>
              <w:spacing w:after="0"/>
              <w:rPr>
                <w:sz w:val="24"/>
                <w:szCs w:val="24"/>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The Credit Agreement requires the Company to maintain at least $3.0 billion of</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unrestricted liquidity at all times, which includes unrestricted cash, short-term</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investments and any undrawn amounts under any revolving credit facility, and</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to maintain a minimum ratio of appraised value of collateral to the outstanding</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obligations under the Credit Agreement of 1.67 to 1.0 at all times. The Credit</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Agreement contains covenants that, among other things, restrict the ability of</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UAL and its restricted subsidiaries (as defined in the Credit Agreement) to</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incur additional indebtedness and to pay dividends on or repurchase stock,</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although the Company currently has ample ability under these restrictions to</w:t>
            </w:r>
          </w:p>
        </w:tc>
        <w:tc>
          <w:tcPr>
            <w:tcW w:w="0" w:type="dxa"/>
            <w:vAlign w:val="bottom"/>
          </w:tcPr>
          <w:p>
            <w:pPr>
              <w:spacing w:after="0"/>
              <w:rPr>
                <w:sz w:val="1"/>
                <w:szCs w:val="1"/>
                <w:color w:val="auto"/>
              </w:rPr>
            </w:pPr>
          </w:p>
        </w:tc>
      </w:tr>
      <w:tr>
        <w:trPr>
          <w:trHeight w:val="222"/>
        </w:trPr>
        <w:tc>
          <w:tcPr>
            <w:tcW w:w="5600" w:type="dxa"/>
            <w:vAlign w:val="bottom"/>
            <w:tcBorders>
              <w:left w:val="single" w:sz="8" w:color="auto"/>
              <w:right w:val="single" w:sz="8" w:color="auto"/>
            </w:tcBorders>
          </w:tcPr>
          <w:p>
            <w:pPr>
              <w:spacing w:after="0"/>
              <w:rPr>
                <w:sz w:val="19"/>
                <w:szCs w:val="19"/>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repurchase stock under the Company’s share repurchase program.</w:t>
            </w:r>
          </w:p>
        </w:tc>
        <w:tc>
          <w:tcPr>
            <w:tcW w:w="0" w:type="dxa"/>
            <w:vAlign w:val="bottom"/>
          </w:tcPr>
          <w:p>
            <w:pPr>
              <w:spacing w:after="0"/>
              <w:rPr>
                <w:sz w:val="1"/>
                <w:szCs w:val="1"/>
                <w:color w:val="auto"/>
              </w:rPr>
            </w:pPr>
          </w:p>
        </w:tc>
      </w:tr>
      <w:tr>
        <w:trPr>
          <w:trHeight w:val="331"/>
        </w:trPr>
        <w:tc>
          <w:tcPr>
            <w:tcW w:w="5600" w:type="dxa"/>
            <w:vAlign w:val="bottom"/>
            <w:tcBorders>
              <w:left w:val="single" w:sz="8" w:color="auto"/>
              <w:right w:val="single" w:sz="8" w:color="auto"/>
            </w:tcBorders>
          </w:tcPr>
          <w:p>
            <w:pPr>
              <w:spacing w:after="0"/>
              <w:rPr>
                <w:sz w:val="24"/>
                <w:szCs w:val="24"/>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The Credit Agreement contains events of default customary for this type of</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financing, including a cross default and cross acceleration provision to certain</w:t>
            </w:r>
          </w:p>
        </w:tc>
        <w:tc>
          <w:tcPr>
            <w:tcW w:w="0" w:type="dxa"/>
            <w:vAlign w:val="bottom"/>
          </w:tcPr>
          <w:p>
            <w:pPr>
              <w:spacing w:after="0"/>
              <w:rPr>
                <w:sz w:val="1"/>
                <w:szCs w:val="1"/>
                <w:color w:val="auto"/>
              </w:rPr>
            </w:pPr>
          </w:p>
        </w:tc>
      </w:tr>
      <w:tr>
        <w:trPr>
          <w:trHeight w:val="231"/>
        </w:trPr>
        <w:tc>
          <w:tcPr>
            <w:tcW w:w="560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other material indebtedness of the Company.</w:t>
            </w:r>
          </w:p>
        </w:tc>
        <w:tc>
          <w:tcPr>
            <w:tcW w:w="0" w:type="dxa"/>
            <w:vAlign w:val="bottom"/>
          </w:tcPr>
          <w:p>
            <w:pPr>
              <w:spacing w:after="0"/>
              <w:rPr>
                <w:sz w:val="1"/>
                <w:szCs w:val="1"/>
                <w:color w:val="auto"/>
              </w:rPr>
            </w:pPr>
          </w:p>
        </w:tc>
      </w:tr>
      <w:tr>
        <w:trPr>
          <w:trHeight w:val="208"/>
        </w:trPr>
        <w:tc>
          <w:tcPr>
            <w:tcW w:w="5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6.375% Senior Notes due 2018</w:t>
            </w: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The indentures for these notes contain covenants that, among other things,</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6% Senior Notes due 2020</w:t>
            </w: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restrict the ability of the Company and its restricted subsidiaries (as defined in</w:t>
            </w:r>
          </w:p>
        </w:tc>
        <w:tc>
          <w:tcPr>
            <w:tcW w:w="0" w:type="dxa"/>
            <w:vAlign w:val="bottom"/>
          </w:tcPr>
          <w:p>
            <w:pPr>
              <w:spacing w:after="0"/>
              <w:rPr>
                <w:sz w:val="1"/>
                <w:szCs w:val="1"/>
                <w:color w:val="auto"/>
              </w:rPr>
            </w:pPr>
          </w:p>
        </w:tc>
      </w:tr>
      <w:tr>
        <w:trPr>
          <w:trHeight w:val="128"/>
        </w:trPr>
        <w:tc>
          <w:tcPr>
            <w:tcW w:w="5600" w:type="dxa"/>
            <w:vAlign w:val="bottom"/>
            <w:tcBorders>
              <w:left w:val="single" w:sz="8" w:color="auto"/>
              <w:right w:val="single" w:sz="8" w:color="auto"/>
            </w:tcBorders>
            <w:vMerge w:val="continue"/>
          </w:tcPr>
          <w:p>
            <w:pPr>
              <w:spacing w:after="0"/>
              <w:rPr>
                <w:sz w:val="11"/>
                <w:szCs w:val="11"/>
                <w:color w:val="auto"/>
              </w:rPr>
            </w:pPr>
          </w:p>
        </w:tc>
        <w:tc>
          <w:tcPr>
            <w:tcW w:w="5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 indenture) to incur additional indebtedness and pay dividends on or</w:t>
            </w:r>
          </w:p>
        </w:tc>
        <w:tc>
          <w:tcPr>
            <w:tcW w:w="0" w:type="dxa"/>
            <w:vAlign w:val="bottom"/>
          </w:tcPr>
          <w:p>
            <w:pPr>
              <w:spacing w:after="0"/>
              <w:rPr>
                <w:sz w:val="1"/>
                <w:szCs w:val="1"/>
                <w:color w:val="auto"/>
              </w:rPr>
            </w:pPr>
          </w:p>
        </w:tc>
      </w:tr>
      <w:tr>
        <w:trPr>
          <w:trHeight w:val="88"/>
        </w:trPr>
        <w:tc>
          <w:tcPr>
            <w:tcW w:w="5600" w:type="dxa"/>
            <w:vAlign w:val="bottom"/>
            <w:tcBorders>
              <w:left w:val="single" w:sz="8" w:color="auto"/>
              <w:right w:val="single" w:sz="8" w:color="auto"/>
            </w:tcBorders>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repurchase stock, although the Company currently has ample ability under</w:t>
            </w:r>
          </w:p>
        </w:tc>
        <w:tc>
          <w:tcPr>
            <w:tcW w:w="0" w:type="dxa"/>
            <w:vAlign w:val="bottom"/>
          </w:tcPr>
          <w:p>
            <w:pPr>
              <w:spacing w:after="0"/>
              <w:rPr>
                <w:sz w:val="1"/>
                <w:szCs w:val="1"/>
                <w:color w:val="auto"/>
              </w:rPr>
            </w:pPr>
          </w:p>
        </w:tc>
      </w:tr>
      <w:tr>
        <w:trPr>
          <w:trHeight w:val="216"/>
        </w:trPr>
        <w:tc>
          <w:tcPr>
            <w:tcW w:w="5600" w:type="dxa"/>
            <w:vAlign w:val="bottom"/>
            <w:tcBorders>
              <w:left w:val="single" w:sz="8" w:color="auto"/>
              <w:right w:val="single" w:sz="8" w:color="auto"/>
            </w:tcBorders>
          </w:tcPr>
          <w:p>
            <w:pPr>
              <w:spacing w:after="0"/>
              <w:rPr>
                <w:sz w:val="18"/>
                <w:szCs w:val="18"/>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these restrictions to repurchase stock under the Company’s share repurchase</w:t>
            </w:r>
          </w:p>
        </w:tc>
        <w:tc>
          <w:tcPr>
            <w:tcW w:w="0" w:type="dxa"/>
            <w:vAlign w:val="bottom"/>
          </w:tcPr>
          <w:p>
            <w:pPr>
              <w:spacing w:after="0"/>
              <w:rPr>
                <w:sz w:val="1"/>
                <w:szCs w:val="1"/>
                <w:color w:val="auto"/>
              </w:rPr>
            </w:pPr>
          </w:p>
        </w:tc>
      </w:tr>
      <w:tr>
        <w:trPr>
          <w:trHeight w:val="222"/>
        </w:trPr>
        <w:tc>
          <w:tcPr>
            <w:tcW w:w="5600" w:type="dxa"/>
            <w:vAlign w:val="bottom"/>
            <w:tcBorders>
              <w:left w:val="single" w:sz="8" w:color="auto"/>
              <w:right w:val="single" w:sz="8" w:color="auto"/>
            </w:tcBorders>
          </w:tcPr>
          <w:p>
            <w:pPr>
              <w:spacing w:after="0"/>
              <w:rPr>
                <w:sz w:val="19"/>
                <w:szCs w:val="19"/>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331"/>
        </w:trPr>
        <w:tc>
          <w:tcPr>
            <w:tcW w:w="5600" w:type="dxa"/>
            <w:vAlign w:val="bottom"/>
            <w:tcBorders>
              <w:left w:val="single" w:sz="8" w:color="auto"/>
              <w:right w:val="single" w:sz="8" w:color="auto"/>
            </w:tcBorders>
          </w:tcPr>
          <w:p>
            <w:pPr>
              <w:spacing w:after="0"/>
              <w:rPr>
                <w:sz w:val="24"/>
                <w:szCs w:val="24"/>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indentures contain events of default that are customary for similar</w:t>
            </w:r>
          </w:p>
        </w:tc>
        <w:tc>
          <w:tcPr>
            <w:tcW w:w="0" w:type="dxa"/>
            <w:vAlign w:val="bottom"/>
          </w:tcPr>
          <w:p>
            <w:pPr>
              <w:spacing w:after="0"/>
              <w:rPr>
                <w:sz w:val="1"/>
                <w:szCs w:val="1"/>
                <w:color w:val="auto"/>
              </w:rPr>
            </w:pPr>
          </w:p>
        </w:tc>
      </w:tr>
      <w:tr>
        <w:trPr>
          <w:trHeight w:val="231"/>
        </w:trPr>
        <w:tc>
          <w:tcPr>
            <w:tcW w:w="5600" w:type="dxa"/>
            <w:vAlign w:val="bottom"/>
            <w:tcBorders>
              <w:left w:val="single" w:sz="8" w:color="auto"/>
              <w:bottom w:val="single" w:sz="8" w:color="auto"/>
              <w:right w:val="single" w:sz="8" w:color="auto"/>
            </w:tcBorders>
          </w:tcPr>
          <w:p>
            <w:pPr>
              <w:spacing w:after="0"/>
              <w:rPr>
                <w:sz w:val="20"/>
                <w:szCs w:val="20"/>
                <w:color w:val="auto"/>
              </w:rPr>
            </w:pPr>
          </w:p>
        </w:tc>
        <w:tc>
          <w:tcPr>
            <w:tcW w:w="5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financings.</w:t>
            </w:r>
          </w:p>
        </w:tc>
        <w:tc>
          <w:tcPr>
            <w:tcW w:w="0" w:type="dxa"/>
            <w:vAlign w:val="bottom"/>
          </w:tcPr>
          <w:p>
            <w:pPr>
              <w:spacing w:after="0"/>
              <w:rPr>
                <w:sz w:val="1"/>
                <w:szCs w:val="1"/>
                <w:color w:val="auto"/>
              </w:rPr>
            </w:pPr>
          </w:p>
        </w:tc>
      </w:tr>
      <w:tr>
        <w:trPr>
          <w:trHeight w:val="403"/>
        </w:trPr>
        <w:tc>
          <w:tcPr>
            <w:tcW w:w="5600" w:type="dxa"/>
            <w:vAlign w:val="bottom"/>
          </w:tcPr>
          <w:p>
            <w:pPr>
              <w:spacing w:after="0"/>
              <w:rPr>
                <w:sz w:val="20"/>
                <w:szCs w:val="20"/>
                <w:color w:val="auto"/>
              </w:rPr>
            </w:pPr>
            <w:r>
              <w:rPr>
                <w:rFonts w:ascii="Arial" w:cs="Arial" w:eastAsia="Arial" w:hAnsi="Arial"/>
                <w:sz w:val="18"/>
                <w:szCs w:val="18"/>
                <w:b w:val="1"/>
                <w:bCs w:val="1"/>
                <w:color w:val="auto"/>
              </w:rPr>
              <w:t>NOTE 12 - ADVANCED PURCHASE OF MILES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United previously sold MileagePlus miles to Chase which United recorded as Advanced purchase of miles. The balance of pre-purchased miles is eligible to be allocated by Chase to MileagePlus members’ accounts by a maximum of $249 million in 2016 and the remainder in 2017. The Co-Brand Agreement contains termination penalties that may require United to make certain payments and repurchase outstanding pre-purchased miles in cases such as United’s insolvency, bankruptcy or other material breaches. The Company has recorded these amounts as Advanced purchase of miles in the liabilities section of the Company’s consolidated balance sheets.</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40"/>
          </w:cols>
          <w:pgMar w:left="240" w:top="280" w:right="219" w:bottom="1440" w:gutter="0" w:footer="0" w:header="0"/>
        </w:sectPr>
      </w:pPr>
    </w:p>
    <w:bookmarkStart w:id="97" w:name="page98"/>
    <w:bookmarkEnd w:id="97"/>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UAL, United and Mileage Plus Holdings, LLC to Chase under the Co-Brand Agreement are joint and several. Certain of United’s obligations under the Co-Brand Agreement are secured by a junior lien in all collateral pledged by United under the Credit Agreement. United also provides a first priority lien to Chase on its MileagePlus assets to secure certain of its obligations under the Co-Brand Agreement and its obligations under the credit card processing agreement among United, Paymentech, LLC and JPMorgan Chase Bank, N.A.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 AND CAPACITY PURCHASE AGREEMENTS</w:t>
      </w:r>
    </w:p>
    <w:p>
      <w:pPr>
        <w:spacing w:after="0" w:line="12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United leases aircraft, airport passenger terminal space, aircraft hangars and related maintenance facilities, cargo terminals, other airport facilities, other commercial real estate, office and computer equipment and vehicles.</w:t>
      </w:r>
    </w:p>
    <w:p>
      <w:pPr>
        <w:spacing w:after="0" w:line="7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At December 31, 2015, United’s scheduled future minimum lease payments under operating leases having initial or remaining noncancelable lease terms of more than one year, aircraft leases, including aircraft rent under CPAs and capital leases (substantially all of which are for aircraft) were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Facility and Other</w:t>
            </w:r>
          </w:p>
        </w:tc>
        <w:tc>
          <w:tcPr>
            <w:tcW w:w="10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Aircraft Operating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86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3"/>
              </w:rPr>
              <w:t>Capital Leases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Operating Leases</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CCCC"/>
            </w:tcBorders>
            <w:shd w:val="clear" w:color="auto" w:fill="CCCCCC"/>
          </w:tcPr>
          <w:p>
            <w:pPr>
              <w:ind w:left="500"/>
              <w:spacing w:after="0" w:line="202" w:lineRule="exact"/>
              <w:rPr>
                <w:sz w:val="20"/>
                <w:szCs w:val="20"/>
                <w:color w:val="auto"/>
              </w:rPr>
            </w:pPr>
            <w:r>
              <w:rPr>
                <w:rFonts w:ascii="Arial" w:cs="Arial" w:eastAsia="Arial" w:hAnsi="Arial"/>
                <w:sz w:val="18"/>
                <w:szCs w:val="18"/>
                <w:color w:val="auto"/>
              </w:rPr>
              <w:t>2016</w:t>
            </w:r>
          </w:p>
        </w:tc>
        <w:tc>
          <w:tcPr>
            <w:tcW w:w="280" w:type="dxa"/>
            <w:vAlign w:val="bottom"/>
            <w:tcBorders>
              <w:top w:val="single" w:sz="8" w:color="auto"/>
            </w:tcBorders>
            <w:shd w:val="clear" w:color="auto" w:fill="CCCCCC"/>
          </w:tcPr>
          <w:p>
            <w:pPr>
              <w:jc w:val="right"/>
              <w:ind w:right="5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206</w:t>
            </w:r>
          </w:p>
        </w:tc>
        <w:tc>
          <w:tcPr>
            <w:tcW w:w="1000" w:type="dxa"/>
            <w:vAlign w:val="bottom"/>
            <w:tcBorders>
              <w:top w:val="single" w:sz="8" w:color="CCCCCC"/>
            </w:tcBorders>
            <w:shd w:val="clear" w:color="auto" w:fill="CCCCCC"/>
          </w:tcPr>
          <w:p>
            <w:pPr>
              <w:spacing w:after="0"/>
              <w:rPr>
                <w:sz w:val="18"/>
                <w:szCs w:val="18"/>
                <w:color w:val="auto"/>
              </w:rPr>
            </w:pPr>
          </w:p>
        </w:tc>
        <w:tc>
          <w:tcPr>
            <w:tcW w:w="340" w:type="dxa"/>
            <w:vAlign w:val="bottom"/>
            <w:tcBorders>
              <w:top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1,252</w:t>
            </w:r>
          </w:p>
        </w:tc>
        <w:tc>
          <w:tcPr>
            <w:tcW w:w="1000" w:type="dxa"/>
            <w:vAlign w:val="bottom"/>
            <w:tcBorders>
              <w:top w:val="single" w:sz="8" w:color="CCCCCC"/>
            </w:tcBorders>
            <w:shd w:val="clear" w:color="auto" w:fill="CCCCCC"/>
          </w:tcPr>
          <w:p>
            <w:pPr>
              <w:spacing w:after="0"/>
              <w:rPr>
                <w:sz w:val="18"/>
                <w:szCs w:val="18"/>
                <w:color w:val="auto"/>
              </w:rPr>
            </w:pPr>
          </w:p>
        </w:tc>
        <w:tc>
          <w:tcPr>
            <w:tcW w:w="240" w:type="dxa"/>
            <w:vAlign w:val="bottom"/>
            <w:tcBorders>
              <w:top w:val="single" w:sz="8" w:color="auto"/>
            </w:tcBorders>
            <w:shd w:val="clear" w:color="auto" w:fill="CCCCCC"/>
          </w:tcPr>
          <w:p>
            <w:pPr>
              <w:jc w:val="right"/>
              <w:ind w:right="4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1,161</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CCCC"/>
          </w:tcPr>
          <w:p>
            <w:pPr>
              <w:ind w:left="500"/>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151</w:t>
            </w:r>
          </w:p>
        </w:tc>
        <w:tc>
          <w:tcPr>
            <w:tcW w:w="10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899</w:t>
            </w:r>
          </w:p>
        </w:tc>
        <w:tc>
          <w:tcPr>
            <w:tcW w:w="100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CCCC"/>
          </w:tcPr>
          <w:p>
            <w:pPr>
              <w:ind w:left="50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66</w:t>
            </w:r>
          </w:p>
        </w:tc>
        <w:tc>
          <w:tcPr>
            <w:tcW w:w="10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920</w:t>
            </w:r>
          </w:p>
        </w:tc>
        <w:tc>
          <w:tcPr>
            <w:tcW w:w="100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500"/>
              <w:spacing w:after="0"/>
              <w:rPr>
                <w:sz w:val="20"/>
                <w:szCs w:val="20"/>
                <w:color w:val="auto"/>
              </w:rPr>
            </w:pPr>
            <w:r>
              <w:rPr>
                <w:rFonts w:ascii="Arial" w:cs="Arial" w:eastAsia="Arial" w:hAnsi="Arial"/>
                <w:sz w:val="18"/>
                <w:szCs w:val="18"/>
                <w:color w:val="auto"/>
              </w:rPr>
              <w:t>After 2020</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w:t>
            </w: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CCCC"/>
          </w:tcPr>
          <w:p>
            <w:pPr>
              <w:ind w:left="500"/>
              <w:spacing w:after="0"/>
              <w:rPr>
                <w:sz w:val="20"/>
                <w:szCs w:val="20"/>
                <w:color w:val="auto"/>
              </w:rPr>
            </w:pPr>
            <w:r>
              <w:rPr>
                <w:rFonts w:ascii="Arial" w:cs="Arial" w:eastAsia="Arial" w:hAnsi="Arial"/>
                <w:sz w:val="18"/>
                <w:szCs w:val="18"/>
                <w:color w:val="auto"/>
              </w:rPr>
              <w:t>Minimum lease payments</w:t>
            </w:r>
          </w:p>
        </w:tc>
        <w:tc>
          <w:tcPr>
            <w:tcW w:w="280" w:type="dxa"/>
            <w:vAlign w:val="bottom"/>
            <w:shd w:val="clear" w:color="auto" w:fill="CCCCCC"/>
          </w:tcPr>
          <w:p>
            <w:pPr>
              <w:jc w:val="right"/>
              <w:ind w:right="5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1,418</w:t>
            </w:r>
          </w:p>
        </w:tc>
        <w:tc>
          <w:tcPr>
            <w:tcW w:w="1000" w:type="dxa"/>
            <w:vAlign w:val="bottom"/>
            <w:shd w:val="clear" w:color="auto" w:fill="CCCCCC"/>
          </w:tcPr>
          <w:p>
            <w:pPr>
              <w:spacing w:after="0"/>
              <w:rPr>
                <w:sz w:val="18"/>
                <w:szCs w:val="18"/>
                <w:color w:val="auto"/>
              </w:rPr>
            </w:pPr>
          </w:p>
        </w:tc>
        <w:tc>
          <w:tcPr>
            <w:tcW w:w="340" w:type="dxa"/>
            <w:vAlign w:val="bottom"/>
            <w:shd w:val="clear" w:color="auto" w:fill="CCCCCC"/>
          </w:tcPr>
          <w:p>
            <w:pPr>
              <w:ind w:lef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11,840</w:t>
            </w:r>
          </w:p>
        </w:tc>
        <w:tc>
          <w:tcPr>
            <w:tcW w:w="1240" w:type="dxa"/>
            <w:vAlign w:val="bottom"/>
            <w:gridSpan w:val="2"/>
            <w:shd w:val="clear" w:color="auto" w:fill="CCCCCC"/>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Imputed interest</w:t>
            </w:r>
          </w:p>
        </w:tc>
        <w:tc>
          <w:tcPr>
            <w:tcW w:w="280" w:type="dxa"/>
            <w:vAlign w:val="bottom"/>
          </w:tcPr>
          <w:p>
            <w:pPr>
              <w:spacing w:after="0" w:line="20" w:lineRule="exact"/>
              <w:rPr>
                <w:sz w:val="1"/>
                <w:szCs w:val="1"/>
                <w:color w:val="auto"/>
              </w:rPr>
            </w:pPr>
          </w:p>
        </w:tc>
        <w:tc>
          <w:tcPr>
            <w:tcW w:w="1580" w:type="dxa"/>
            <w:vAlign w:val="bottom"/>
            <w:gridSpan w:val="2"/>
            <w:vMerge w:val="restart"/>
          </w:tcPr>
          <w:p>
            <w:pPr>
              <w:jc w:val="right"/>
              <w:ind w:right="1000"/>
              <w:spacing w:after="0"/>
              <w:rPr>
                <w:sz w:val="20"/>
                <w:szCs w:val="20"/>
                <w:color w:val="auto"/>
              </w:rPr>
            </w:pPr>
            <w:r>
              <w:rPr>
                <w:rFonts w:ascii="Arial" w:cs="Arial" w:eastAsia="Arial" w:hAnsi="Arial"/>
                <w:sz w:val="18"/>
                <w:szCs w:val="18"/>
                <w:color w:val="auto"/>
              </w:rPr>
              <w:t>(556)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CCCC"/>
          </w:tcPr>
          <w:p>
            <w:pPr>
              <w:spacing w:after="0"/>
              <w:rPr>
                <w:sz w:val="20"/>
                <w:szCs w:val="20"/>
                <w:color w:val="auto"/>
              </w:rPr>
            </w:pPr>
            <w:r>
              <w:rPr>
                <w:rFonts w:ascii="Arial" w:cs="Arial" w:eastAsia="Arial" w:hAnsi="Arial"/>
                <w:sz w:val="18"/>
                <w:szCs w:val="18"/>
                <w:color w:val="auto"/>
              </w:rPr>
              <w:t>Present value of minimum lease payments</w:t>
            </w:r>
          </w:p>
        </w:tc>
        <w:tc>
          <w:tcPr>
            <w:tcW w:w="280" w:type="dxa"/>
            <w:vAlign w:val="bottom"/>
            <w:tcBorders>
              <w:top w:val="single" w:sz="8" w:color="auto"/>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862</w:t>
            </w:r>
          </w:p>
        </w:tc>
        <w:tc>
          <w:tcPr>
            <w:tcW w:w="10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00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portion</w:t>
            </w:r>
          </w:p>
        </w:tc>
        <w:tc>
          <w:tcPr>
            <w:tcW w:w="280" w:type="dxa"/>
            <w:vAlign w:val="bottom"/>
          </w:tcPr>
          <w:p>
            <w:pPr>
              <w:spacing w:after="0"/>
              <w:rPr>
                <w:sz w:val="19"/>
                <w:szCs w:val="19"/>
                <w:color w:val="auto"/>
              </w:rPr>
            </w:pPr>
          </w:p>
        </w:tc>
        <w:tc>
          <w:tcPr>
            <w:tcW w:w="1580" w:type="dxa"/>
            <w:vAlign w:val="bottom"/>
            <w:gridSpan w:val="2"/>
          </w:tcPr>
          <w:p>
            <w:pPr>
              <w:jc w:val="right"/>
              <w:ind w:right="1000"/>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CCCC"/>
          </w:tcPr>
          <w:p>
            <w:pPr>
              <w:spacing w:after="0"/>
              <w:rPr>
                <w:sz w:val="20"/>
                <w:szCs w:val="20"/>
                <w:color w:val="auto"/>
              </w:rPr>
            </w:pPr>
            <w:r>
              <w:rPr>
                <w:rFonts w:ascii="Arial" w:cs="Arial" w:eastAsia="Arial" w:hAnsi="Arial"/>
                <w:sz w:val="18"/>
                <w:szCs w:val="18"/>
                <w:color w:val="auto"/>
              </w:rPr>
              <w:t>Long-term obligations under capital leases</w:t>
            </w:r>
          </w:p>
        </w:tc>
        <w:tc>
          <w:tcPr>
            <w:tcW w:w="280" w:type="dxa"/>
            <w:vAlign w:val="bottom"/>
            <w:tcBorders>
              <w:top w:val="single" w:sz="8" w:color="auto"/>
              <w:bottom w:val="single" w:sz="8" w:color="auto"/>
            </w:tcBorders>
            <w:shd w:val="clear" w:color="auto" w:fill="CCCCCC"/>
          </w:tcPr>
          <w:p>
            <w:pPr>
              <w:jc w:val="right"/>
              <w:ind w:right="57"/>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727</w:t>
            </w:r>
          </w:p>
        </w:tc>
        <w:tc>
          <w:tcPr>
            <w:tcW w:w="1000" w:type="dxa"/>
            <w:vAlign w:val="bottom"/>
            <w:shd w:val="clear" w:color="auto" w:fill="CCCCCC"/>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00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of December 31, 2015, United’s aircraft capital lease minimum payments relate to leases of 47 mainline and 29 regional aircraft as well as to leases of nonaircraft assets. Imputed interest rate ranges are 3.5% to 20.8%.</w:t>
      </w:r>
    </w:p>
    <w:p>
      <w:pPr>
        <w:spacing w:after="0" w:line="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Aircraft operating leases have initial terms of five to twenty-six years, with expiration dates ranging from 2016 through 2024. Under the terms of most leases, United has the right to purchase the aircraft at the end of the lease term, in some cases at fair market value, and in others, at fair market value or a percentage of cost. United has facility operating leases that extend to 2041.</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2015, the Company reached an agreement with AerCap Holdings N.V., a major aircraft leasing company, to lease used Airbus A319s. Eleven aircraft will be delivered over the next two years beginning in early 2016. In addition, up to 14 more aircraft may be delivered over the next five years subject to certain conditions.</w:t>
      </w:r>
    </w:p>
    <w:p>
      <w:pPr>
        <w:spacing w:after="0" w:line="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United is the lessee of real property under long-term operating leases at a number of airports where we are also the guarantor of approximately $1.5 billion of underlying debt and interest thereon as of December 31, 2015. These leases are typically with municipalities or other governmental entities, which are excluded from the consolidation requirements concerning a variable interest entity (“VIE”). To the extent United’s leases and related guarantees are with a separate legal entity other than a governmental entity, United is not the primary beneficiary because the lease terms are consistent with market terms at the inception of the lease and the lease does not include a residual value guarantee, fixed-price purchase option, or similar feature.</w:t>
      </w:r>
    </w:p>
    <w:p>
      <w:pPr>
        <w:spacing w:after="0" w:line="6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United’s nonaircraft rent expense was approximately $1.3 billion, $1.4 billion and $1.3 billion for the years ended December 31, 2015, 2014 and 2013,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98" w:name="page99"/>
    <w:bookmarkEnd w:id="98"/>
    <w:p>
      <w:pPr>
        <w:jc w:val="both"/>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nonaircraft rent and aircraft rent, which is separately presented in the consolidated statements of operations, United had aircraft rent related to regional aircraft operating leases, which is included as part of Regional capacity purchase expense in United’s consolidated statement of operations, of $461 million, $442 million and $428 million for the years ended December 31, 2015, 2014 and 2013, respectively.</w:t>
      </w:r>
    </w:p>
    <w:p>
      <w:pPr>
        <w:spacing w:after="0" w:line="5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connection with UAL Corporation’s and United Air Lines, Inc.’s fresh-start reporting requirements upon their exit from Chapter 11 bankruptcy protection in 2006 and the Company’s acquisition accounting adjustments related to the Company’s merger transaction in 2010, lease valuation adjustments for operating leases were initially recorded in the consolidated balance sheet, representing the net present value of the differences between contractual lease rates and the fair market lease rates for similar leased assets at the time. An asset (liability) results when the contractual lease rates are more (less) favorable than market lease terms at the valuation date. The lease valuation adjustment is amortized on a straight-line basis as an increase (decrease) to rent expense over the individual applicable remaining lease terms, resulting in recognition of rent expense as if United had entered into the leases at market rates. The related remaining lease terms are one to nine years for United. The lease valuation adjustments are classified within other noncurrent liabilities and the net accretion amounts are $107 million, $160 million and $173 million for the years ended December 31, 2015, 2014 and 2013,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CPAs</w:t>
      </w:r>
    </w:p>
    <w:p>
      <w:pPr>
        <w:spacing w:after="0" w:line="12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United has CPAs with certain regional carriers. We purchase all of the capacity from the flights covered by the CPA at a negotiated price. We pay the regional carrier a predetermined rate, subject to annual inflation adjustments, primarily for block hours flown (the hours from gate departure to gate arrival) and other operating factors and reimburse the regional carrier for various pass-through expenses related to the flights. Under the CPAs, we are responsible for the cost of providing fuel for all flights and for paying aircraft rent for all of the aircraft covered by the CPAs. Generally, the CPAs contain incentive bonus and rebate provisions based upon each regional carrier’s operational performance. United’s CPAs are for 521 regional aircraft, and the CPAs have terms expiring through 2029. Aircraft operated under CPAs include aircraft leased directly from the regional carriers and those owned by United or leased from third-party lessors and operated by the regional carriers. See Part I, Item 2, “Properties” of this report for additional information.</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2015, United entered into amendments to the CPA with SkyWest Airlines, Inc. (“SkyWest”), a wholly-owned subsidiary of SkyWest, Inc., to operate an additional 25 new 76-seat Embraer S.A. (“Embraer”) E175 aircraft under the United Express brand. SkyWest will purchase all of these 76-seat aircraft directly from the manufacturer with deliveries in 2016 and 2017.</w:t>
      </w:r>
    </w:p>
    <w:p>
      <w:pPr>
        <w:spacing w:after="0" w:line="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2015, United also entered into amendments to the CPA with Mesa Air Group, Inc. and Mesa Airlines, Inc. (“Mesa”), a wholly-owned subsidiary of Mesa Air Group, Inc., pursuant to which Mesa will operate under the United Express brand new Embraer E175 aircraft, 15 of which have delivered or are scheduled to deliver in 2016. United will assign its purchase obligations to Mesa with respect to 10 Embraer E175 aircraft at the time of each aircraft’s delivery, subject to certain conditions. Mesa will purchase the remaining five aircraft directly from Embraer; however, United has agreed that United will, under certain conditions, purchase these five aircraft directly from Embraer.</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2015, United entered into a new Embraer ERJ 145 CPA with Champlain Enterprises, Inc. operating as CommutAir, pursuant to which CommutAir will operate under the United Express brand 40 used Embraer ERJ145 aircraft that are currently being operated by a different carrier operating under the United Express brand, with transfers that started in December 2015 and will continue through 2017.</w:t>
      </w:r>
    </w:p>
    <w:p>
      <w:pPr>
        <w:spacing w:after="0" w:line="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2014 and 2015, United entered into amendments to a contract with Shuttle America Corporation (“Shuttle America”), a wholly-owned subsidiary of Republic Airways Holdings, for Shuttle America to operate 40 new Embraer E175 aircraft under the United Express brand and extend the term of 38 existing Embraer 170 aircraft operating under the United Express brand. Shuttle America will acquire forty 76-seat Embraer E175 aircraft with remaining deliveries from 2016 through 2017, although United has the right to acquire the aircraft under certain circumstances and lease the aircraft to Shuttle America. These 40 aircraft are in addition to United’s other 113 Embraer E175 aircraft that are currently being operated or will in the future be operated by different United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80" w:right="279" w:bottom="1440" w:gutter="0" w:footer="0" w:header="0"/>
        </w:sectPr>
      </w:pPr>
    </w:p>
    <w:bookmarkStart w:id="99" w:name="page100"/>
    <w:bookmarkEnd w:id="99"/>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 carriers under CPAs. In a separate but related amendment with Republic Airways Holdings Inc. and its subsidiary, Republic Airline Inc. (“Republic”), United and Republic agreed to remove the remaining 13 Q400 aircraft from United Express service by the second quarter of 2016.</w:t>
      </w:r>
    </w:p>
    <w:p>
      <w:pPr>
        <w:spacing w:after="0" w:line="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United’s estimates of its future payments under all of the CPAs do not include the portion of the underlying obligation for any aircraft leased to ExpressJet or deemed to be leased from other regional carriers and facility rent that are disclosed as part of aircraft and nonaircraft operating leases.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historic levels and (5) an annual projected inflation rate. These amounts exclude variable pass-through costs such as fuel and landing fees, among others. Based on these assumptions as of December 31, 2015, our future payments through the end of the terms of our CPAs are presented in the table below (in millions):</w:t>
      </w:r>
    </w:p>
    <w:p>
      <w:pPr>
        <w:spacing w:after="0" w:line="9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640" w:type="dxa"/>
            <w:vAlign w:val="bottom"/>
            <w:shd w:val="clear" w:color="auto" w:fill="CCCCCC"/>
          </w:tcPr>
          <w:p>
            <w:pPr>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CCCC"/>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CC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8"/>
                <w:szCs w:val="18"/>
                <w:color w:val="auto"/>
              </w:rPr>
            </w:pPr>
          </w:p>
        </w:tc>
      </w:tr>
      <w:tr>
        <w:trPr>
          <w:trHeight w:val="216"/>
        </w:trPr>
        <w:tc>
          <w:tcPr>
            <w:tcW w:w="6640" w:type="dxa"/>
            <w:vAlign w:val="bottom"/>
            <w:shd w:val="clear" w:color="auto" w:fill="CCCCCC"/>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CC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r>
      <w:tr>
        <w:trPr>
          <w:trHeight w:val="216"/>
        </w:trPr>
        <w:tc>
          <w:tcPr>
            <w:tcW w:w="6640" w:type="dxa"/>
            <w:vAlign w:val="bottom"/>
            <w:shd w:val="clear" w:color="auto" w:fill="CCCCCC"/>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CCCC"/>
          </w:tcPr>
          <w:p>
            <w:pPr>
              <w:spacing w:after="0"/>
              <w:rPr>
                <w:sz w:val="18"/>
                <w:szCs w:val="18"/>
                <w:color w:val="auto"/>
              </w:rPr>
            </w:pPr>
          </w:p>
        </w:tc>
        <w:tc>
          <w:tcPr>
            <w:tcW w:w="7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CCCC"/>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After 2020</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r>
      <w:tr>
        <w:trPr>
          <w:trHeight w:val="216"/>
        </w:trPr>
        <w:tc>
          <w:tcPr>
            <w:tcW w:w="6640" w:type="dxa"/>
            <w:vAlign w:val="bottom"/>
            <w:shd w:val="clear" w:color="auto" w:fill="CCCCCC"/>
          </w:tcPr>
          <w:p>
            <w:pPr>
              <w:spacing w:after="0"/>
              <w:rPr>
                <w:sz w:val="18"/>
                <w:szCs w:val="18"/>
                <w:color w:val="auto"/>
              </w:rPr>
            </w:pPr>
          </w:p>
        </w:tc>
        <w:tc>
          <w:tcPr>
            <w:tcW w:w="320" w:type="dxa"/>
            <w:vAlign w:val="bottom"/>
            <w:tcBorders>
              <w:bottom w:val="single" w:sz="8" w:color="auto"/>
            </w:tcBorders>
            <w:shd w:val="clear" w:color="auto" w:fill="CCCCCC"/>
          </w:tcPr>
          <w:p>
            <w:pPr>
              <w:jc w:val="right"/>
              <w:ind w:right="9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shd w:val="clear" w:color="auto" w:fill="CCCCCC"/>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It is important to note that the actual amounts we pay to our regional operators under CPAs could differ materially from these estimates. For example, a 10% increase or decrease in scheduled block hours for all of United’s regional operators (whether as a result of changes in average daily utilization or otherwise) in 2016 would result in a corresponding change in annual cash obligations under the CPAs of approximately $144 million (7.9%).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VARIABLE INTEREST ENTITIES</w:t>
      </w:r>
    </w:p>
    <w:p>
      <w:pPr>
        <w:spacing w:after="0" w:line="123"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Variable interests are contractual, ownership or other monetary interests in an entity that change with fluctuations in the fair value of the entity’s net assets exclusive of variable interests. A VIE can arise from items such as lease agreements, loan arrangements, guarantees or service contracts. An entity is a VIE if</w:t>
      </w:r>
    </w:p>
    <w:p>
      <w:pPr>
        <w:ind w:right="20" w:firstLine="8"/>
        <w:spacing w:after="0" w:line="255" w:lineRule="auto"/>
        <w:tabs>
          <w:tab w:leader="none" w:pos="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entity lacks sufficient equity or (b) the entity’s equity holders lack power or the obligation and right as equity holders to absorb the entity’s expected losses or to receive its expected residual returns. Therefore, if the equity owners as a group do not have the power to direct the entity’s activities that most significantly impact its economic performance, the entity is a VIE.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an entity is determined to be a VIE, the entity must be consolidated by the primary beneficiary. The primary beneficiary is the holder of the variable interests that has the power to direct the activities of a VIE that (i) most significantly impact the VIE’s economic performance and (ii) has the obligation to absorb losses of or the right to receive benefits from the VIE that could potentially be significant to the VIE. Therefore, the Company must identify which activities most significantly impact the VIE’s economic performance and determine whether it, or another party, has the power to direct those activities.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evaluation of its association with VIEs is described below:</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Aircraft Leases</w:t>
      </w:r>
      <w:r>
        <w:rPr>
          <w:rFonts w:ascii="Arial" w:cs="Arial" w:eastAsia="Arial" w:hAnsi="Arial"/>
          <w:sz w:val="16"/>
          <w:szCs w:val="16"/>
          <w:color w:val="auto"/>
        </w:rPr>
        <w:t>. We are the lessee in a number of operating leases covering the majority of our leased aircraft. The lessors are trusts established specifically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finance and lease aircraft to us. These leasing entities meet the criteria for VIEs. We are generally not the primary beneficiary of the leasing entities if the lease terms are consistent with market terms at the inception of the lease and do not include a residual value guarantee, fixed-price purchase option or similar feature that obligates us to absorb decreases in value or entitles us to participate in increases in the value of the aircraft. This is the case for many of our operating leases; however, leases of approximately 47 mainline jet aircraft contain a fixed-price purchase option that allow United to purchase the aircraft at predetermined prices on specified dates during the lease term. Additionally, leases covering approximately 207 leased regional jet aircraft contain an option to purchase the aircraft at the end of the lease term at prices that, depending on market conditions, could be below fair value. United has not consolidated the related trusts because, even taking into consideration these purchase options, United is still not the primary beneficiary. United’s maximum exposure under these leases is the remaining lease payments, which are reflected in future lease commitments in Note 13 of this report.</w:t>
      </w:r>
    </w:p>
    <w:p>
      <w:pPr>
        <w:spacing w:after="0" w:line="6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 xml:space="preserve">EETCs. </w:t>
      </w:r>
      <w:r>
        <w:rPr>
          <w:rFonts w:ascii="Arial" w:cs="Arial" w:eastAsia="Arial" w:hAnsi="Arial"/>
          <w:sz w:val="18"/>
          <w:szCs w:val="18"/>
          <w:color w:val="auto"/>
        </w:rPr>
        <w:t>United evaluated whether the pass-through trusts formed for its EETC financings, treated as either debt or aircraft operating leases, are VIEs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consolidated by United under applicable accounting guidance, and determined that the pass-through trusts are VIEs. Based on United’s analysis as described below, United determined that it does not have a variable interest in the pass-through trusts.</w:t>
      </w:r>
    </w:p>
    <w:p>
      <w:pPr>
        <w:spacing w:after="0" w:line="8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primary risk of the pass-through trusts is credit risk (i.e. the risk that United, the issuer of the equipment notes, may be unable to make its principal and interest payments). The primary purpose of the pass-through trust structure is to enhance the credit worthiness of United’s debt obligation through certain bankruptcy protection provisions, a liquidity facility (in certain of the EETC structures) and improved loan-to-value ratios for more senior debt classes. These credit enhancements lower United’s total borrowing cost. Pass-through trusts are established to receive principal and interest payments on the equipment notes purchased by the pass-through trusts from United and remit these proceeds to the pass-through trusts’ certificate holders.</w:t>
      </w:r>
    </w:p>
    <w:p>
      <w:pPr>
        <w:spacing w:after="0" w:line="6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United does not invest in or obtain a financial interest in the pass-through trusts. Rather, United has an obligation to make interest and principal payments on its equipment notes held by the pass-through trusts. United did not intend to have any voting or non-voting equity interest in the pass-through trusts or to absorb variability from the pass-through trusts. Based on this analysis, the Company determined that it is not required to consolidate the pass-through trusts.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2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Commitments. </w:t>
      </w:r>
      <w:r>
        <w:rPr>
          <w:rFonts w:ascii="Arial" w:cs="Arial" w:eastAsia="Arial" w:hAnsi="Arial"/>
          <w:sz w:val="16"/>
          <w:szCs w:val="16"/>
          <w:color w:val="auto"/>
        </w:rPr>
        <w:t>In January 2016, UAL entered into a purchase agreement amendment with The Boeing Company (“Boeing”) for a firm narrowbody aircraft 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40 Boeing 737 Next Generation (“737NG”) aircraft. As of December 31, 2015 (as adjusted to include the order discussed above), United had firm commitments and options to purchase aircraft from Boeing, Embraer and Airbus S.A.S. (“Airbus”) presented in the table below:</w:t>
      </w:r>
    </w:p>
    <w:p>
      <w:pPr>
        <w:spacing w:after="0" w:line="6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Firm</w:t>
            </w:r>
          </w:p>
        </w:tc>
        <w:tc>
          <w:tcPr>
            <w:tcW w:w="0" w:type="dxa"/>
            <w:vAlign w:val="bottom"/>
          </w:tcPr>
          <w:p>
            <w:pPr>
              <w:spacing w:after="0"/>
              <w:rPr>
                <w:sz w:val="1"/>
                <w:szCs w:val="1"/>
                <w:color w:val="auto"/>
              </w:rPr>
            </w:pPr>
          </w:p>
        </w:tc>
      </w:tr>
      <w:tr>
        <w:trPr>
          <w:trHeight w:val="228"/>
        </w:trPr>
        <w:tc>
          <w:tcPr>
            <w:tcW w:w="5900" w:type="dxa"/>
            <w:vAlign w:val="bottom"/>
            <w:gridSpan w:val="2"/>
            <w:vMerge w:val="restart"/>
          </w:tcPr>
          <w:p>
            <w:pPr>
              <w:ind w:left="1320"/>
              <w:spacing w:after="0"/>
              <w:rPr>
                <w:sz w:val="20"/>
                <w:szCs w:val="20"/>
                <w:color w:val="auto"/>
              </w:rPr>
            </w:pPr>
            <w:r>
              <w:rPr>
                <w:rFonts w:ascii="Arial" w:cs="Arial" w:eastAsia="Arial" w:hAnsi="Arial"/>
                <w:sz w:val="18"/>
                <w:szCs w:val="18"/>
                <w:b w:val="1"/>
                <w:bCs w:val="1"/>
                <w:color w:val="auto"/>
              </w:rPr>
              <w:t>Aircraft Type</w:t>
            </w:r>
          </w:p>
        </w:tc>
        <w:tc>
          <w:tcPr>
            <w:tcW w:w="1860" w:type="dxa"/>
            <w:vAlign w:val="bottom"/>
            <w:gridSpan w:val="2"/>
          </w:tcPr>
          <w:p>
            <w:pPr>
              <w:ind w:left="360"/>
              <w:spacing w:after="0"/>
              <w:rPr>
                <w:sz w:val="20"/>
                <w:szCs w:val="20"/>
                <w:color w:val="auto"/>
              </w:rPr>
            </w:pPr>
            <w:r>
              <w:rPr>
                <w:rFonts w:ascii="Arial" w:cs="Arial" w:eastAsia="Arial" w:hAnsi="Arial"/>
                <w:sz w:val="18"/>
                <w:szCs w:val="18"/>
                <w:b w:val="1"/>
                <w:bCs w:val="1"/>
                <w:color w:val="auto"/>
              </w:rPr>
              <w:t>Commitments (a)</w:t>
            </w:r>
          </w:p>
        </w:tc>
        <w:tc>
          <w:tcPr>
            <w:tcW w:w="0" w:type="dxa"/>
            <w:vAlign w:val="bottom"/>
          </w:tcPr>
          <w:p>
            <w:pPr>
              <w:spacing w:after="0"/>
              <w:rPr>
                <w:sz w:val="1"/>
                <w:szCs w:val="1"/>
                <w:color w:val="auto"/>
              </w:rPr>
            </w:pPr>
          </w:p>
        </w:tc>
      </w:tr>
      <w:tr>
        <w:trPr>
          <w:trHeight w:val="212"/>
        </w:trPr>
        <w:tc>
          <w:tcPr>
            <w:tcW w:w="590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shd w:val="clear" w:color="auto" w:fill="CCCCCC"/>
          </w:tcPr>
          <w:p>
            <w:pPr>
              <w:spacing w:after="0"/>
              <w:rPr>
                <w:sz w:val="20"/>
                <w:szCs w:val="20"/>
                <w:color w:val="auto"/>
              </w:rPr>
            </w:pPr>
            <w:r>
              <w:rPr>
                <w:rFonts w:ascii="Arial" w:cs="Arial" w:eastAsia="Arial" w:hAnsi="Arial"/>
                <w:sz w:val="18"/>
                <w:szCs w:val="18"/>
                <w:color w:val="auto"/>
              </w:rPr>
              <w:t>Airbus A350-1000</w:t>
            </w:r>
          </w:p>
        </w:tc>
        <w:tc>
          <w:tcPr>
            <w:tcW w:w="2240" w:type="dxa"/>
            <w:vAlign w:val="bottom"/>
            <w:tcBorders>
              <w:top w:val="single" w:sz="8" w:color="CCCCCC"/>
            </w:tcBorders>
            <w:shd w:val="clear" w:color="auto" w:fill="CCCCCC"/>
          </w:tcPr>
          <w:p>
            <w:pPr>
              <w:spacing w:after="0"/>
              <w:rPr>
                <w:sz w:val="18"/>
                <w:szCs w:val="18"/>
                <w:color w:val="auto"/>
              </w:rPr>
            </w:pPr>
          </w:p>
        </w:tc>
        <w:tc>
          <w:tcPr>
            <w:tcW w:w="17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Boeing 737NG/737 MAX 9</w:t>
            </w:r>
          </w:p>
        </w:tc>
        <w:tc>
          <w:tcPr>
            <w:tcW w:w="17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Boeing 777-300ER</w:t>
            </w:r>
          </w:p>
        </w:tc>
        <w:tc>
          <w:tcPr>
            <w:tcW w:w="1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Boeing 787-8/-9/-10</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auto"/>
            </w:tcBorders>
            <w:gridSpan w:val="2"/>
            <w:shd w:val="clear" w:color="auto" w:fill="CCCCCC"/>
          </w:tcPr>
          <w:p>
            <w:pPr>
              <w:spacing w:after="0"/>
              <w:rPr>
                <w:sz w:val="20"/>
                <w:szCs w:val="20"/>
                <w:color w:val="auto"/>
              </w:rPr>
            </w:pPr>
            <w:r>
              <w:rPr>
                <w:rFonts w:ascii="Arial" w:cs="Arial" w:eastAsia="Arial" w:hAnsi="Arial"/>
                <w:sz w:val="18"/>
                <w:szCs w:val="18"/>
                <w:color w:val="auto"/>
              </w:rPr>
              <w:t>Embraer E175</w:t>
            </w:r>
          </w:p>
        </w:tc>
        <w:tc>
          <w:tcPr>
            <w:tcW w:w="17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ind w:left="1840"/>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280"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aircraft listed in the table above are scheduled for delivery from 2016 through 2024.</w:t>
      </w:r>
    </w:p>
    <w:p>
      <w:pPr>
        <w:spacing w:after="0" w:line="117" w:lineRule="exact"/>
        <w:rPr>
          <w:sz w:val="20"/>
          <w:szCs w:val="20"/>
          <w:color w:val="auto"/>
        </w:rPr>
      </w:pPr>
    </w:p>
    <w:p>
      <w:pPr>
        <w:jc w:val="both"/>
        <w:ind w:right="460"/>
        <w:spacing w:after="0" w:line="323" w:lineRule="auto"/>
        <w:rPr>
          <w:sz w:val="20"/>
          <w:szCs w:val="20"/>
          <w:color w:val="auto"/>
        </w:rPr>
      </w:pPr>
      <w:r>
        <w:rPr>
          <w:rFonts w:ascii="Arial" w:cs="Arial" w:eastAsia="Arial" w:hAnsi="Arial"/>
          <w:sz w:val="15"/>
          <w:szCs w:val="15"/>
          <w:color w:val="auto"/>
        </w:rPr>
        <w:t>The table below summarizes United’s commitments as of December 31, 2015, which primarily relate to the acquisition of aircraft and related spare engines, aircraft improvements and include other commitments primarily to acquire information technology services and assets for the years ended December 31 (in billions). The table below is adjusted to include the impact of the January 2016 Boeing 737NG aircraft order discussed above. Any new firm aircraft orders, including through the exercise of purchase options and purchase rights, will increase the total future capital commitments of the Company.</w:t>
      </w:r>
    </w:p>
    <w:p>
      <w:pPr>
        <w:spacing w:after="0" w:line="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120" w:type="dxa"/>
            <w:vAlign w:val="bottom"/>
            <w:shd w:val="clear" w:color="auto" w:fill="CCCCCC"/>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CCCC"/>
          </w:tcPr>
          <w:p>
            <w:pPr>
              <w:jc w:val="right"/>
              <w:ind w:right="4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CCC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6120" w:type="dxa"/>
            <w:vAlign w:val="bottom"/>
            <w:shd w:val="clear" w:color="auto" w:fill="CCCCCC"/>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CCC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r>
      <w:tr>
        <w:trPr>
          <w:trHeight w:val="216"/>
        </w:trPr>
        <w:tc>
          <w:tcPr>
            <w:tcW w:w="6120" w:type="dxa"/>
            <w:vAlign w:val="bottom"/>
            <w:shd w:val="clear" w:color="auto" w:fill="CCCCCC"/>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CCCC"/>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After 2020</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r>
      <w:tr>
        <w:trPr>
          <w:trHeight w:val="216"/>
        </w:trPr>
        <w:tc>
          <w:tcPr>
            <w:tcW w:w="6120" w:type="dxa"/>
            <w:vAlign w:val="bottom"/>
            <w:shd w:val="clear" w:color="auto" w:fill="CCCCCC"/>
          </w:tcPr>
          <w:p>
            <w:pPr>
              <w:spacing w:after="0"/>
              <w:rPr>
                <w:sz w:val="18"/>
                <w:szCs w:val="18"/>
                <w:color w:val="auto"/>
              </w:rPr>
            </w:pPr>
          </w:p>
        </w:tc>
        <w:tc>
          <w:tcPr>
            <w:tcW w:w="640" w:type="dxa"/>
            <w:vAlign w:val="bottom"/>
            <w:tcBorders>
              <w:bottom w:val="single" w:sz="8" w:color="auto"/>
            </w:tcBorders>
            <w:shd w:val="clear" w:color="auto" w:fill="CCCCCC"/>
          </w:tcPr>
          <w:p>
            <w:pPr>
              <w:jc w:val="right"/>
              <w:ind w:right="4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CCCC"/>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2015 (as adjusted to include the order discussed above), United has secured backstop financing commitments from certain of its aircraft manufacturers for a limited number of its future aircraft deliveries, subject to certain customary conditions. Financing may be necessary to satisfy the Company’s capital commitments for its firm order aircraft and other related capital expenditures.</w:t>
      </w:r>
    </w:p>
    <w:p>
      <w:pPr>
        <w:spacing w:after="0" w:line="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 xml:space="preserve">Legal and Environmental. </w:t>
      </w:r>
      <w:r>
        <w:rPr>
          <w:rFonts w:ascii="Arial" w:cs="Arial" w:eastAsia="Arial" w:hAnsi="Arial"/>
          <w:sz w:val="16"/>
          <w:szCs w:val="16"/>
          <w:color w:val="auto"/>
        </w:rPr>
        <w:t>The Company has certain contingencies resulting from litigation and claims incident to the ordinary course of business.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management believes, after considering a number of factors, including (but not limited to) the information currently available, the views of legal counsel, the nature of contingencies to which the Company is subject and prior experience, that the ultimate disposition of the litigation and claims will not materially affect the Company’s consolidated financial position or results of operations. The Company records liabilities for legal and environmental claims when a loss is probable and reasonably estimable. These amounts are recorded based on the Company’s assessments of the likelihood of their eventual disposition.</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In the normal course of business, the Company enters into numerous real estate leasing and aircraft financing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have various guarantees included in the contracts. These guarantees are primarily in the form of indemnities under which the Company typically indemnifies the lessors and any tax/financing parties against tort liabilities that arise out of the use, occupancy, operation or maintenance of the leased premises or financed aircraft. Currently, the Company believes that any future payments required under these guarantees or indemnities would be immaterial, as most tort liabilities and related indemnities are covered by insurance (subject to deductibles). Additionally, certain leased premises such as fueling stations or storage facilities include indemnities of such parties for any environmental liability that may arise out of or relate to the use of the leased premises.</w:t>
      </w:r>
    </w:p>
    <w:p>
      <w:pPr>
        <w:spacing w:after="0" w:line="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December 31, 2015, United is the guarantor of approximately $1.9 billion in aggregate principal amount of tax-exempt special facilities revenue bonds and interest thereon. These bonds, issued by various airport municipalities, are payable solely from rentals paid under long-term agreements with the respective governing bodies. The leasing arrangements associated with $1.5 billion of these obligations are accounted for as operating leases with the associated expense recorded on a straight-line basis resulting in ratable accrual of the lease obligation over the expected lease term. These tax-exempt special facilities revenue bonds are included in our lease commitments disclosed in Note 13 of this report. The leasing arrangements associated with $302 million of these obligations are accounted for as capital leases. All of these bonds are due between 2017 and 2038.</w:t>
      </w:r>
    </w:p>
    <w:p>
      <w:pPr>
        <w:spacing w:after="0" w:line="6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United’s financing transactions that include loans, United typically agrees to reimburse lenders for any reduced returns with respect to the loans due to any change in capital requirements and, in the case of loans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0" w:right="239" w:bottom="1440" w:gutter="0" w:footer="0" w:header="0"/>
        </w:sectPr>
      </w:pPr>
    </w:p>
    <w:bookmarkStart w:id="102" w:name="page103"/>
    <w:bookmarkEnd w:id="10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2015, the Company had $2.4 billion of floating rate debt and $118 million of fixed rate debt, with remaining terms of up to 12 years, that are subject to these increased cost provisions. In several financing transactions involving loans or leases from non-U.S. entities, with remaining terms of up to 12 years and an aggregate balance of $2.4 billion, the Company bears the risk of any change in tax laws that would subject loan or lease payments thereunder to non-U.S. entities to withholding taxes, subject to customary exclusions.</w:t>
      </w:r>
    </w:p>
    <w:p>
      <w:pPr>
        <w:spacing w:after="0" w:line="6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Fuel Consortia. </w:t>
      </w:r>
      <w:r>
        <w:rPr>
          <w:rFonts w:ascii="Arial" w:cs="Arial" w:eastAsia="Arial" w:hAnsi="Arial"/>
          <w:sz w:val="16"/>
          <w:szCs w:val="16"/>
          <w:color w:val="auto"/>
        </w:rPr>
        <w:t>United participates in numerous fuel consortia with other air carriers at major airports to reduce the costs of fuel distribution and storage.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2015, approximately $1.3 billion principal amount of such bonds were secured by significant fuel facility leases in which United participates, as to which United and each of the signatory airlines has provided indirect guarantees of the debt. As of December 31, 2015, the Company’s contingent exposure was approximately $224 million principal amount of such bonds based on its recent consortia participation. The Company’s contingent exposure could increase if the participation of other air carriers decreases. The guarantees will expire when the tax-exempt bonds are paid in full, which ranges from 2017 to 2041. The Company did not record a liability at the time these indirect guarantees were made.</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Regional Capacity Purchase. </w:t>
      </w:r>
      <w:r>
        <w:rPr>
          <w:rFonts w:ascii="Arial" w:cs="Arial" w:eastAsia="Arial" w:hAnsi="Arial"/>
          <w:sz w:val="15"/>
          <w:szCs w:val="15"/>
          <w:color w:val="auto"/>
        </w:rPr>
        <w:t>As of December 31, 2015, United had 279 call options to purchase regional jet aircraft being operated by certain regional carriers.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2015, none of the call options was exercisable because none of the required conditions to make an option exercisable by United was met.</w:t>
      </w:r>
    </w:p>
    <w:p>
      <w:pPr>
        <w:spacing w:after="0" w:line="1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Credit Card Processing Agreements. </w:t>
      </w:r>
      <w:r>
        <w:rPr>
          <w:rFonts w:ascii="Arial" w:cs="Arial" w:eastAsia="Arial" w:hAnsi="Arial"/>
          <w:sz w:val="16"/>
          <w:szCs w:val="16"/>
          <w:color w:val="auto"/>
        </w:rPr>
        <w:t>The Company has agreements with financial institutions that process customer credit card transactions for the sale of 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 xml:space="preserve">Labor Negotiations. </w:t>
      </w:r>
      <w:r>
        <w:rPr>
          <w:rFonts w:ascii="Arial" w:cs="Arial" w:eastAsia="Arial" w:hAnsi="Arial"/>
          <w:sz w:val="18"/>
          <w:szCs w:val="18"/>
          <w:color w:val="auto"/>
        </w:rPr>
        <w:t>As of December 31, 2015, United, including its subsidiaries, had approximately 84,000 employees. Approximately 80% of United’s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represented by various U.S. labor organizations as of December 31, 2015.</w:t>
      </w:r>
    </w:p>
    <w:p>
      <w:pPr>
        <w:spacing w:after="0" w:line="7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has reached joint collective bargaining agreements with the majority of its employee groups since the merger transaction in 2010. The Company continues to negotiate in mediation for a joint flight attendant collective bargaining agreement, extensions to the IAM represented employees’ agreements and a joint technician and related employees’ collective bargaining agreement following the rejected proposal for ratification of a joint technician and related employees’ agreement. The Company can provide no assurance that a successful or timely resolution of these labor negotiations will be achieved.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280" w:right="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16 - SPECIAL ITEMS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Special items classified as special charges in the statements of consolidated operations consisted of the following for the years ended December 31 (in millions):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980" w:type="dxa"/>
            <w:vAlign w:val="bottom"/>
            <w:gridSpan w:val="3"/>
          </w:tcPr>
          <w:p>
            <w:pPr>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7"/>
                <w:szCs w:val="17"/>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r>
      <w:tr>
        <w:trPr>
          <w:trHeight w:val="21"/>
        </w:trPr>
        <w:tc>
          <w:tcPr>
            <w:tcW w:w="760" w:type="dxa"/>
            <w:vAlign w:val="bottom"/>
            <w:tcBorders>
              <w:top w:val="single" w:sz="8" w:color="auto"/>
              <w:bottom w:val="single" w:sz="8" w:color="CCCCCC"/>
            </w:tcBorders>
          </w:tcPr>
          <w:p>
            <w:pPr>
              <w:spacing w:after="0" w:line="20" w:lineRule="exact"/>
              <w:rPr>
                <w:sz w:val="1"/>
                <w:szCs w:val="1"/>
                <w:color w:val="auto"/>
              </w:rPr>
            </w:pPr>
          </w:p>
        </w:tc>
        <w:tc>
          <w:tcPr>
            <w:tcW w:w="1520" w:type="dxa"/>
            <w:vAlign w:val="bottom"/>
            <w:tcBorders>
              <w:bottom w:val="single" w:sz="8" w:color="CCCCCC"/>
            </w:tcBorders>
          </w:tcPr>
          <w:p>
            <w:pPr>
              <w:spacing w:after="0" w:line="20" w:lineRule="exact"/>
              <w:rPr>
                <w:sz w:val="1"/>
                <w:szCs w:val="1"/>
                <w:color w:val="auto"/>
              </w:rPr>
            </w:pPr>
          </w:p>
        </w:tc>
        <w:tc>
          <w:tcPr>
            <w:tcW w:w="2700" w:type="dxa"/>
            <w:vAlign w:val="bottom"/>
            <w:tcBorders>
              <w:bottom w:val="single" w:sz="8" w:color="CCCC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CCCC"/>
            </w:tcBorders>
          </w:tcPr>
          <w:p>
            <w:pPr>
              <w:spacing w:after="0" w:line="20" w:lineRule="exact"/>
              <w:rPr>
                <w:sz w:val="1"/>
                <w:szCs w:val="1"/>
                <w:color w:val="auto"/>
              </w:rPr>
            </w:pPr>
          </w:p>
        </w:tc>
        <w:tc>
          <w:tcPr>
            <w:tcW w:w="300" w:type="dxa"/>
            <w:vAlign w:val="bottom"/>
            <w:tcBorders>
              <w:bottom w:val="single" w:sz="8" w:color="CCCCC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CCC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CCCC"/>
            </w:tcBorders>
          </w:tcPr>
          <w:p>
            <w:pPr>
              <w:spacing w:after="0" w:line="20" w:lineRule="exact"/>
              <w:rPr>
                <w:sz w:val="1"/>
                <w:szCs w:val="1"/>
                <w:color w:val="auto"/>
              </w:rPr>
            </w:pPr>
          </w:p>
        </w:tc>
      </w:tr>
      <w:tr>
        <w:trPr>
          <w:trHeight w:val="210"/>
        </w:trPr>
        <w:tc>
          <w:tcPr>
            <w:tcW w:w="4980" w:type="dxa"/>
            <w:vAlign w:val="bottom"/>
            <w:gridSpan w:val="3"/>
            <w:shd w:val="clear" w:color="auto" w:fill="CCCCCC"/>
          </w:tcPr>
          <w:p>
            <w:pPr>
              <w:spacing w:after="0" w:line="202" w:lineRule="exact"/>
              <w:rPr>
                <w:sz w:val="20"/>
                <w:szCs w:val="20"/>
                <w:color w:val="auto"/>
              </w:rPr>
            </w:pPr>
            <w:r>
              <w:rPr>
                <w:rFonts w:ascii="Arial" w:cs="Arial" w:eastAsia="Arial" w:hAnsi="Arial"/>
                <w:sz w:val="18"/>
                <w:szCs w:val="18"/>
                <w:color w:val="auto"/>
              </w:rPr>
              <w:t>Severance and benefit costs</w:t>
            </w:r>
          </w:p>
        </w:tc>
        <w:tc>
          <w:tcPr>
            <w:tcW w:w="26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220" w:type="dxa"/>
            <w:vAlign w:val="bottom"/>
            <w:shd w:val="clear" w:color="auto" w:fill="CCCCCC"/>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CCCC"/>
          </w:tcPr>
          <w:p>
            <w:pPr>
              <w:spacing w:after="0"/>
              <w:rPr>
                <w:sz w:val="18"/>
                <w:szCs w:val="18"/>
                <w:color w:val="auto"/>
              </w:rPr>
            </w:pPr>
          </w:p>
        </w:tc>
        <w:tc>
          <w:tcPr>
            <w:tcW w:w="24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CCCC"/>
          </w:tcPr>
          <w:p>
            <w:pPr>
              <w:spacing w:after="0"/>
              <w:rPr>
                <w:sz w:val="18"/>
                <w:szCs w:val="18"/>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49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Integration-related costs</w:t>
            </w:r>
          </w:p>
        </w:tc>
        <w:tc>
          <w:tcPr>
            <w:tcW w:w="26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96</w:t>
            </w:r>
          </w:p>
        </w:tc>
        <w:tc>
          <w:tcPr>
            <w:tcW w:w="56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CCCC"/>
          </w:tcPr>
          <w:p>
            <w:pPr>
              <w:spacing w:after="0"/>
              <w:rPr>
                <w:sz w:val="18"/>
                <w:szCs w:val="18"/>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Labor agreement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08"/>
        </w:trPr>
        <w:tc>
          <w:tcPr>
            <w:tcW w:w="4980" w:type="dxa"/>
            <w:vAlign w:val="bottom"/>
            <w:gridSpan w:val="3"/>
            <w:shd w:val="clear" w:color="auto" w:fill="CCCCCC"/>
          </w:tcPr>
          <w:p>
            <w:pPr>
              <w:spacing w:after="0"/>
              <w:rPr>
                <w:sz w:val="20"/>
                <w:szCs w:val="20"/>
                <w:color w:val="auto"/>
              </w:rPr>
            </w:pPr>
            <w:r>
              <w:rPr>
                <w:rFonts w:ascii="Arial" w:cs="Arial" w:eastAsia="Arial" w:hAnsi="Arial"/>
                <w:sz w:val="18"/>
                <w:szCs w:val="18"/>
                <w:color w:val="auto"/>
                <w:w w:val="96"/>
              </w:rPr>
              <w:t>(Gains) losses on sale of assets and other miscellaneous (gains)</w:t>
            </w:r>
          </w:p>
        </w:tc>
        <w:tc>
          <w:tcPr>
            <w:tcW w:w="26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56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8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24"/>
        </w:trPr>
        <w:tc>
          <w:tcPr>
            <w:tcW w:w="49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losses, net</w:t>
            </w:r>
          </w:p>
        </w:tc>
        <w:tc>
          <w:tcPr>
            <w:tcW w:w="260" w:type="dxa"/>
            <w:vAlign w:val="bottom"/>
            <w:tcBorders>
              <w:bottom w:val="single" w:sz="8" w:color="auto"/>
            </w:tcBorders>
            <w:shd w:val="clear" w:color="auto" w:fill="CCCCCC"/>
          </w:tcPr>
          <w:p>
            <w:pPr>
              <w:spacing w:after="0"/>
              <w:rPr>
                <w:sz w:val="19"/>
                <w:szCs w:val="19"/>
                <w:color w:val="auto"/>
              </w:rPr>
            </w:pP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CCCC"/>
          </w:tcPr>
          <w:p>
            <w:pPr>
              <w:spacing w:after="0"/>
              <w:rPr>
                <w:sz w:val="19"/>
                <w:szCs w:val="19"/>
                <w:color w:val="auto"/>
              </w:rPr>
            </w:pPr>
          </w:p>
        </w:tc>
        <w:tc>
          <w:tcPr>
            <w:tcW w:w="300" w:type="dxa"/>
            <w:vAlign w:val="bottom"/>
            <w:shd w:val="clear" w:color="auto" w:fill="CCCCCC"/>
          </w:tcPr>
          <w:p>
            <w:pPr>
              <w:spacing w:after="0"/>
              <w:rPr>
                <w:sz w:val="19"/>
                <w:szCs w:val="19"/>
                <w:color w:val="auto"/>
              </w:rPr>
            </w:pPr>
          </w:p>
        </w:tc>
        <w:tc>
          <w:tcPr>
            <w:tcW w:w="220" w:type="dxa"/>
            <w:vAlign w:val="bottom"/>
            <w:tcBorders>
              <w:bottom w:val="single" w:sz="8" w:color="auto"/>
            </w:tcBorders>
            <w:shd w:val="clear" w:color="auto" w:fill="CCCCCC"/>
          </w:tcPr>
          <w:p>
            <w:pPr>
              <w:spacing w:after="0"/>
              <w:rPr>
                <w:sz w:val="19"/>
                <w:szCs w:val="19"/>
                <w:color w:val="auto"/>
              </w:rPr>
            </w:pP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99</w:t>
            </w:r>
          </w:p>
        </w:tc>
        <w:tc>
          <w:tcPr>
            <w:tcW w:w="560" w:type="dxa"/>
            <w:vAlign w:val="bottom"/>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8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CCCC"/>
          </w:tcPr>
          <w:p>
            <w:pPr>
              <w:spacing w:after="0"/>
              <w:rPr>
                <w:sz w:val="19"/>
                <w:szCs w:val="19"/>
                <w:color w:val="auto"/>
              </w:rPr>
            </w:pPr>
          </w:p>
        </w:tc>
      </w:tr>
      <w:tr>
        <w:trPr>
          <w:trHeight w:val="222"/>
        </w:trPr>
        <w:tc>
          <w:tcPr>
            <w:tcW w:w="4980" w:type="dxa"/>
            <w:vAlign w:val="bottom"/>
            <w:gridSpan w:val="3"/>
          </w:tcPr>
          <w:p>
            <w:pPr>
              <w:ind w:left="440"/>
              <w:spacing w:after="0"/>
              <w:rPr>
                <w:sz w:val="20"/>
                <w:szCs w:val="20"/>
                <w:color w:val="auto"/>
              </w:rPr>
            </w:pPr>
            <w:r>
              <w:rPr>
                <w:rFonts w:ascii="Arial" w:cs="Arial" w:eastAsia="Arial" w:hAnsi="Arial"/>
                <w:sz w:val="18"/>
                <w:szCs w:val="18"/>
                <w:color w:val="auto"/>
              </w:rPr>
              <w:t>Special charges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r>
      <w:tr>
        <w:trPr>
          <w:trHeight w:val="177"/>
        </w:trPr>
        <w:tc>
          <w:tcPr>
            <w:tcW w:w="4980" w:type="dxa"/>
            <w:vAlign w:val="bottom"/>
            <w:gridSpan w:val="3"/>
            <w:shd w:val="clear" w:color="auto" w:fill="CCCCCC"/>
          </w:tcPr>
          <w:p>
            <w:pPr>
              <w:spacing w:after="0" w:line="176" w:lineRule="exact"/>
              <w:rPr>
                <w:sz w:val="20"/>
                <w:szCs w:val="20"/>
                <w:color w:val="auto"/>
              </w:rPr>
            </w:pPr>
            <w:r>
              <w:rPr>
                <w:rFonts w:ascii="Arial" w:cs="Arial" w:eastAsia="Arial" w:hAnsi="Arial"/>
                <w:sz w:val="18"/>
                <w:szCs w:val="18"/>
                <w:color w:val="auto"/>
              </w:rPr>
              <w:t>Nonoperating and income taxes:</w:t>
            </w:r>
          </w:p>
        </w:tc>
        <w:tc>
          <w:tcPr>
            <w:tcW w:w="260" w:type="dxa"/>
            <w:vAlign w:val="bottom"/>
            <w:shd w:val="clear" w:color="auto" w:fill="CCCCCC"/>
          </w:tcPr>
          <w:p>
            <w:pPr>
              <w:spacing w:after="0"/>
              <w:rPr>
                <w:sz w:val="15"/>
                <w:szCs w:val="15"/>
                <w:color w:val="auto"/>
              </w:rPr>
            </w:pPr>
          </w:p>
        </w:tc>
        <w:tc>
          <w:tcPr>
            <w:tcW w:w="880" w:type="dxa"/>
            <w:vAlign w:val="bottom"/>
            <w:shd w:val="clear" w:color="auto" w:fill="CCCCCC"/>
          </w:tcPr>
          <w:p>
            <w:pPr>
              <w:spacing w:after="0"/>
              <w:rPr>
                <w:sz w:val="15"/>
                <w:szCs w:val="15"/>
                <w:color w:val="auto"/>
              </w:rPr>
            </w:pPr>
          </w:p>
        </w:tc>
        <w:tc>
          <w:tcPr>
            <w:tcW w:w="280" w:type="dxa"/>
            <w:vAlign w:val="bottom"/>
            <w:shd w:val="clear" w:color="auto" w:fill="CCCCCC"/>
          </w:tcPr>
          <w:p>
            <w:pPr>
              <w:spacing w:after="0"/>
              <w:rPr>
                <w:sz w:val="15"/>
                <w:szCs w:val="15"/>
                <w:color w:val="auto"/>
              </w:rPr>
            </w:pPr>
          </w:p>
        </w:tc>
        <w:tc>
          <w:tcPr>
            <w:tcW w:w="30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880" w:type="dxa"/>
            <w:vAlign w:val="bottom"/>
            <w:shd w:val="clear" w:color="auto" w:fill="CCCCCC"/>
          </w:tcPr>
          <w:p>
            <w:pPr>
              <w:spacing w:after="0"/>
              <w:rPr>
                <w:sz w:val="15"/>
                <w:szCs w:val="15"/>
                <w:color w:val="auto"/>
              </w:rPr>
            </w:pPr>
          </w:p>
        </w:tc>
        <w:tc>
          <w:tcPr>
            <w:tcW w:w="560" w:type="dxa"/>
            <w:vAlign w:val="bottom"/>
            <w:shd w:val="clear" w:color="auto" w:fill="CCCCCC"/>
          </w:tcPr>
          <w:p>
            <w:pPr>
              <w:spacing w:after="0"/>
              <w:rPr>
                <w:sz w:val="15"/>
                <w:szCs w:val="15"/>
                <w:color w:val="auto"/>
              </w:rPr>
            </w:pPr>
          </w:p>
        </w:tc>
        <w:tc>
          <w:tcPr>
            <w:tcW w:w="240" w:type="dxa"/>
            <w:vAlign w:val="bottom"/>
            <w:shd w:val="clear" w:color="auto" w:fill="CCCCCC"/>
          </w:tcPr>
          <w:p>
            <w:pPr>
              <w:spacing w:after="0"/>
              <w:rPr>
                <w:sz w:val="15"/>
                <w:szCs w:val="15"/>
                <w:color w:val="auto"/>
              </w:rPr>
            </w:pPr>
          </w:p>
        </w:tc>
        <w:tc>
          <w:tcPr>
            <w:tcW w:w="88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r>
      <w:tr>
        <w:trPr>
          <w:trHeight w:val="21"/>
        </w:trPr>
        <w:tc>
          <w:tcPr>
            <w:tcW w:w="760" w:type="dxa"/>
            <w:vAlign w:val="bottom"/>
            <w:tcBorders>
              <w:top w:val="single" w:sz="8" w:color="auto"/>
            </w:tcBorders>
            <w:shd w:val="clear" w:color="auto" w:fill="CCCCCC"/>
          </w:tcPr>
          <w:p>
            <w:pPr>
              <w:spacing w:after="0" w:line="20" w:lineRule="exact"/>
              <w:rPr>
                <w:sz w:val="1"/>
                <w:szCs w:val="1"/>
                <w:color w:val="auto"/>
              </w:rPr>
            </w:pPr>
          </w:p>
        </w:tc>
        <w:tc>
          <w:tcPr>
            <w:tcW w:w="1520" w:type="dxa"/>
            <w:vAlign w:val="bottom"/>
            <w:tcBorders>
              <w:top w:val="single" w:sz="8" w:color="auto"/>
            </w:tcBorders>
            <w:shd w:val="clear" w:color="auto" w:fill="CCCCCC"/>
          </w:tcPr>
          <w:p>
            <w:pPr>
              <w:spacing w:after="0" w:line="20" w:lineRule="exact"/>
              <w:rPr>
                <w:sz w:val="1"/>
                <w:szCs w:val="1"/>
                <w:color w:val="auto"/>
              </w:rPr>
            </w:pPr>
          </w:p>
        </w:tc>
        <w:tc>
          <w:tcPr>
            <w:tcW w:w="2700" w:type="dxa"/>
            <w:vAlign w:val="bottom"/>
            <w:tcBorders>
              <w:top w:val="single" w:sz="8" w:color="CCCCCC"/>
            </w:tcBorders>
            <w:shd w:val="clear" w:color="auto" w:fill="CCCCCC"/>
          </w:tcPr>
          <w:p>
            <w:pPr>
              <w:spacing w:after="0" w:line="20" w:lineRule="exact"/>
              <w:rPr>
                <w:sz w:val="1"/>
                <w:szCs w:val="1"/>
                <w:color w:val="auto"/>
              </w:rPr>
            </w:pPr>
          </w:p>
        </w:tc>
        <w:tc>
          <w:tcPr>
            <w:tcW w:w="260" w:type="dxa"/>
            <w:vAlign w:val="bottom"/>
            <w:tcBorders>
              <w:top w:val="single" w:sz="8" w:color="CCCCCC"/>
            </w:tcBorders>
            <w:shd w:val="clear" w:color="auto" w:fill="CCCCCC"/>
          </w:tcPr>
          <w:p>
            <w:pPr>
              <w:spacing w:after="0" w:line="20" w:lineRule="exact"/>
              <w:rPr>
                <w:sz w:val="1"/>
                <w:szCs w:val="1"/>
                <w:color w:val="auto"/>
              </w:rPr>
            </w:pPr>
          </w:p>
        </w:tc>
        <w:tc>
          <w:tcPr>
            <w:tcW w:w="880" w:type="dxa"/>
            <w:vAlign w:val="bottom"/>
            <w:tcBorders>
              <w:top w:val="single" w:sz="8" w:color="CCCCCC"/>
            </w:tcBorders>
            <w:shd w:val="clear" w:color="auto" w:fill="CCCCCC"/>
          </w:tcPr>
          <w:p>
            <w:pPr>
              <w:spacing w:after="0" w:line="20" w:lineRule="exact"/>
              <w:rPr>
                <w:sz w:val="1"/>
                <w:szCs w:val="1"/>
                <w:color w:val="auto"/>
              </w:rPr>
            </w:pPr>
          </w:p>
        </w:tc>
        <w:tc>
          <w:tcPr>
            <w:tcW w:w="280" w:type="dxa"/>
            <w:vAlign w:val="bottom"/>
            <w:tcBorders>
              <w:top w:val="single" w:sz="8" w:color="CCCCCC"/>
            </w:tcBorders>
            <w:shd w:val="clear" w:color="auto" w:fill="CCCCCC"/>
          </w:tcPr>
          <w:p>
            <w:pPr>
              <w:spacing w:after="0" w:line="20" w:lineRule="exact"/>
              <w:rPr>
                <w:sz w:val="1"/>
                <w:szCs w:val="1"/>
                <w:color w:val="auto"/>
              </w:rPr>
            </w:pPr>
          </w:p>
        </w:tc>
        <w:tc>
          <w:tcPr>
            <w:tcW w:w="300" w:type="dxa"/>
            <w:vAlign w:val="bottom"/>
            <w:tcBorders>
              <w:top w:val="single" w:sz="8" w:color="CCCCCC"/>
            </w:tcBorders>
            <w:shd w:val="clear" w:color="auto" w:fill="CCCCCC"/>
          </w:tcPr>
          <w:p>
            <w:pPr>
              <w:spacing w:after="0" w:line="20" w:lineRule="exact"/>
              <w:rPr>
                <w:sz w:val="1"/>
                <w:szCs w:val="1"/>
                <w:color w:val="auto"/>
              </w:rPr>
            </w:pPr>
          </w:p>
        </w:tc>
        <w:tc>
          <w:tcPr>
            <w:tcW w:w="220" w:type="dxa"/>
            <w:vAlign w:val="bottom"/>
            <w:tcBorders>
              <w:top w:val="single" w:sz="8" w:color="CCCCCC"/>
            </w:tcBorders>
            <w:shd w:val="clear" w:color="auto" w:fill="CCCCCC"/>
          </w:tcPr>
          <w:p>
            <w:pPr>
              <w:spacing w:after="0" w:line="20" w:lineRule="exact"/>
              <w:rPr>
                <w:sz w:val="1"/>
                <w:szCs w:val="1"/>
                <w:color w:val="auto"/>
              </w:rPr>
            </w:pPr>
          </w:p>
        </w:tc>
        <w:tc>
          <w:tcPr>
            <w:tcW w:w="880" w:type="dxa"/>
            <w:vAlign w:val="bottom"/>
            <w:tcBorders>
              <w:top w:val="single" w:sz="8" w:color="CCCCCC"/>
            </w:tcBorders>
            <w:shd w:val="clear" w:color="auto" w:fill="CCCCCC"/>
          </w:tcPr>
          <w:p>
            <w:pPr>
              <w:spacing w:after="0" w:line="20" w:lineRule="exact"/>
              <w:rPr>
                <w:sz w:val="1"/>
                <w:szCs w:val="1"/>
                <w:color w:val="auto"/>
              </w:rPr>
            </w:pPr>
          </w:p>
        </w:tc>
        <w:tc>
          <w:tcPr>
            <w:tcW w:w="560" w:type="dxa"/>
            <w:vAlign w:val="bottom"/>
            <w:tcBorders>
              <w:top w:val="single" w:sz="8" w:color="CCCCCC"/>
            </w:tcBorders>
            <w:shd w:val="clear" w:color="auto" w:fill="CCCCCC"/>
          </w:tcPr>
          <w:p>
            <w:pPr>
              <w:spacing w:after="0" w:line="20" w:lineRule="exact"/>
              <w:rPr>
                <w:sz w:val="1"/>
                <w:szCs w:val="1"/>
                <w:color w:val="auto"/>
              </w:rPr>
            </w:pPr>
          </w:p>
        </w:tc>
        <w:tc>
          <w:tcPr>
            <w:tcW w:w="240" w:type="dxa"/>
            <w:vAlign w:val="bottom"/>
            <w:tcBorders>
              <w:top w:val="single" w:sz="8" w:color="CCCCCC"/>
            </w:tcBorders>
            <w:shd w:val="clear" w:color="auto" w:fill="CCCCCC"/>
          </w:tcPr>
          <w:p>
            <w:pPr>
              <w:spacing w:after="0" w:line="20" w:lineRule="exact"/>
              <w:rPr>
                <w:sz w:val="1"/>
                <w:szCs w:val="1"/>
                <w:color w:val="auto"/>
              </w:rPr>
            </w:pPr>
          </w:p>
        </w:tc>
        <w:tc>
          <w:tcPr>
            <w:tcW w:w="880" w:type="dxa"/>
            <w:vAlign w:val="bottom"/>
            <w:tcBorders>
              <w:top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r>
      <w:tr>
        <w:trPr>
          <w:trHeight w:val="216"/>
        </w:trPr>
        <w:tc>
          <w:tcPr>
            <w:tcW w:w="4980" w:type="dxa"/>
            <w:vAlign w:val="bottom"/>
            <w:gridSpan w:val="3"/>
          </w:tcPr>
          <w:p>
            <w:pPr>
              <w:spacing w:after="0"/>
              <w:rPr>
                <w:sz w:val="20"/>
                <w:szCs w:val="20"/>
                <w:color w:val="auto"/>
              </w:rPr>
            </w:pPr>
            <w:r>
              <w:rPr>
                <w:rFonts w:ascii="Arial" w:cs="Arial" w:eastAsia="Arial" w:hAnsi="Arial"/>
                <w:sz w:val="18"/>
                <w:szCs w:val="18"/>
                <w:color w:val="auto"/>
              </w:rPr>
              <w:t>Loss on extinguishment of debt and other,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gridSpan w:val="3"/>
            <w:shd w:val="clear" w:color="auto" w:fill="CCCCCC"/>
          </w:tcPr>
          <w:p>
            <w:pPr>
              <w:spacing w:after="0"/>
              <w:rPr>
                <w:sz w:val="20"/>
                <w:szCs w:val="20"/>
                <w:color w:val="auto"/>
              </w:rPr>
            </w:pPr>
            <w:r>
              <w:rPr>
                <w:rFonts w:ascii="Arial" w:cs="Arial" w:eastAsia="Arial" w:hAnsi="Arial"/>
                <w:sz w:val="18"/>
                <w:szCs w:val="18"/>
                <w:color w:val="auto"/>
              </w:rPr>
              <w:t>Income tax benefit related to special charges</w:t>
            </w:r>
          </w:p>
        </w:tc>
        <w:tc>
          <w:tcPr>
            <w:tcW w:w="260" w:type="dxa"/>
            <w:vAlign w:val="bottom"/>
            <w:shd w:val="clear" w:color="auto" w:fill="CCCCCC"/>
          </w:tcPr>
          <w:p>
            <w:pPr>
              <w:spacing w:after="0"/>
              <w:rPr>
                <w:sz w:val="18"/>
                <w:szCs w:val="18"/>
                <w:color w:val="auto"/>
              </w:rPr>
            </w:pPr>
          </w:p>
        </w:tc>
        <w:tc>
          <w:tcPr>
            <w:tcW w:w="1160" w:type="dxa"/>
            <w:vAlign w:val="bottom"/>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1440" w:type="dxa"/>
            <w:vAlign w:val="bottom"/>
            <w:gridSpan w:val="2"/>
            <w:shd w:val="clear" w:color="auto" w:fill="CCCCCC"/>
          </w:tcPr>
          <w:p>
            <w:pPr>
              <w:jc w:val="right"/>
              <w:ind w:right="56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CCCC"/>
          </w:tcPr>
          <w:p>
            <w:pPr>
              <w:spacing w:after="0"/>
              <w:rPr>
                <w:sz w:val="18"/>
                <w:szCs w:val="18"/>
                <w:color w:val="auto"/>
              </w:rPr>
            </w:pPr>
          </w:p>
        </w:tc>
        <w:tc>
          <w:tcPr>
            <w:tcW w:w="980" w:type="dxa"/>
            <w:vAlign w:val="bottom"/>
            <w:gridSpan w:val="2"/>
            <w:shd w:val="clear" w:color="auto" w:fill="CCCCCC"/>
          </w:tcPr>
          <w:p>
            <w:pPr>
              <w:jc w:val="right"/>
              <w:ind w:right="100"/>
              <w:spacing w:after="0"/>
              <w:rPr>
                <w:sz w:val="20"/>
                <w:szCs w:val="20"/>
                <w:color w:val="auto"/>
              </w:rPr>
            </w:pPr>
            <w:r>
              <w:rPr>
                <w:rFonts w:ascii="Arial" w:cs="Arial" w:eastAsia="Arial" w:hAnsi="Arial"/>
                <w:sz w:val="18"/>
                <w:szCs w:val="18"/>
                <w:color w:val="auto"/>
              </w:rPr>
              <w:t>(7)</w:t>
            </w:r>
          </w:p>
        </w:tc>
      </w:tr>
      <w:tr>
        <w:trPr>
          <w:trHeight w:val="208"/>
        </w:trPr>
        <w:tc>
          <w:tcPr>
            <w:tcW w:w="4980" w:type="dxa"/>
            <w:vAlign w:val="bottom"/>
            <w:gridSpan w:val="3"/>
          </w:tcPr>
          <w:p>
            <w:pPr>
              <w:spacing w:after="0"/>
              <w:rPr>
                <w:sz w:val="20"/>
                <w:szCs w:val="20"/>
                <w:color w:val="auto"/>
              </w:rPr>
            </w:pPr>
            <w:r>
              <w:rPr>
                <w:rFonts w:ascii="Arial" w:cs="Arial" w:eastAsia="Arial" w:hAnsi="Arial"/>
                <w:sz w:val="18"/>
                <w:szCs w:val="18"/>
                <w:color w:val="auto"/>
              </w:rPr>
              <w:t>Income tax benefit associated with</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980" w:type="dxa"/>
            <w:vAlign w:val="bottom"/>
            <w:gridSpan w:val="3"/>
          </w:tcPr>
          <w:p>
            <w:pPr>
              <w:spacing w:after="0"/>
              <w:rPr>
                <w:sz w:val="20"/>
                <w:szCs w:val="20"/>
                <w:color w:val="auto"/>
              </w:rPr>
            </w:pPr>
            <w:r>
              <w:rPr>
                <w:rFonts w:ascii="Arial" w:cs="Arial" w:eastAsia="Arial" w:hAnsi="Arial"/>
                <w:sz w:val="18"/>
                <w:szCs w:val="18"/>
                <w:color w:val="auto"/>
              </w:rPr>
              <w:t>valuation allowance release (Note 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4980" w:type="dxa"/>
            <w:vAlign w:val="bottom"/>
            <w:gridSpan w:val="3"/>
            <w:shd w:val="clear" w:color="auto" w:fill="CCCCCC"/>
          </w:tcPr>
          <w:p>
            <w:pPr>
              <w:ind w:left="440"/>
              <w:spacing w:after="0"/>
              <w:rPr>
                <w:sz w:val="20"/>
                <w:szCs w:val="20"/>
                <w:color w:val="auto"/>
              </w:rPr>
            </w:pPr>
            <w:r>
              <w:rPr>
                <w:rFonts w:ascii="Arial" w:cs="Arial" w:eastAsia="Arial" w:hAnsi="Arial"/>
                <w:sz w:val="18"/>
                <w:szCs w:val="18"/>
                <w:color w:val="auto"/>
              </w:rPr>
              <w:t>Total operating and nonoperating</w:t>
            </w:r>
          </w:p>
        </w:tc>
        <w:tc>
          <w:tcPr>
            <w:tcW w:w="260" w:type="dxa"/>
            <w:vAlign w:val="bottom"/>
            <w:tcBorders>
              <w:top w:val="single" w:sz="8" w:color="auto"/>
            </w:tcBorders>
            <w:shd w:val="clear" w:color="auto" w:fill="CCCCCC"/>
          </w:tcPr>
          <w:p>
            <w:pPr>
              <w:spacing w:after="0"/>
              <w:rPr>
                <w:sz w:val="18"/>
                <w:szCs w:val="18"/>
                <w:color w:val="auto"/>
              </w:rPr>
            </w:pPr>
          </w:p>
        </w:tc>
        <w:tc>
          <w:tcPr>
            <w:tcW w:w="880" w:type="dxa"/>
            <w:vAlign w:val="bottom"/>
            <w:tcBorders>
              <w:top w:val="single" w:sz="8" w:color="auto"/>
            </w:tcBorders>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300" w:type="dxa"/>
            <w:vAlign w:val="bottom"/>
            <w:shd w:val="clear" w:color="auto" w:fill="CCCCCC"/>
          </w:tcPr>
          <w:p>
            <w:pPr>
              <w:spacing w:after="0"/>
              <w:rPr>
                <w:sz w:val="18"/>
                <w:szCs w:val="18"/>
                <w:color w:val="auto"/>
              </w:rPr>
            </w:pPr>
          </w:p>
        </w:tc>
        <w:tc>
          <w:tcPr>
            <w:tcW w:w="220" w:type="dxa"/>
            <w:vAlign w:val="bottom"/>
            <w:tcBorders>
              <w:top w:val="single" w:sz="8" w:color="auto"/>
            </w:tcBorders>
            <w:shd w:val="clear" w:color="auto" w:fill="CCCCCC"/>
          </w:tcPr>
          <w:p>
            <w:pPr>
              <w:spacing w:after="0"/>
              <w:rPr>
                <w:sz w:val="18"/>
                <w:szCs w:val="18"/>
                <w:color w:val="auto"/>
              </w:rPr>
            </w:pPr>
          </w:p>
        </w:tc>
        <w:tc>
          <w:tcPr>
            <w:tcW w:w="880" w:type="dxa"/>
            <w:vAlign w:val="bottom"/>
            <w:tcBorders>
              <w:top w:val="single" w:sz="8" w:color="auto"/>
            </w:tcBorders>
            <w:shd w:val="clear" w:color="auto" w:fill="CCCCCC"/>
          </w:tcPr>
          <w:p>
            <w:pPr>
              <w:spacing w:after="0"/>
              <w:rPr>
                <w:sz w:val="18"/>
                <w:szCs w:val="18"/>
                <w:color w:val="auto"/>
              </w:rPr>
            </w:pPr>
          </w:p>
        </w:tc>
        <w:tc>
          <w:tcPr>
            <w:tcW w:w="560" w:type="dxa"/>
            <w:vAlign w:val="bottom"/>
            <w:shd w:val="clear" w:color="auto" w:fill="CCCCCC"/>
          </w:tcPr>
          <w:p>
            <w:pPr>
              <w:spacing w:after="0"/>
              <w:rPr>
                <w:sz w:val="18"/>
                <w:szCs w:val="18"/>
                <w:color w:val="auto"/>
              </w:rPr>
            </w:pPr>
          </w:p>
        </w:tc>
        <w:tc>
          <w:tcPr>
            <w:tcW w:w="240" w:type="dxa"/>
            <w:vAlign w:val="bottom"/>
            <w:tcBorders>
              <w:top w:val="single" w:sz="8" w:color="auto"/>
            </w:tcBorders>
            <w:shd w:val="clear" w:color="auto" w:fill="CCCCCC"/>
          </w:tcPr>
          <w:p>
            <w:pPr>
              <w:spacing w:after="0"/>
              <w:rPr>
                <w:sz w:val="18"/>
                <w:szCs w:val="18"/>
                <w:color w:val="auto"/>
              </w:rPr>
            </w:pPr>
          </w:p>
        </w:tc>
        <w:tc>
          <w:tcPr>
            <w:tcW w:w="880" w:type="dxa"/>
            <w:vAlign w:val="bottom"/>
            <w:tcBorders>
              <w:top w:val="single" w:sz="8" w:color="auto"/>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r>
      <w:tr>
        <w:trPr>
          <w:trHeight w:val="238"/>
        </w:trPr>
        <w:tc>
          <w:tcPr>
            <w:tcW w:w="4980" w:type="dxa"/>
            <w:vAlign w:val="bottom"/>
            <w:gridSpan w:val="3"/>
            <w:shd w:val="clear" w:color="auto" w:fill="CCCCCC"/>
          </w:tcPr>
          <w:p>
            <w:pPr>
              <w:ind w:left="440"/>
              <w:spacing w:after="0"/>
              <w:rPr>
                <w:sz w:val="20"/>
                <w:szCs w:val="20"/>
                <w:color w:val="auto"/>
              </w:rPr>
            </w:pPr>
            <w:r>
              <w:rPr>
                <w:rFonts w:ascii="Arial" w:cs="Arial" w:eastAsia="Arial" w:hAnsi="Arial"/>
                <w:sz w:val="18"/>
                <w:szCs w:val="18"/>
                <w:color w:val="auto"/>
              </w:rPr>
              <w:t>special charges, net of income taxes</w:t>
            </w:r>
          </w:p>
        </w:tc>
        <w:tc>
          <w:tcPr>
            <w:tcW w:w="26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(2,613)</w:t>
            </w:r>
          </w:p>
        </w:tc>
        <w:tc>
          <w:tcPr>
            <w:tcW w:w="280" w:type="dxa"/>
            <w:vAlign w:val="bottom"/>
            <w:shd w:val="clear" w:color="auto" w:fill="CCCCCC"/>
          </w:tcPr>
          <w:p>
            <w:pPr>
              <w:spacing w:after="0"/>
              <w:rPr>
                <w:sz w:val="20"/>
                <w:szCs w:val="20"/>
                <w:color w:val="auto"/>
              </w:rPr>
            </w:pPr>
          </w:p>
        </w:tc>
        <w:tc>
          <w:tcPr>
            <w:tcW w:w="520" w:type="dxa"/>
            <w:vAlign w:val="bottom"/>
            <w:gridSpan w:val="2"/>
            <w:shd w:val="clear" w:color="auto" w:fill="CCCCCC"/>
          </w:tcPr>
          <w:p>
            <w:pPr>
              <w:jc w:val="right"/>
              <w:ind w:right="6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507</w:t>
            </w:r>
          </w:p>
        </w:tc>
        <w:tc>
          <w:tcPr>
            <w:tcW w:w="560" w:type="dxa"/>
            <w:vAlign w:val="bottom"/>
            <w:shd w:val="clear" w:color="auto" w:fill="CCCCCC"/>
          </w:tcPr>
          <w:p>
            <w:pPr>
              <w:spacing w:after="0"/>
              <w:rPr>
                <w:sz w:val="20"/>
                <w:szCs w:val="20"/>
                <w:color w:val="auto"/>
              </w:rPr>
            </w:pPr>
          </w:p>
        </w:tc>
        <w:tc>
          <w:tcPr>
            <w:tcW w:w="240" w:type="dxa"/>
            <w:vAlign w:val="bottom"/>
            <w:shd w:val="clear" w:color="auto" w:fill="CCCCCC"/>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CCCC"/>
          </w:tcPr>
          <w:p>
            <w:pPr>
              <w:spacing w:after="0"/>
              <w:rPr>
                <w:sz w:val="20"/>
                <w:szCs w:val="20"/>
                <w:color w:val="auto"/>
              </w:rPr>
            </w:pPr>
          </w:p>
        </w:tc>
      </w:tr>
      <w:tr>
        <w:trPr>
          <w:trHeight w:val="20"/>
        </w:trPr>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2015</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recorded $107 million of severance and benefit costs primarily related to a voluntary early-out program for its flight attendants. In 2014, more than 2,500 flight attendants elected to voluntarily separate from the Company and will receive a severance payment, with a maximum value of $100,000 per participant, based on years of service, with retirement dates through the end of 2016.</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recorded $33 million ($22 million net of related income tax benefit) related to its annual assessment of impairment of its indefinite-lived intangible assets (certain domestic slots and international Pacific routes), $8 million for the write-off of unexercised aircraft purchase options and $7 million for inventory held for sale. The Company also recorded other impairments, including $10 million for discontinued internal software projects and $10 million for the impairment of several engines held for sale.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Integration-related costs include compensation costs related primarily to systems integration and training for employees.</w:t>
      </w:r>
    </w:p>
    <w:p>
      <w:pPr>
        <w:spacing w:after="0" w:line="11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During 2015, the Company also recorded $32 million related to charges for legal matters, $18 million related to collective bargaining agreements, $16 million for the cease use of an aircraft under lease and $14 million for losses on the sale of aircraft and other miscellaneous gains and losses.</w:t>
      </w:r>
    </w:p>
    <w:p>
      <w:pPr>
        <w:spacing w:after="0" w:line="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recorded $202 million of losses as part of Nonoperating income (expense): Miscellaneous, net due primarily to the write-off of $134 million related to the unamortized non-cash debt discount from the extinguishment of the 2026 Notes and the 2028 Notes. During 2015, the Company also recorded a $61 million foreign exchange loss related to its cash holdings in Venezuela. The Venezuelan government has maintained currency controls and fixed official exchange rates (i.e. Sistema Complementario de Administracion de Divisas (“SICAD”), and Sistema Marginal de Divisas (“SIMADI”)) for many years. Previously, airlines were permitted to use the more favorable SICAD rate (currently 13.5 Venezuelan bolivars to one U.S. dollar) if repatriating profits and for payments of local goods and services in Venezuela. During 2015, many of the payments for local goods and services have transitioned to utilizing the SIMADI rate (currently 200 Venezuelan bolivars to one U.S. dollar) or have been required to be paid in U.S. dollars. Furthermore, the Venezuelan government has not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04" w:name="page105"/>
    <w:bookmarkEnd w:id="104"/>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the exchange and repatriations of local currency since mid-2014. As a result, the Company changed the exchange rate from historical SICAD rates to a combination of SIMADI and SICAD rates based on projections of future cash payments. Including this adjustment, the Company’s resulting cash balance held in Venezuelan bolivars at December 31, 2015 is approximately $13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2014</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recorded $141 million of severance and benefit costs related primarily to a voluntary early-out program for its flight attendants. More than 2,500 participants elected a one-time opportunity to voluntarily separate from the Company and will receive a severance payment, with a maximum value of $100,000 per participant, based on years of service, with retirement dates through the end of 2016. In addition, the Company recorded $58 million of severance and benefits primarily related to reductions of management and front-line employees, including from Hopkins International Airport (“Cleveland”), as part of its cost savings initiatives. The Company is currently evaluating its options regarding its long-term contractual lease commitments at Cleveland. The capacity reductions at Cleveland may result in further special charges, which could be significant, related to our contractual commitments.</w:t>
      </w:r>
    </w:p>
    <w:p>
      <w:pPr>
        <w:spacing w:after="0" w:line="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recorded a charge of $16 million ($10 million net of related income tax benefits) related to its annual assessment of impairment of its indefinite-lived intangible assets (certain international Pacific routes). In addition, the Company also recorded $33 million for charges related primarily to impairment of its flight equipment held for disposal associated with its Boeing 737-300 and 737-500 fleets.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Integration-related costs included compensation costs related to systems integration, training, severance and relocation for employees.</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recorded $66 million for the permanent grounding of 21 of the Company’s Embraer ERJ 135 regional aircraft under lease through 2018, which included an accrual for remaining lease payments and an amount for maintenance return conditions. The Company decided to permanently ground these 21 Embraer ERJ 135 aircraft as a result of new Embraer E175 regional jet deliveries, the impact of pilot shortages at regional carriers and fuel prices. In addition, the Company also recorded $33 million for losses on the sale of assets and other special charges.</w:t>
      </w:r>
    </w:p>
    <w:p>
      <w:pPr>
        <w:spacing w:after="0" w:line="5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United used cash to retire, at par, the entire $248 million principal balance of the 6% Convertible Debentures and the 6% Convertible Preferred Securities, Term Income Deferrable Equity Securities (TIDES) and incurred $64 million of expense primarily associated with the write-off of the related non-cash debt discounts. The Company also recorded $10 million of foreign exchange losses in Venezuela in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2013</w:t>
      </w:r>
    </w:p>
    <w:p>
      <w:pPr>
        <w:spacing w:after="0" w:line="11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offered a voluntary retirement program for its fleet service, passenger service, storekeeper and pilot work groups. Approximately 1,200 employees volunteered under the program during the fourth quarter of 2013 and United recorded approximately $64 million of severance and benefit costs for the programs. The Company also offered voluntary leave of absence programs which allowed for continued medical coverage for flight attendants who volunteered during the leave of absence period, resulting in a charge of approximately $26 million. The remaining $15 million of severance and benefit costs was related to involuntary severance programs associated with flight attendants and other work groups.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recorded $32 million of impairment charges of its flight equipment held for disposal associated with its Boeing 737-300 and 737-500 fleets and $1 million on an intangible asset for a route to Manila in order to reflect the estimated fair value of this asset as part of the Company’s annual impairment test of indefinite-lived intangible assets.</w:t>
      </w:r>
    </w:p>
    <w:p>
      <w:pPr>
        <w:spacing w:after="0" w:line="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Integration-related costs included compensation costs related to systems integration and training, branding activities, new uniforms, write-off or acceleration of depreciation on systems and facilities that were no longer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80" w:right="259" w:bottom="1440" w:gutter="0" w:footer="0" w:header="0"/>
        </w:sectPr>
      </w:pPr>
    </w:p>
    <w:bookmarkStart w:id="105" w:name="page106"/>
    <w:bookmarkEnd w:id="105"/>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used or planned to be used for significantly shorter periods, relocation for employees and severance primarily associated with administrative headcount reductions.</w:t>
      </w:r>
    </w:p>
    <w:p>
      <w:pPr>
        <w:spacing w:after="0" w:line="7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fleet service, passenger service and storekeeper employees represented by the International Association of Machinists ratified a joint collective bargaining agreement with the Company during 2013. The Company recorded a $127 million special charge for lump sum payments made in conjunction with the ratification. The lump sum payments were not in lieu of future pay increases. The Company completed substantially all cash payments in 2013.</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recorded $18 million associated with the temporary grounding of its Boeing 787 aircraft. The charges were comprised of aircraft depreciation expense and dedicated personnel costs that the Company incurred while the aircraft were grounded. The aircraft returned to service in May 2013. In addition, the Company adjusted its reserves for certain legal matters by $29 million and recorded approximately $11 million in accruals for future rent associated with the early retirement of four leased Boeing 757-200 aircraft. Additionally, the Company recorded a $5 million gain related to a contract termination and $3 million in gains on the sale of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Accrual Activity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accruals for severance and medical costs and future lease payments on permanently grounded aircraft is as follows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w w:val="88"/>
              </w:rPr>
              <w:t>Severance/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Permanently</w:t>
            </w:r>
          </w:p>
        </w:tc>
      </w:tr>
      <w:tr>
        <w:trPr>
          <w:trHeight w:val="228"/>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Medical Costs</w:t>
            </w:r>
          </w:p>
        </w:tc>
        <w:tc>
          <w:tcPr>
            <w:tcW w:w="138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Grounded Aircraft</w:t>
            </w:r>
          </w:p>
        </w:tc>
      </w:tr>
      <w:tr>
        <w:trPr>
          <w:trHeight w:val="212"/>
        </w:trPr>
        <w:tc>
          <w:tcPr>
            <w:tcW w:w="20" w:type="dxa"/>
            <w:vAlign w:val="bottom"/>
          </w:tcPr>
          <w:p>
            <w:pPr>
              <w:spacing w:after="0"/>
              <w:rPr>
                <w:sz w:val="18"/>
                <w:szCs w:val="18"/>
                <w:color w:val="auto"/>
              </w:rPr>
            </w:pPr>
          </w:p>
        </w:tc>
        <w:tc>
          <w:tcPr>
            <w:tcW w:w="7260" w:type="dxa"/>
            <w:vAlign w:val="bottom"/>
            <w:tcBorders>
              <w:top w:val="single" w:sz="8" w:color="CCCCCC"/>
            </w:tcBorders>
            <w:shd w:val="clear" w:color="auto" w:fill="CCCCCC"/>
          </w:tcPr>
          <w:p>
            <w:pPr>
              <w:spacing w:after="0" w:line="205" w:lineRule="exact"/>
              <w:rPr>
                <w:sz w:val="20"/>
                <w:szCs w:val="20"/>
                <w:color w:val="auto"/>
              </w:rPr>
            </w:pPr>
            <w:r>
              <w:rPr>
                <w:rFonts w:ascii="Arial" w:cs="Arial" w:eastAsia="Arial" w:hAnsi="Arial"/>
                <w:sz w:val="18"/>
                <w:szCs w:val="18"/>
                <w:color w:val="auto"/>
              </w:rPr>
              <w:t>Balance at December 31, 2012</w:t>
            </w: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65</w:t>
            </w:r>
          </w:p>
        </w:tc>
        <w:tc>
          <w:tcPr>
            <w:tcW w:w="1380" w:type="dxa"/>
            <w:vAlign w:val="bottom"/>
            <w:tcBorders>
              <w:top w:val="single" w:sz="8" w:color="CCCCCC"/>
            </w:tcBorders>
            <w:shd w:val="clear" w:color="auto" w:fill="CCCCCC"/>
          </w:tcPr>
          <w:p>
            <w:pPr>
              <w:spacing w:after="0"/>
              <w:rPr>
                <w:sz w:val="18"/>
                <w:szCs w:val="18"/>
                <w:color w:val="auto"/>
              </w:rPr>
            </w:pPr>
          </w:p>
        </w:tc>
        <w:tc>
          <w:tcPr>
            <w:tcW w:w="1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CCCC"/>
            </w:tcBorders>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Accrual</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CCCC"/>
          </w:tcPr>
          <w:p>
            <w:pPr>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auto"/>
            </w:tcBorders>
            <w:shd w:val="clear" w:color="auto" w:fill="CCCCCC"/>
          </w:tcPr>
          <w:p>
            <w:pPr>
              <w:spacing w:after="0"/>
              <w:rPr>
                <w:sz w:val="18"/>
                <w:szCs w:val="18"/>
                <w:color w:val="auto"/>
              </w:rPr>
            </w:pPr>
          </w:p>
        </w:tc>
        <w:tc>
          <w:tcPr>
            <w:tcW w:w="10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(94)</w:t>
            </w:r>
          </w:p>
        </w:tc>
        <w:tc>
          <w:tcPr>
            <w:tcW w:w="1380" w:type="dxa"/>
            <w:vAlign w:val="bottom"/>
            <w:shd w:val="clear" w:color="auto" w:fill="CCCCCC"/>
          </w:tcPr>
          <w:p>
            <w:pPr>
              <w:spacing w:after="0"/>
              <w:rPr>
                <w:sz w:val="18"/>
                <w:szCs w:val="18"/>
                <w:color w:val="auto"/>
              </w:rPr>
            </w:pPr>
          </w:p>
        </w:tc>
        <w:tc>
          <w:tcPr>
            <w:tcW w:w="180" w:type="dxa"/>
            <w:vAlign w:val="bottom"/>
            <w:tcBorders>
              <w:bottom w:val="single" w:sz="8" w:color="auto"/>
            </w:tcBorders>
            <w:shd w:val="clear" w:color="auto" w:fill="CCCCCC"/>
          </w:tcPr>
          <w:p>
            <w:pPr>
              <w:spacing w:after="0"/>
              <w:rPr>
                <w:sz w:val="18"/>
                <w:szCs w:val="18"/>
                <w:color w:val="auto"/>
              </w:rPr>
            </w:pPr>
          </w:p>
        </w:tc>
        <w:tc>
          <w:tcPr>
            <w:tcW w:w="1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CCCC"/>
          </w:tcPr>
          <w:p>
            <w:pPr>
              <w:spacing w:after="0"/>
              <w:rPr>
                <w:sz w:val="18"/>
                <w:szCs w:val="18"/>
                <w:color w:val="auto"/>
              </w:rPr>
            </w:pPr>
          </w:p>
        </w:tc>
      </w:tr>
      <w:tr>
        <w:trPr>
          <w:trHeight w:val="221"/>
        </w:trPr>
        <w:tc>
          <w:tcPr>
            <w:tcW w:w="728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CCCC"/>
          </w:tcPr>
          <w:p>
            <w:pPr>
              <w:spacing w:after="0"/>
              <w:rPr>
                <w:sz w:val="20"/>
                <w:szCs w:val="20"/>
                <w:color w:val="auto"/>
              </w:rPr>
            </w:pPr>
            <w:r>
              <w:rPr>
                <w:rFonts w:ascii="Arial" w:cs="Arial" w:eastAsia="Arial" w:hAnsi="Arial"/>
                <w:sz w:val="18"/>
                <w:szCs w:val="18"/>
                <w:color w:val="auto"/>
              </w:rPr>
              <w:t>Accrual</w:t>
            </w:r>
          </w:p>
        </w:tc>
        <w:tc>
          <w:tcPr>
            <w:tcW w:w="180" w:type="dxa"/>
            <w:vAlign w:val="bottom"/>
            <w:shd w:val="clear" w:color="auto" w:fill="CCCCCC"/>
          </w:tcPr>
          <w:p>
            <w:pPr>
              <w:spacing w:after="0"/>
              <w:rPr>
                <w:sz w:val="18"/>
                <w:szCs w:val="18"/>
                <w:color w:val="auto"/>
              </w:rPr>
            </w:pPr>
          </w:p>
        </w:tc>
        <w:tc>
          <w:tcPr>
            <w:tcW w:w="10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199</w:t>
            </w:r>
          </w:p>
        </w:tc>
        <w:tc>
          <w:tcPr>
            <w:tcW w:w="13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CC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CCCC"/>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shd w:val="clear" w:color="auto" w:fill="CCCCCC"/>
          </w:tcPr>
          <w:p>
            <w:pPr>
              <w:spacing w:after="0"/>
              <w:rPr>
                <w:sz w:val="18"/>
                <w:szCs w:val="18"/>
                <w:color w:val="auto"/>
              </w:rPr>
            </w:pPr>
          </w:p>
        </w:tc>
        <w:tc>
          <w:tcPr>
            <w:tcW w:w="10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109</w:t>
            </w:r>
          </w:p>
        </w:tc>
        <w:tc>
          <w:tcPr>
            <w:tcW w:w="1380" w:type="dxa"/>
            <w:vAlign w:val="bottom"/>
            <w:shd w:val="clear" w:color="auto" w:fill="CCCCCC"/>
          </w:tcPr>
          <w:p>
            <w:pPr>
              <w:spacing w:after="0"/>
              <w:rPr>
                <w:sz w:val="18"/>
                <w:szCs w:val="18"/>
                <w:color w:val="auto"/>
              </w:rPr>
            </w:pPr>
          </w:p>
        </w:tc>
        <w:tc>
          <w:tcPr>
            <w:tcW w:w="180" w:type="dxa"/>
            <w:vAlign w:val="bottom"/>
            <w:shd w:val="clear" w:color="auto" w:fill="CCCCCC"/>
          </w:tcPr>
          <w:p>
            <w:pPr>
              <w:spacing w:after="0"/>
              <w:rPr>
                <w:sz w:val="18"/>
                <w:szCs w:val="18"/>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CC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Accrual</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CCCC"/>
          </w:tcPr>
          <w:p>
            <w:pPr>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auto"/>
            </w:tcBorders>
            <w:shd w:val="clear" w:color="auto" w:fill="CCCCCC"/>
          </w:tcPr>
          <w:p>
            <w:pPr>
              <w:spacing w:after="0"/>
              <w:rPr>
                <w:sz w:val="18"/>
                <w:szCs w:val="18"/>
                <w:color w:val="auto"/>
              </w:rPr>
            </w:pPr>
          </w:p>
        </w:tc>
        <w:tc>
          <w:tcPr>
            <w:tcW w:w="10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(189)</w:t>
            </w:r>
          </w:p>
        </w:tc>
        <w:tc>
          <w:tcPr>
            <w:tcW w:w="1380" w:type="dxa"/>
            <w:vAlign w:val="bottom"/>
            <w:shd w:val="clear" w:color="auto" w:fill="CCCCCC"/>
          </w:tcPr>
          <w:p>
            <w:pPr>
              <w:spacing w:after="0"/>
              <w:rPr>
                <w:sz w:val="18"/>
                <w:szCs w:val="18"/>
                <w:color w:val="auto"/>
              </w:rPr>
            </w:pPr>
          </w:p>
        </w:tc>
        <w:tc>
          <w:tcPr>
            <w:tcW w:w="180" w:type="dxa"/>
            <w:vAlign w:val="bottom"/>
            <w:tcBorders>
              <w:bottom w:val="single" w:sz="8" w:color="auto"/>
            </w:tcBorders>
            <w:shd w:val="clear" w:color="auto" w:fill="CCCCCC"/>
          </w:tcPr>
          <w:p>
            <w:pPr>
              <w:spacing w:after="0"/>
              <w:rPr>
                <w:sz w:val="18"/>
                <w:szCs w:val="18"/>
                <w:color w:val="auto"/>
              </w:rPr>
            </w:pPr>
          </w:p>
        </w:tc>
        <w:tc>
          <w:tcPr>
            <w:tcW w:w="1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CCCC"/>
          </w:tcPr>
          <w:p>
            <w:pPr>
              <w:spacing w:after="0"/>
              <w:rPr>
                <w:sz w:val="18"/>
                <w:szCs w:val="18"/>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56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Company’s accrual and payment activity is primarily related to severance and other compensation expense associated with voluntary employee early retirement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17 - SEGMENT INFORMATION</w:t>
      </w:r>
    </w:p>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segments are defined as components of an enterprise with separate financial information, which are evaluated regularly by the chief operating decision maker and are used in resource allocation and performance assessments.</w:t>
      </w:r>
    </w:p>
    <w:p>
      <w:pPr>
        <w:spacing w:after="0" w:line="7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Company deploys its aircraft across its route network through a single route scheduling system to maximize its value. When making resource allocation decisions, the Company’s chief operating decision maker evaluates flight profitability data, which considers aircraft type and route economics. The Company’s chief operating decision maker makes resource allocation decisions to maximize the Company’s consolidated financial results. Managing the Company as one segment allows management the opportunity to maximize the value of its route network.</w:t>
      </w:r>
    </w:p>
    <w:p>
      <w:pPr>
        <w:spacing w:after="0" w:line="5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Company’s operating revenue by principal geographic region (as defined by the U.S. Department of Transportation) for the years ended December 31 is presented in the table below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Borders>
              <w:bottom w:val="single" w:sz="8" w:color="CCCC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2015</w:t>
            </w:r>
          </w:p>
        </w:tc>
        <w:tc>
          <w:tcPr>
            <w:tcW w:w="600" w:type="dxa"/>
            <w:vAlign w:val="bottom"/>
            <w:tcBorders>
              <w:bottom w:val="single" w:sz="8" w:color="CCCCCC"/>
            </w:tcBorders>
          </w:tcPr>
          <w:p>
            <w:pPr>
              <w:spacing w:after="0"/>
              <w:rPr>
                <w:sz w:val="19"/>
                <w:szCs w:val="19"/>
                <w:color w:val="auto"/>
              </w:rPr>
            </w:pPr>
          </w:p>
        </w:tc>
      </w:tr>
      <w:tr>
        <w:trPr>
          <w:trHeight w:val="212"/>
        </w:trPr>
        <w:tc>
          <w:tcPr>
            <w:tcW w:w="8660" w:type="dxa"/>
            <w:vAlign w:val="bottom"/>
            <w:shd w:val="clear" w:color="auto" w:fill="CCCCCC"/>
          </w:tcPr>
          <w:p>
            <w:pPr>
              <w:spacing w:after="0" w:line="205" w:lineRule="exact"/>
              <w:rPr>
                <w:sz w:val="20"/>
                <w:szCs w:val="20"/>
                <w:color w:val="auto"/>
              </w:rPr>
            </w:pPr>
            <w:r>
              <w:rPr>
                <w:rFonts w:ascii="Arial" w:cs="Arial" w:eastAsia="Arial" w:hAnsi="Arial"/>
                <w:sz w:val="18"/>
                <w:szCs w:val="18"/>
                <w:color w:val="auto"/>
              </w:rPr>
              <w:t>Domestic (U.S. and Canada)</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21,931</w:t>
            </w:r>
          </w:p>
        </w:tc>
        <w:tc>
          <w:tcPr>
            <w:tcW w:w="600" w:type="dxa"/>
            <w:vAlign w:val="bottom"/>
            <w:shd w:val="clear" w:color="auto" w:fill="CCCCCC"/>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5,498</w:t>
            </w:r>
          </w:p>
        </w:tc>
      </w:tr>
      <w:tr>
        <w:trPr>
          <w:trHeight w:val="216"/>
        </w:trPr>
        <w:tc>
          <w:tcPr>
            <w:tcW w:w="8660" w:type="dxa"/>
            <w:vAlign w:val="bottom"/>
            <w:shd w:val="clear" w:color="auto" w:fill="CCCCCC"/>
          </w:tcPr>
          <w:p>
            <w:pPr>
              <w:spacing w:after="0"/>
              <w:rPr>
                <w:sz w:val="20"/>
                <w:szCs w:val="20"/>
                <w:color w:val="auto"/>
              </w:rPr>
            </w:pPr>
            <w:r>
              <w:rPr>
                <w:rFonts w:ascii="Arial" w:cs="Arial" w:eastAsia="Arial" w:hAnsi="Arial"/>
                <w:sz w:val="18"/>
                <w:szCs w:val="18"/>
                <w:color w:val="auto"/>
              </w:rPr>
              <w:t>Atlantic</w:t>
            </w:r>
          </w:p>
        </w:tc>
        <w:tc>
          <w:tcPr>
            <w:tcW w:w="160" w:type="dxa"/>
            <w:vAlign w:val="bottom"/>
            <w:shd w:val="clear" w:color="auto" w:fill="CCCCCC"/>
          </w:tcPr>
          <w:p>
            <w:pPr>
              <w:spacing w:after="0"/>
              <w:rPr>
                <w:sz w:val="18"/>
                <w:szCs w:val="18"/>
                <w:color w:val="auto"/>
              </w:rPr>
            </w:pPr>
          </w:p>
        </w:tc>
        <w:tc>
          <w:tcPr>
            <w:tcW w:w="1220" w:type="dxa"/>
            <w:vAlign w:val="bottom"/>
            <w:gridSpan w:val="2"/>
            <w:shd w:val="clear" w:color="auto" w:fill="CCCCCC"/>
          </w:tcPr>
          <w:p>
            <w:pPr>
              <w:jc w:val="right"/>
              <w:ind w:right="600"/>
              <w:spacing w:after="0"/>
              <w:rPr>
                <w:sz w:val="20"/>
                <w:szCs w:val="20"/>
                <w:color w:val="auto"/>
              </w:rPr>
            </w:pPr>
            <w:r>
              <w:rPr>
                <w:rFonts w:ascii="Arial" w:cs="Arial" w:eastAsia="Arial" w:hAnsi="Arial"/>
                <w:sz w:val="18"/>
                <w:szCs w:val="18"/>
                <w:color w:val="auto"/>
              </w:rPr>
              <w:t>7,068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3,367</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86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CCCC"/>
          </w:tcPr>
          <w:p>
            <w:pPr>
              <w:jc w:val="right"/>
              <w:ind w:right="600"/>
              <w:spacing w:after="0"/>
              <w:rPr>
                <w:sz w:val="20"/>
                <w:szCs w:val="20"/>
                <w:color w:val="auto"/>
              </w:rPr>
            </w:pPr>
            <w:r>
              <w:rPr>
                <w:rFonts w:ascii="Arial" w:cs="Arial" w:eastAsia="Arial" w:hAnsi="Arial"/>
                <w:sz w:val="18"/>
                <w:szCs w:val="18"/>
                <w:color w:val="auto"/>
              </w:rPr>
              <w:t>37,864</w:t>
            </w: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Borders>
              <w:bottom w:val="single" w:sz="8" w:color="CCCC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2014</w:t>
            </w:r>
          </w:p>
        </w:tc>
        <w:tc>
          <w:tcPr>
            <w:tcW w:w="600" w:type="dxa"/>
            <w:vAlign w:val="bottom"/>
            <w:tcBorders>
              <w:bottom w:val="single" w:sz="8" w:color="CCCCCC"/>
            </w:tcBorders>
          </w:tcPr>
          <w:p>
            <w:pPr>
              <w:spacing w:after="0"/>
              <w:rPr>
                <w:sz w:val="19"/>
                <w:szCs w:val="19"/>
                <w:color w:val="auto"/>
              </w:rPr>
            </w:pPr>
          </w:p>
        </w:tc>
      </w:tr>
      <w:tr>
        <w:trPr>
          <w:trHeight w:val="212"/>
        </w:trPr>
        <w:tc>
          <w:tcPr>
            <w:tcW w:w="8660" w:type="dxa"/>
            <w:vAlign w:val="bottom"/>
            <w:shd w:val="clear" w:color="auto" w:fill="CCCCCC"/>
          </w:tcPr>
          <w:p>
            <w:pPr>
              <w:spacing w:after="0" w:line="205" w:lineRule="exact"/>
              <w:rPr>
                <w:sz w:val="20"/>
                <w:szCs w:val="20"/>
                <w:color w:val="auto"/>
              </w:rPr>
            </w:pPr>
            <w:r>
              <w:rPr>
                <w:rFonts w:ascii="Arial" w:cs="Arial" w:eastAsia="Arial" w:hAnsi="Arial"/>
                <w:sz w:val="18"/>
                <w:szCs w:val="18"/>
                <w:color w:val="auto"/>
              </w:rPr>
              <w:t>Domestic (U.S. and Canada)</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22,320</w:t>
            </w:r>
          </w:p>
        </w:tc>
        <w:tc>
          <w:tcPr>
            <w:tcW w:w="600" w:type="dxa"/>
            <w:vAlign w:val="bottom"/>
            <w:shd w:val="clear" w:color="auto" w:fill="CCCCCC"/>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5,767</w:t>
            </w:r>
          </w:p>
        </w:tc>
      </w:tr>
      <w:tr>
        <w:trPr>
          <w:trHeight w:val="216"/>
        </w:trPr>
        <w:tc>
          <w:tcPr>
            <w:tcW w:w="8660" w:type="dxa"/>
            <w:vAlign w:val="bottom"/>
            <w:shd w:val="clear" w:color="auto" w:fill="CCCCCC"/>
          </w:tcPr>
          <w:p>
            <w:pPr>
              <w:spacing w:after="0"/>
              <w:rPr>
                <w:sz w:val="20"/>
                <w:szCs w:val="20"/>
                <w:color w:val="auto"/>
              </w:rPr>
            </w:pPr>
            <w:r>
              <w:rPr>
                <w:rFonts w:ascii="Arial" w:cs="Arial" w:eastAsia="Arial" w:hAnsi="Arial"/>
                <w:sz w:val="18"/>
                <w:szCs w:val="18"/>
                <w:color w:val="auto"/>
              </w:rPr>
              <w:t>Atlantic</w:t>
            </w:r>
          </w:p>
        </w:tc>
        <w:tc>
          <w:tcPr>
            <w:tcW w:w="160" w:type="dxa"/>
            <w:vAlign w:val="bottom"/>
            <w:shd w:val="clear" w:color="auto" w:fill="CCCCCC"/>
          </w:tcPr>
          <w:p>
            <w:pPr>
              <w:spacing w:after="0"/>
              <w:rPr>
                <w:sz w:val="18"/>
                <w:szCs w:val="18"/>
                <w:color w:val="auto"/>
              </w:rPr>
            </w:pPr>
          </w:p>
        </w:tc>
        <w:tc>
          <w:tcPr>
            <w:tcW w:w="1220" w:type="dxa"/>
            <w:vAlign w:val="bottom"/>
            <w:gridSpan w:val="2"/>
            <w:shd w:val="clear" w:color="auto" w:fill="CCCCCC"/>
          </w:tcPr>
          <w:p>
            <w:pPr>
              <w:jc w:val="right"/>
              <w:ind w:right="600"/>
              <w:spacing w:after="0"/>
              <w:rPr>
                <w:sz w:val="20"/>
                <w:szCs w:val="20"/>
                <w:color w:val="auto"/>
              </w:rPr>
            </w:pPr>
            <w:r>
              <w:rPr>
                <w:rFonts w:ascii="Arial" w:cs="Arial" w:eastAsia="Arial" w:hAnsi="Arial"/>
                <w:sz w:val="18"/>
                <w:szCs w:val="18"/>
                <w:color w:val="auto"/>
              </w:rPr>
              <w:t>7,321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3,493</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r>
      <w:tr>
        <w:trPr>
          <w:trHeight w:val="216"/>
        </w:trPr>
        <w:tc>
          <w:tcPr>
            <w:tcW w:w="8660" w:type="dxa"/>
            <w:vAlign w:val="bottom"/>
            <w:shd w:val="clear" w:color="auto" w:fill="CCCCCC"/>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CCCC"/>
          </w:tcPr>
          <w:p>
            <w:pPr>
              <w:jc w:val="right"/>
              <w:ind w:right="600"/>
              <w:spacing w:after="0"/>
              <w:rPr>
                <w:sz w:val="20"/>
                <w:szCs w:val="20"/>
                <w:color w:val="auto"/>
              </w:rPr>
            </w:pPr>
            <w:r>
              <w:rPr>
                <w:rFonts w:ascii="Arial" w:cs="Arial" w:eastAsia="Arial" w:hAnsi="Arial"/>
                <w:sz w:val="18"/>
                <w:szCs w:val="18"/>
                <w:color w:val="auto"/>
              </w:rPr>
              <w:t>38,901</w:t>
            </w: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Borders>
              <w:bottom w:val="single" w:sz="8" w:color="CCCCCC"/>
            </w:tcBorders>
          </w:tcPr>
          <w:p>
            <w:pPr>
              <w:spacing w:after="0"/>
              <w:rPr>
                <w:sz w:val="19"/>
                <w:szCs w:val="19"/>
                <w:color w:val="auto"/>
              </w:rPr>
            </w:pPr>
          </w:p>
        </w:tc>
        <w:tc>
          <w:tcPr>
            <w:tcW w:w="580" w:type="dxa"/>
            <w:vAlign w:val="bottom"/>
            <w:tcBorders>
              <w:bottom w:val="single" w:sz="8" w:color="CCCC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2013</w:t>
            </w:r>
          </w:p>
        </w:tc>
        <w:tc>
          <w:tcPr>
            <w:tcW w:w="40" w:type="dxa"/>
            <w:vAlign w:val="bottom"/>
            <w:tcBorders>
              <w:bottom w:val="single" w:sz="8" w:color="CCCCCC"/>
            </w:tcBorders>
          </w:tcPr>
          <w:p>
            <w:pPr>
              <w:spacing w:after="0"/>
              <w:rPr>
                <w:sz w:val="19"/>
                <w:szCs w:val="19"/>
                <w:color w:val="auto"/>
              </w:rPr>
            </w:pPr>
          </w:p>
        </w:tc>
        <w:tc>
          <w:tcPr>
            <w:tcW w:w="560" w:type="dxa"/>
            <w:vAlign w:val="bottom"/>
            <w:tcBorders>
              <w:bottom w:val="single" w:sz="8" w:color="CCCCCC"/>
            </w:tcBorders>
          </w:tcPr>
          <w:p>
            <w:pPr>
              <w:spacing w:after="0"/>
              <w:rPr>
                <w:sz w:val="19"/>
                <w:szCs w:val="19"/>
                <w:color w:val="auto"/>
              </w:rPr>
            </w:pPr>
          </w:p>
        </w:tc>
      </w:tr>
      <w:tr>
        <w:trPr>
          <w:trHeight w:val="212"/>
        </w:trPr>
        <w:tc>
          <w:tcPr>
            <w:tcW w:w="8660" w:type="dxa"/>
            <w:vAlign w:val="bottom"/>
            <w:gridSpan w:val="2"/>
            <w:shd w:val="clear" w:color="auto" w:fill="CCCCCC"/>
          </w:tcPr>
          <w:p>
            <w:pPr>
              <w:spacing w:after="0" w:line="205" w:lineRule="exact"/>
              <w:rPr>
                <w:sz w:val="20"/>
                <w:szCs w:val="20"/>
                <w:color w:val="auto"/>
              </w:rPr>
            </w:pPr>
            <w:r>
              <w:rPr>
                <w:rFonts w:ascii="Arial" w:cs="Arial" w:eastAsia="Arial" w:hAnsi="Arial"/>
                <w:sz w:val="18"/>
                <w:szCs w:val="18"/>
                <w:color w:val="auto"/>
              </w:rPr>
              <w:t>Domestic (U.S. and Canada)</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22,092</w:t>
            </w:r>
          </w:p>
        </w:tc>
        <w:tc>
          <w:tcPr>
            <w:tcW w:w="40" w:type="dxa"/>
            <w:vAlign w:val="bottom"/>
            <w:shd w:val="clear" w:color="auto" w:fill="CCCCCC"/>
          </w:tcPr>
          <w:p>
            <w:pPr>
              <w:spacing w:after="0"/>
              <w:rPr>
                <w:sz w:val="18"/>
                <w:szCs w:val="18"/>
                <w:color w:val="auto"/>
              </w:rPr>
            </w:pPr>
          </w:p>
        </w:tc>
        <w:tc>
          <w:tcPr>
            <w:tcW w:w="560" w:type="dxa"/>
            <w:vAlign w:val="bottom"/>
            <w:shd w:val="clear" w:color="auto" w:fill="CCCCC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5,794</w:t>
            </w:r>
          </w:p>
        </w:tc>
        <w:tc>
          <w:tcPr>
            <w:tcW w:w="560" w:type="dxa"/>
            <w:vAlign w:val="bottom"/>
          </w:tcPr>
          <w:p>
            <w:pPr>
              <w:spacing w:after="0"/>
              <w:rPr>
                <w:sz w:val="18"/>
                <w:szCs w:val="18"/>
                <w:color w:val="auto"/>
              </w:rPr>
            </w:pPr>
          </w:p>
        </w:tc>
      </w:tr>
      <w:tr>
        <w:trPr>
          <w:trHeight w:val="216"/>
        </w:trPr>
        <w:tc>
          <w:tcPr>
            <w:tcW w:w="866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Atlantic</w:t>
            </w:r>
          </w:p>
        </w:tc>
        <w:tc>
          <w:tcPr>
            <w:tcW w:w="160" w:type="dxa"/>
            <w:vAlign w:val="bottom"/>
            <w:shd w:val="clear" w:color="auto" w:fill="CCCCCC"/>
          </w:tcPr>
          <w:p>
            <w:pPr>
              <w:spacing w:after="0"/>
              <w:rPr>
                <w:sz w:val="18"/>
                <w:szCs w:val="18"/>
                <w:color w:val="auto"/>
              </w:rPr>
            </w:pPr>
          </w:p>
        </w:tc>
        <w:tc>
          <w:tcPr>
            <w:tcW w:w="6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7,132</w:t>
            </w:r>
          </w:p>
        </w:tc>
        <w:tc>
          <w:tcPr>
            <w:tcW w:w="560" w:type="dxa"/>
            <w:vAlign w:val="bottom"/>
            <w:shd w:val="clear" w:color="auto" w:fill="CCCCC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3,261</w:t>
            </w:r>
          </w:p>
        </w:tc>
        <w:tc>
          <w:tcPr>
            <w:tcW w:w="560" w:type="dxa"/>
            <w:vAlign w:val="bottom"/>
          </w:tcPr>
          <w:p>
            <w:pPr>
              <w:spacing w:after="0"/>
              <w:rPr>
                <w:sz w:val="18"/>
                <w:szCs w:val="18"/>
                <w:color w:val="auto"/>
              </w:rPr>
            </w:pPr>
          </w:p>
        </w:tc>
      </w:tr>
      <w:tr>
        <w:trPr>
          <w:trHeight w:val="27"/>
        </w:trPr>
        <w:tc>
          <w:tcPr>
            <w:tcW w:w="8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8660" w:type="dxa"/>
            <w:vAlign w:val="bottom"/>
            <w:gridSpan w:val="2"/>
            <w:shd w:val="clear" w:color="auto" w:fill="CCCCCC"/>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38,279</w:t>
            </w:r>
          </w:p>
        </w:tc>
        <w:tc>
          <w:tcPr>
            <w:tcW w:w="560" w:type="dxa"/>
            <w:vAlign w:val="bottom"/>
            <w:shd w:val="clear" w:color="auto" w:fill="CCCCCC"/>
          </w:tcPr>
          <w:p>
            <w:pPr>
              <w:ind w:left="20"/>
              <w:spacing w:after="0"/>
              <w:rPr>
                <w:sz w:val="20"/>
                <w:szCs w:val="20"/>
                <w:color w:val="auto"/>
              </w:rPr>
            </w:pPr>
            <w:r>
              <w:rPr>
                <w:rFonts w:ascii="Arial" w:cs="Arial" w:eastAsia="Arial" w:hAnsi="Arial"/>
                <w:sz w:val="18"/>
                <w:szCs w:val="18"/>
                <w:color w:val="auto"/>
              </w:rPr>
              <w:t>(a)</w:t>
            </w:r>
          </w:p>
        </w:tc>
      </w:tr>
      <w:tr>
        <w:trPr>
          <w:trHeight w:val="20"/>
        </w:trPr>
        <w:tc>
          <w:tcPr>
            <w:tcW w:w="80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UAL and United amounts are substantially the same.</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attributes revenue among the geographic areas based upon the origin and destination of each flight segment. The Company’s operations involve an insignificant level of dedicated revenue-producing assets in geographic regions as the overwhelming majority of the Company’s revenue producing assets (primarily U.S. registered aircraft) can be deployed in any of its geographic regions.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274"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8"/>
        </w:trPr>
        <w:tc>
          <w:tcPr>
            <w:tcW w:w="6640" w:type="dxa"/>
            <w:vAlign w:val="bottom"/>
            <w:gridSpan w:val="8"/>
          </w:tcPr>
          <w:p>
            <w:pPr>
              <w:spacing w:after="0"/>
              <w:rPr>
                <w:sz w:val="20"/>
                <w:szCs w:val="20"/>
                <w:color w:val="auto"/>
              </w:rPr>
            </w:pPr>
            <w:r>
              <w:rPr>
                <w:rFonts w:ascii="Arial" w:cs="Arial" w:eastAsia="Arial" w:hAnsi="Arial"/>
                <w:sz w:val="18"/>
                <w:szCs w:val="18"/>
                <w:b w:val="1"/>
                <w:bCs w:val="1"/>
                <w:color w:val="auto"/>
              </w:rPr>
              <w:t>NOTE 18 - SELECTED QUARTERLY FINANCIAL DATA (UNAUDITED)</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UAL</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w w:val="92"/>
              </w:rPr>
              <w:t>Quarter Ended</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2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8"/>
                <w:szCs w:val="18"/>
                <w:b w:val="1"/>
                <w:bCs w:val="1"/>
                <w:color w:val="auto"/>
                <w:w w:val="89"/>
              </w:rPr>
              <w:t>(In millions, except per share amounts)</w:t>
            </w:r>
          </w:p>
        </w:tc>
        <w:tc>
          <w:tcPr>
            <w:tcW w:w="18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00"/>
              <w:spacing w:after="0" w:line="189" w:lineRule="exact"/>
              <w:rPr>
                <w:sz w:val="20"/>
                <w:szCs w:val="20"/>
                <w:color w:val="auto"/>
              </w:rPr>
            </w:pPr>
            <w:r>
              <w:rPr>
                <w:rFonts w:ascii="Arial" w:cs="Arial" w:eastAsia="Arial" w:hAnsi="Arial"/>
                <w:sz w:val="18"/>
                <w:szCs w:val="18"/>
                <w:b w:val="1"/>
                <w:bCs w:val="1"/>
                <w:color w:val="auto"/>
                <w:w w:val="94"/>
              </w:rPr>
              <w:t>March 31</w:t>
            </w:r>
          </w:p>
        </w:tc>
        <w:tc>
          <w:tcPr>
            <w:tcW w:w="140" w:type="dxa"/>
            <w:vAlign w:val="bottom"/>
          </w:tcPr>
          <w:p>
            <w:pPr>
              <w:spacing w:after="0"/>
              <w:rPr>
                <w:sz w:val="18"/>
                <w:szCs w:val="18"/>
                <w:color w:val="auto"/>
              </w:rPr>
            </w:pPr>
          </w:p>
        </w:tc>
        <w:tc>
          <w:tcPr>
            <w:tcW w:w="800" w:type="dxa"/>
            <w:vAlign w:val="bottom"/>
          </w:tcPr>
          <w:p>
            <w:pPr>
              <w:jc w:val="right"/>
              <w:ind w:right="92"/>
              <w:spacing w:after="0" w:line="189" w:lineRule="exact"/>
              <w:rPr>
                <w:sz w:val="20"/>
                <w:szCs w:val="20"/>
                <w:color w:val="auto"/>
              </w:rPr>
            </w:pPr>
            <w:r>
              <w:rPr>
                <w:rFonts w:ascii="Arial" w:cs="Arial" w:eastAsia="Arial" w:hAnsi="Arial"/>
                <w:sz w:val="18"/>
                <w:szCs w:val="18"/>
                <w:b w:val="1"/>
                <w:bCs w:val="1"/>
                <w:color w:val="auto"/>
                <w:w w:val="89"/>
              </w:rPr>
              <w:t>June 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92"/>
              <w:spacing w:after="0" w:line="189" w:lineRule="exact"/>
              <w:rPr>
                <w:sz w:val="20"/>
                <w:szCs w:val="20"/>
                <w:color w:val="auto"/>
              </w:rPr>
            </w:pPr>
            <w:r>
              <w:rPr>
                <w:rFonts w:ascii="Arial" w:cs="Arial" w:eastAsia="Arial" w:hAnsi="Arial"/>
                <w:sz w:val="18"/>
                <w:szCs w:val="18"/>
                <w:b w:val="1"/>
                <w:bCs w:val="1"/>
                <w:color w:val="auto"/>
                <w:w w:val="88"/>
              </w:rPr>
              <w:t>September 30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2"/>
              <w:spacing w:after="0" w:line="189" w:lineRule="exact"/>
              <w:rPr>
                <w:sz w:val="20"/>
                <w:szCs w:val="20"/>
                <w:color w:val="auto"/>
              </w:rPr>
            </w:pPr>
            <w:r>
              <w:rPr>
                <w:rFonts w:ascii="Arial" w:cs="Arial" w:eastAsia="Arial" w:hAnsi="Arial"/>
                <w:sz w:val="18"/>
                <w:szCs w:val="18"/>
                <w:b w:val="1"/>
                <w:bCs w:val="1"/>
                <w:color w:val="auto"/>
                <w:w w:val="89"/>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20" w:type="dxa"/>
            <w:vAlign w:val="bottom"/>
            <w:gridSpan w:val="3"/>
          </w:tcPr>
          <w:p>
            <w:pPr>
              <w:spacing w:after="0" w:line="149" w:lineRule="exact"/>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Operating revenue</w:t>
            </w:r>
          </w:p>
        </w:tc>
        <w:tc>
          <w:tcPr>
            <w:tcW w:w="2160" w:type="dxa"/>
            <w:vAlign w:val="bottom"/>
            <w:gridSpan w:val="3"/>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8,608</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9,914</w:t>
            </w:r>
          </w:p>
        </w:tc>
        <w:tc>
          <w:tcPr>
            <w:tcW w:w="64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10,306</w:t>
            </w:r>
          </w:p>
        </w:tc>
        <w:tc>
          <w:tcPr>
            <w:tcW w:w="6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CCCC"/>
          </w:tcPr>
          <w:p>
            <w:pPr>
              <w:spacing w:after="0"/>
              <w:rPr>
                <w:sz w:val="18"/>
                <w:szCs w:val="18"/>
                <w:color w:val="auto"/>
              </w:rPr>
            </w:pPr>
          </w:p>
        </w:tc>
        <w:tc>
          <w:tcPr>
            <w:tcW w:w="1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508</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1,193</w:t>
            </w:r>
          </w:p>
        </w:tc>
        <w:tc>
          <w:tcPr>
            <w:tcW w:w="5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4,816</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CCCC"/>
          </w:tcPr>
          <w:p>
            <w:pPr>
              <w:spacing w:after="0"/>
              <w:rPr>
                <w:sz w:val="18"/>
                <w:szCs w:val="18"/>
                <w:color w:val="auto"/>
              </w:rPr>
            </w:pPr>
          </w:p>
        </w:tc>
        <w:tc>
          <w:tcPr>
            <w:tcW w:w="1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3.14</w:t>
            </w:r>
          </w:p>
        </w:tc>
        <w:tc>
          <w:tcPr>
            <w:tcW w:w="5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12.82</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Operating revenue</w:t>
            </w:r>
          </w:p>
        </w:tc>
        <w:tc>
          <w:tcPr>
            <w:tcW w:w="2160" w:type="dxa"/>
            <w:vAlign w:val="bottom"/>
            <w:gridSpan w:val="3"/>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8,696</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10,329</w:t>
            </w:r>
          </w:p>
        </w:tc>
        <w:tc>
          <w:tcPr>
            <w:tcW w:w="64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10,563</w:t>
            </w:r>
          </w:p>
        </w:tc>
        <w:tc>
          <w:tcPr>
            <w:tcW w:w="66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CCCC"/>
          </w:tcPr>
          <w:p>
            <w:pPr>
              <w:spacing w:after="0"/>
              <w:rPr>
                <w:sz w:val="18"/>
                <w:szCs w:val="18"/>
                <w:color w:val="auto"/>
              </w:rPr>
            </w:pPr>
          </w:p>
        </w:tc>
        <w:tc>
          <w:tcPr>
            <w:tcW w:w="1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460" w:type="dxa"/>
            <w:vAlign w:val="bottom"/>
            <w:gridSpan w:val="2"/>
            <w:shd w:val="clear" w:color="auto" w:fill="CCCCCC"/>
          </w:tcPr>
          <w:p>
            <w:pPr>
              <w:jc w:val="right"/>
              <w:ind w:right="52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789</w:t>
            </w:r>
          </w:p>
        </w:tc>
        <w:tc>
          <w:tcPr>
            <w:tcW w:w="5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924</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CCCCC"/>
          </w:tcPr>
          <w:p>
            <w:pPr>
              <w:spacing w:after="0"/>
              <w:rPr>
                <w:sz w:val="18"/>
                <w:szCs w:val="18"/>
                <w:color w:val="auto"/>
              </w:rPr>
            </w:pPr>
          </w:p>
        </w:tc>
        <w:tc>
          <w:tcPr>
            <w:tcW w:w="184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460" w:type="dxa"/>
            <w:vAlign w:val="bottom"/>
            <w:gridSpan w:val="2"/>
            <w:shd w:val="clear" w:color="auto" w:fill="CCCCCC"/>
          </w:tcPr>
          <w:p>
            <w:pPr>
              <w:jc w:val="right"/>
              <w:ind w:right="52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CCCC"/>
          </w:tcPr>
          <w:p>
            <w:pPr>
              <w:spacing w:after="0"/>
              <w:rPr>
                <w:sz w:val="18"/>
                <w:szCs w:val="18"/>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2.01</w:t>
            </w:r>
          </w:p>
        </w:tc>
        <w:tc>
          <w:tcPr>
            <w:tcW w:w="5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2.37</w:t>
            </w:r>
          </w:p>
        </w:tc>
        <w:tc>
          <w:tcPr>
            <w:tcW w:w="52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1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8" w:name="page109"/>
    <w:bookmarkEnd w:id="108"/>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UAL’s quarterly financial data is subject to seasonal fluctuations and historically its second and third quarter financial results, which reflect higher travel demand, are better than its first and fourth quarter financial results. UAL’s quarterly results were impacted by the following significant items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Quarter Ended</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b w:val="1"/>
                <w:bCs w:val="1"/>
                <w:color w:val="auto"/>
                <w:w w:val="86"/>
              </w:rPr>
              <w:t>June 30</w:t>
            </w:r>
          </w:p>
        </w:tc>
        <w:tc>
          <w:tcPr>
            <w:tcW w:w="1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86"/>
              </w:rPr>
              <w:t>September 30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0" w:type="dxa"/>
            <w:vAlign w:val="bottom"/>
            <w:gridSpan w:val="3"/>
            <w:vMerge w:val="continue"/>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gridSpan w:val="5"/>
          </w:tcPr>
          <w:p>
            <w:pPr>
              <w:spacing w:after="0" w:line="196" w:lineRule="exact"/>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Severance and benefit costs</w:t>
            </w:r>
          </w:p>
        </w:tc>
        <w:tc>
          <w:tcPr>
            <w:tcW w:w="360" w:type="dxa"/>
            <w:vAlign w:val="bottom"/>
            <w:shd w:val="clear" w:color="auto" w:fill="CCCCCC"/>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CCCC"/>
          </w:tcPr>
          <w:p>
            <w:pPr>
              <w:spacing w:after="0"/>
              <w:rPr>
                <w:sz w:val="18"/>
                <w:szCs w:val="18"/>
                <w:color w:val="auto"/>
              </w:rPr>
            </w:pPr>
          </w:p>
        </w:tc>
        <w:tc>
          <w:tcPr>
            <w:tcW w:w="2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CCCC"/>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w:t>
            </w:r>
          </w:p>
        </w:tc>
        <w:tc>
          <w:tcPr>
            <w:tcW w:w="580" w:type="dxa"/>
            <w:vAlign w:val="bottom"/>
            <w:gridSpan w:val="2"/>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Integration-related costs</w:t>
            </w:r>
          </w:p>
        </w:tc>
        <w:tc>
          <w:tcPr>
            <w:tcW w:w="36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(Gains) losses on sale of assets and other miscellaneous (gains) losses, net</w:t>
            </w:r>
          </w:p>
        </w:tc>
        <w:tc>
          <w:tcPr>
            <w:tcW w:w="3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CCCC"/>
          </w:tcPr>
          <w:p>
            <w:pPr>
              <w:spacing w:after="0"/>
              <w:rPr>
                <w:sz w:val="18"/>
                <w:szCs w:val="18"/>
                <w:color w:val="auto"/>
              </w:rPr>
            </w:pPr>
          </w:p>
        </w:tc>
        <w:tc>
          <w:tcPr>
            <w:tcW w:w="6700" w:type="dxa"/>
            <w:vAlign w:val="bottom"/>
            <w:gridSpan w:val="3"/>
            <w:shd w:val="clear" w:color="auto" w:fill="CCCCCC"/>
          </w:tcPr>
          <w:p>
            <w:pPr>
              <w:ind w:left="80"/>
              <w:spacing w:after="0"/>
              <w:rPr>
                <w:sz w:val="20"/>
                <w:szCs w:val="20"/>
                <w:color w:val="auto"/>
              </w:rPr>
            </w:pPr>
            <w:r>
              <w:rPr>
                <w:rFonts w:ascii="Arial" w:cs="Arial" w:eastAsia="Arial" w:hAnsi="Arial"/>
                <w:sz w:val="18"/>
                <w:szCs w:val="18"/>
                <w:color w:val="auto"/>
              </w:rPr>
              <w:t>Special charges</w:t>
            </w:r>
          </w:p>
        </w:tc>
        <w:tc>
          <w:tcPr>
            <w:tcW w:w="360" w:type="dxa"/>
            <w:vAlign w:val="bottom"/>
            <w:tcBorders>
              <w:top w:val="single" w:sz="8" w:color="auto"/>
            </w:tcBorders>
            <w:shd w:val="clear" w:color="auto" w:fill="CCCCCC"/>
          </w:tcPr>
          <w:p>
            <w:pPr>
              <w:spacing w:after="0"/>
              <w:rPr>
                <w:sz w:val="18"/>
                <w:szCs w:val="18"/>
                <w:color w:val="auto"/>
              </w:rPr>
            </w:pPr>
          </w:p>
        </w:tc>
        <w:tc>
          <w:tcPr>
            <w:tcW w:w="44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tcBorders>
              <w:top w:val="single" w:sz="8" w:color="auto"/>
            </w:tcBorders>
            <w:shd w:val="clear" w:color="auto" w:fill="CCCCCC"/>
          </w:tcPr>
          <w:p>
            <w:pPr>
              <w:spacing w:after="0"/>
              <w:rPr>
                <w:sz w:val="18"/>
                <w:szCs w:val="18"/>
                <w:color w:val="auto"/>
              </w:rPr>
            </w:pPr>
          </w:p>
        </w:tc>
        <w:tc>
          <w:tcPr>
            <w:tcW w:w="76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CCCC"/>
          </w:tcPr>
          <w:p>
            <w:pPr>
              <w:spacing w:after="0"/>
              <w:rPr>
                <w:sz w:val="18"/>
                <w:szCs w:val="18"/>
                <w:color w:val="auto"/>
              </w:rPr>
            </w:pPr>
          </w:p>
        </w:tc>
        <w:tc>
          <w:tcPr>
            <w:tcW w:w="320" w:type="dxa"/>
            <w:vAlign w:val="bottom"/>
            <w:tcBorders>
              <w:top w:val="single" w:sz="8" w:color="auto"/>
            </w:tcBorders>
            <w:shd w:val="clear" w:color="auto" w:fill="CCCCCC"/>
          </w:tcPr>
          <w:p>
            <w:pPr>
              <w:spacing w:after="0"/>
              <w:rPr>
                <w:sz w:val="18"/>
                <w:szCs w:val="18"/>
                <w:color w:val="auto"/>
              </w:rPr>
            </w:pPr>
          </w:p>
        </w:tc>
        <w:tc>
          <w:tcPr>
            <w:tcW w:w="72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CCCC"/>
          </w:tcPr>
          <w:p>
            <w:pPr>
              <w:spacing w:after="0"/>
              <w:rPr>
                <w:sz w:val="18"/>
                <w:szCs w:val="18"/>
                <w:color w:val="auto"/>
              </w:rPr>
            </w:pPr>
          </w:p>
        </w:tc>
        <w:tc>
          <w:tcPr>
            <w:tcW w:w="400" w:type="dxa"/>
            <w:vAlign w:val="bottom"/>
            <w:tcBorders>
              <w:top w:val="single" w:sz="8" w:color="auto"/>
            </w:tcBorders>
            <w:shd w:val="clear" w:color="auto" w:fill="CCCCCC"/>
          </w:tcPr>
          <w:p>
            <w:pPr>
              <w:spacing w:after="0"/>
              <w:rPr>
                <w:sz w:val="18"/>
                <w:szCs w:val="18"/>
                <w:color w:val="auto"/>
              </w:rPr>
            </w:pPr>
          </w:p>
        </w:tc>
        <w:tc>
          <w:tcPr>
            <w:tcW w:w="580" w:type="dxa"/>
            <w:vAlign w:val="bottom"/>
            <w:tcBorders>
              <w:top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gridSpan w:val="4"/>
          </w:tcPr>
          <w:p>
            <w:pPr>
              <w:spacing w:after="0" w:line="176" w:lineRule="exact"/>
              <w:rPr>
                <w:sz w:val="20"/>
                <w:szCs w:val="20"/>
                <w:color w:val="auto"/>
              </w:rPr>
            </w:pPr>
            <w:r>
              <w:rPr>
                <w:rFonts w:ascii="Arial" w:cs="Arial" w:eastAsia="Arial" w:hAnsi="Arial"/>
                <w:sz w:val="18"/>
                <w:szCs w:val="18"/>
                <w:color w:val="auto"/>
              </w:rPr>
              <w:t>Nonoperating and income taxes:</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Loss on extinguishment of debt and other, net</w:t>
            </w:r>
          </w:p>
        </w:tc>
        <w:tc>
          <w:tcPr>
            <w:tcW w:w="36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Income tax benefit related to special charges</w:t>
            </w:r>
          </w:p>
        </w:tc>
        <w:tc>
          <w:tcPr>
            <w:tcW w:w="3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Income tax expense (benefit) associated with valuation allowance release</w:t>
            </w:r>
          </w:p>
        </w:tc>
        <w:tc>
          <w:tcPr>
            <w:tcW w:w="36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7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spacing w:after="0"/>
              <w:rPr>
                <w:sz w:val="18"/>
                <w:szCs w:val="18"/>
                <w:color w:val="auto"/>
              </w:rPr>
            </w:pPr>
          </w:p>
        </w:tc>
        <w:tc>
          <w:tcPr>
            <w:tcW w:w="320" w:type="dxa"/>
            <w:vAlign w:val="bottom"/>
            <w:tcBorders>
              <w:bottom w:val="single" w:sz="8" w:color="auto"/>
            </w:tcBorders>
            <w:shd w:val="clear" w:color="auto" w:fill="CCCCCC"/>
          </w:tcPr>
          <w:p>
            <w:pPr>
              <w:spacing w:after="0"/>
              <w:rPr>
                <w:sz w:val="18"/>
                <w:szCs w:val="18"/>
                <w:color w:val="auto"/>
              </w:rPr>
            </w:pP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(3,218)</w:t>
            </w:r>
          </w:p>
        </w:tc>
        <w:tc>
          <w:tcPr>
            <w:tcW w:w="180" w:type="dxa"/>
            <w:vAlign w:val="bottom"/>
            <w:shd w:val="clear" w:color="auto" w:fill="CCCCCC"/>
          </w:tcPr>
          <w:p>
            <w:pPr>
              <w:spacing w:after="0"/>
              <w:rPr>
                <w:sz w:val="18"/>
                <w:szCs w:val="18"/>
                <w:color w:val="auto"/>
              </w:rPr>
            </w:pPr>
          </w:p>
        </w:tc>
        <w:tc>
          <w:tcPr>
            <w:tcW w:w="40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Total operating and nonoperating special items, net of income taxes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(3,081)</w:t>
            </w: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CCCC"/>
          </w:tcPr>
          <w:p>
            <w:pPr>
              <w:spacing w:after="0" w:line="170" w:lineRule="exact"/>
              <w:rPr>
                <w:sz w:val="20"/>
                <w:szCs w:val="20"/>
                <w:color w:val="auto"/>
              </w:rPr>
            </w:pPr>
            <w:r>
              <w:rPr>
                <w:rFonts w:ascii="Arial" w:cs="Arial" w:eastAsia="Arial" w:hAnsi="Arial"/>
                <w:sz w:val="18"/>
                <w:szCs w:val="18"/>
                <w:b w:val="1"/>
                <w:bCs w:val="1"/>
                <w:color w:val="auto"/>
                <w:w w:val="79"/>
              </w:rPr>
              <w:t>2014</w:t>
            </w:r>
          </w:p>
        </w:tc>
        <w:tc>
          <w:tcPr>
            <w:tcW w:w="400" w:type="dxa"/>
            <w:vAlign w:val="bottom"/>
            <w:tcBorders>
              <w:bottom w:val="single" w:sz="8" w:color="CCCCCC"/>
            </w:tcBorders>
            <w:shd w:val="clear" w:color="auto" w:fill="CCCCCC"/>
          </w:tcPr>
          <w:p>
            <w:pPr>
              <w:spacing w:after="0"/>
              <w:rPr>
                <w:sz w:val="16"/>
                <w:szCs w:val="16"/>
                <w:color w:val="auto"/>
              </w:rPr>
            </w:pPr>
          </w:p>
        </w:tc>
        <w:tc>
          <w:tcPr>
            <w:tcW w:w="1520" w:type="dxa"/>
            <w:vAlign w:val="bottom"/>
            <w:tcBorders>
              <w:bottom w:val="single" w:sz="8" w:color="CCCCCC"/>
            </w:tcBorders>
            <w:shd w:val="clear" w:color="auto" w:fill="CCCCCC"/>
          </w:tcPr>
          <w:p>
            <w:pPr>
              <w:spacing w:after="0"/>
              <w:rPr>
                <w:sz w:val="16"/>
                <w:szCs w:val="16"/>
                <w:color w:val="auto"/>
              </w:rPr>
            </w:pPr>
          </w:p>
        </w:tc>
        <w:tc>
          <w:tcPr>
            <w:tcW w:w="4780" w:type="dxa"/>
            <w:vAlign w:val="bottom"/>
            <w:tcBorders>
              <w:bottom w:val="single" w:sz="8" w:color="CCCCCC"/>
            </w:tcBorders>
            <w:shd w:val="clear" w:color="auto" w:fill="CCCCCC"/>
          </w:tcPr>
          <w:p>
            <w:pPr>
              <w:spacing w:after="0"/>
              <w:rPr>
                <w:sz w:val="16"/>
                <w:szCs w:val="16"/>
                <w:color w:val="auto"/>
              </w:rPr>
            </w:pPr>
          </w:p>
        </w:tc>
        <w:tc>
          <w:tcPr>
            <w:tcW w:w="360" w:type="dxa"/>
            <w:vAlign w:val="bottom"/>
            <w:tcBorders>
              <w:bottom w:val="single" w:sz="8" w:color="CCCCCC"/>
            </w:tcBorders>
            <w:shd w:val="clear" w:color="auto" w:fill="CCCCCC"/>
          </w:tcPr>
          <w:p>
            <w:pPr>
              <w:spacing w:after="0"/>
              <w:rPr>
                <w:sz w:val="16"/>
                <w:szCs w:val="16"/>
                <w:color w:val="auto"/>
              </w:rPr>
            </w:pPr>
          </w:p>
        </w:tc>
        <w:tc>
          <w:tcPr>
            <w:tcW w:w="440" w:type="dxa"/>
            <w:vAlign w:val="bottom"/>
            <w:tcBorders>
              <w:bottom w:val="single" w:sz="8" w:color="CCCCCC"/>
            </w:tcBorders>
            <w:shd w:val="clear" w:color="auto" w:fill="CCCCCC"/>
          </w:tcPr>
          <w:p>
            <w:pPr>
              <w:spacing w:after="0"/>
              <w:rPr>
                <w:sz w:val="16"/>
                <w:szCs w:val="16"/>
                <w:color w:val="auto"/>
              </w:rPr>
            </w:pPr>
          </w:p>
        </w:tc>
        <w:tc>
          <w:tcPr>
            <w:tcW w:w="80" w:type="dxa"/>
            <w:vAlign w:val="bottom"/>
            <w:tcBorders>
              <w:bottom w:val="single" w:sz="8" w:color="CCCCCC"/>
            </w:tcBorders>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140" w:type="dxa"/>
            <w:vAlign w:val="bottom"/>
            <w:tcBorders>
              <w:bottom w:val="single" w:sz="8" w:color="CCCCCC"/>
            </w:tcBorders>
            <w:shd w:val="clear" w:color="auto" w:fill="CCCCCC"/>
          </w:tcPr>
          <w:p>
            <w:pPr>
              <w:spacing w:after="0"/>
              <w:rPr>
                <w:sz w:val="16"/>
                <w:szCs w:val="16"/>
                <w:color w:val="auto"/>
              </w:rPr>
            </w:pPr>
          </w:p>
        </w:tc>
        <w:tc>
          <w:tcPr>
            <w:tcW w:w="760" w:type="dxa"/>
            <w:vAlign w:val="bottom"/>
            <w:tcBorders>
              <w:bottom w:val="single" w:sz="8" w:color="CCCCCC"/>
            </w:tcBorders>
            <w:shd w:val="clear" w:color="auto" w:fill="CCCCCC"/>
          </w:tcPr>
          <w:p>
            <w:pPr>
              <w:spacing w:after="0"/>
              <w:rPr>
                <w:sz w:val="16"/>
                <w:szCs w:val="16"/>
                <w:color w:val="auto"/>
              </w:rPr>
            </w:pPr>
          </w:p>
        </w:tc>
        <w:tc>
          <w:tcPr>
            <w:tcW w:w="180" w:type="dxa"/>
            <w:vAlign w:val="bottom"/>
            <w:tcBorders>
              <w:bottom w:val="single" w:sz="8" w:color="CCCCCC"/>
            </w:tcBorders>
            <w:shd w:val="clear" w:color="auto" w:fill="CCCCCC"/>
          </w:tcPr>
          <w:p>
            <w:pPr>
              <w:spacing w:after="0"/>
              <w:rPr>
                <w:sz w:val="16"/>
                <w:szCs w:val="16"/>
                <w:color w:val="auto"/>
              </w:rPr>
            </w:pPr>
          </w:p>
        </w:tc>
        <w:tc>
          <w:tcPr>
            <w:tcW w:w="320" w:type="dxa"/>
            <w:vAlign w:val="bottom"/>
            <w:tcBorders>
              <w:bottom w:val="single" w:sz="8" w:color="CCCCCC"/>
            </w:tcBorders>
            <w:shd w:val="clear" w:color="auto" w:fill="CCCCCC"/>
          </w:tcPr>
          <w:p>
            <w:pPr>
              <w:spacing w:after="0"/>
              <w:rPr>
                <w:sz w:val="16"/>
                <w:szCs w:val="16"/>
                <w:color w:val="auto"/>
              </w:rPr>
            </w:pPr>
          </w:p>
        </w:tc>
        <w:tc>
          <w:tcPr>
            <w:tcW w:w="720" w:type="dxa"/>
            <w:vAlign w:val="bottom"/>
            <w:tcBorders>
              <w:bottom w:val="single" w:sz="8" w:color="CCCCCC"/>
            </w:tcBorders>
            <w:shd w:val="clear" w:color="auto" w:fill="CCCCCC"/>
          </w:tcPr>
          <w:p>
            <w:pPr>
              <w:spacing w:after="0"/>
              <w:rPr>
                <w:sz w:val="16"/>
                <w:szCs w:val="16"/>
                <w:color w:val="auto"/>
              </w:rPr>
            </w:pPr>
          </w:p>
        </w:tc>
        <w:tc>
          <w:tcPr>
            <w:tcW w:w="180" w:type="dxa"/>
            <w:vAlign w:val="bottom"/>
            <w:tcBorders>
              <w:bottom w:val="single" w:sz="8" w:color="CCCCCC"/>
            </w:tcBorders>
            <w:shd w:val="clear" w:color="auto" w:fill="CCCCCC"/>
          </w:tcPr>
          <w:p>
            <w:pPr>
              <w:spacing w:after="0"/>
              <w:rPr>
                <w:sz w:val="16"/>
                <w:szCs w:val="16"/>
                <w:color w:val="auto"/>
              </w:rPr>
            </w:pPr>
          </w:p>
        </w:tc>
        <w:tc>
          <w:tcPr>
            <w:tcW w:w="400" w:type="dxa"/>
            <w:vAlign w:val="bottom"/>
            <w:tcBorders>
              <w:bottom w:val="single" w:sz="8" w:color="CCCCCC"/>
            </w:tcBorders>
            <w:shd w:val="clear" w:color="auto" w:fill="CCCCCC"/>
          </w:tcPr>
          <w:p>
            <w:pPr>
              <w:spacing w:after="0"/>
              <w:rPr>
                <w:sz w:val="16"/>
                <w:szCs w:val="16"/>
                <w:color w:val="auto"/>
              </w:rPr>
            </w:pPr>
          </w:p>
        </w:tc>
        <w:tc>
          <w:tcPr>
            <w:tcW w:w="580" w:type="dxa"/>
            <w:vAlign w:val="bottom"/>
            <w:tcBorders>
              <w:bottom w:val="single" w:sz="8" w:color="CCCCCC"/>
            </w:tcBorders>
            <w:shd w:val="clear" w:color="auto" w:fill="CCCCCC"/>
          </w:tcPr>
          <w:p>
            <w:pPr>
              <w:spacing w:after="0"/>
              <w:rPr>
                <w:sz w:val="16"/>
                <w:szCs w:val="16"/>
                <w:color w:val="auto"/>
              </w:rPr>
            </w:pPr>
          </w:p>
        </w:tc>
        <w:tc>
          <w:tcPr>
            <w:tcW w:w="100" w:type="dxa"/>
            <w:vAlign w:val="bottom"/>
            <w:tcBorders>
              <w:bottom w:val="single" w:sz="8" w:color="CCCCCC"/>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gridSpan w:val="4"/>
          </w:tcPr>
          <w:p>
            <w:pPr>
              <w:spacing w:after="0" w:line="176" w:lineRule="exact"/>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Severance and benefit costs</w:t>
            </w:r>
          </w:p>
        </w:tc>
        <w:tc>
          <w:tcPr>
            <w:tcW w:w="360" w:type="dxa"/>
            <w:vAlign w:val="bottom"/>
            <w:shd w:val="clear" w:color="auto" w:fill="CCCCCC"/>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CCCC"/>
          </w:tcPr>
          <w:p>
            <w:pPr>
              <w:spacing w:after="0"/>
              <w:rPr>
                <w:sz w:val="18"/>
                <w:szCs w:val="18"/>
                <w:color w:val="auto"/>
              </w:rPr>
            </w:pPr>
          </w:p>
        </w:tc>
        <w:tc>
          <w:tcPr>
            <w:tcW w:w="240" w:type="dxa"/>
            <w:vAlign w:val="bottom"/>
            <w:gridSpan w:val="2"/>
            <w:shd w:val="clear" w:color="auto" w:fill="CCCCC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38</w:t>
            </w:r>
          </w:p>
        </w:tc>
        <w:tc>
          <w:tcPr>
            <w:tcW w:w="500" w:type="dxa"/>
            <w:vAlign w:val="bottom"/>
            <w:gridSpan w:val="2"/>
            <w:shd w:val="clear" w:color="auto" w:fill="CCCCCC"/>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CCCC"/>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Integration-related costs</w:t>
            </w:r>
          </w:p>
        </w:tc>
        <w:tc>
          <w:tcPr>
            <w:tcW w:w="36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7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CCCC"/>
          </w:tcPr>
          <w:p>
            <w:pPr>
              <w:spacing w:after="0"/>
              <w:rPr>
                <w:sz w:val="18"/>
                <w:szCs w:val="18"/>
                <w:color w:val="auto"/>
              </w:rPr>
            </w:pPr>
          </w:p>
        </w:tc>
        <w:tc>
          <w:tcPr>
            <w:tcW w:w="32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CCCC"/>
          </w:tcPr>
          <w:p>
            <w:pPr>
              <w:spacing w:after="0"/>
              <w:rPr>
                <w:sz w:val="18"/>
                <w:szCs w:val="18"/>
                <w:color w:val="auto"/>
              </w:rPr>
            </w:pPr>
          </w:p>
        </w:tc>
        <w:tc>
          <w:tcPr>
            <w:tcW w:w="400" w:type="dxa"/>
            <w:vAlign w:val="bottom"/>
            <w:shd w:val="clear" w:color="auto" w:fill="CCCCCC"/>
          </w:tcPr>
          <w:p>
            <w:pPr>
              <w:spacing w:after="0"/>
              <w:rPr>
                <w:sz w:val="18"/>
                <w:szCs w:val="18"/>
                <w:color w:val="auto"/>
              </w:rPr>
            </w:pPr>
          </w:p>
        </w:tc>
        <w:tc>
          <w:tcPr>
            <w:tcW w:w="5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Costs associated with permanently grounding Embraer ERJ 135 aircraft</w:t>
            </w:r>
          </w:p>
        </w:tc>
        <w:tc>
          <w:tcPr>
            <w:tcW w:w="3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Losses on sale of assets and other special (gains) losses, net</w:t>
            </w:r>
          </w:p>
        </w:tc>
        <w:tc>
          <w:tcPr>
            <w:tcW w:w="36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7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CCCC"/>
          </w:tcPr>
          <w:p>
            <w:pPr>
              <w:spacing w:after="0"/>
              <w:rPr>
                <w:sz w:val="18"/>
                <w:szCs w:val="18"/>
                <w:color w:val="auto"/>
              </w:rPr>
            </w:pPr>
          </w:p>
        </w:tc>
        <w:tc>
          <w:tcPr>
            <w:tcW w:w="320" w:type="dxa"/>
            <w:vAlign w:val="bottom"/>
            <w:tcBorders>
              <w:bottom w:val="single" w:sz="8" w:color="auto"/>
            </w:tcBorders>
            <w:shd w:val="clear" w:color="auto" w:fill="CCCCCC"/>
          </w:tcPr>
          <w:p>
            <w:pPr>
              <w:spacing w:after="0"/>
              <w:rPr>
                <w:sz w:val="18"/>
                <w:szCs w:val="18"/>
                <w:color w:val="auto"/>
              </w:rPr>
            </w:pP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CCCC"/>
          </w:tcPr>
          <w:p>
            <w:pPr>
              <w:spacing w:after="0"/>
              <w:rPr>
                <w:sz w:val="18"/>
                <w:szCs w:val="18"/>
                <w:color w:val="auto"/>
              </w:rPr>
            </w:pPr>
          </w:p>
        </w:tc>
        <w:tc>
          <w:tcPr>
            <w:tcW w:w="40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Special charges</w:t>
            </w: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40" w:type="dxa"/>
            <w:vAlign w:val="bottom"/>
            <w:gridSpan w:val="4"/>
            <w:shd w:val="clear" w:color="auto" w:fill="CCCCCC"/>
          </w:tcPr>
          <w:p>
            <w:pPr>
              <w:spacing w:after="0" w:line="177" w:lineRule="exact"/>
              <w:rPr>
                <w:sz w:val="20"/>
                <w:szCs w:val="20"/>
                <w:color w:val="auto"/>
              </w:rPr>
            </w:pPr>
            <w:r>
              <w:rPr>
                <w:rFonts w:ascii="Arial" w:cs="Arial" w:eastAsia="Arial" w:hAnsi="Arial"/>
                <w:sz w:val="18"/>
                <w:szCs w:val="18"/>
                <w:color w:val="auto"/>
              </w:rPr>
              <w:t>Nonoperating and income taxes:</w:t>
            </w:r>
          </w:p>
        </w:tc>
        <w:tc>
          <w:tcPr>
            <w:tcW w:w="360" w:type="dxa"/>
            <w:vAlign w:val="bottom"/>
            <w:shd w:val="clear" w:color="auto" w:fill="CCCCCC"/>
          </w:tcPr>
          <w:p>
            <w:pPr>
              <w:spacing w:after="0"/>
              <w:rPr>
                <w:sz w:val="15"/>
                <w:szCs w:val="15"/>
                <w:color w:val="auto"/>
              </w:rPr>
            </w:pPr>
          </w:p>
        </w:tc>
        <w:tc>
          <w:tcPr>
            <w:tcW w:w="440" w:type="dxa"/>
            <w:vAlign w:val="bottom"/>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40" w:type="dxa"/>
            <w:vAlign w:val="bottom"/>
            <w:shd w:val="clear" w:color="auto" w:fill="CCCCCC"/>
          </w:tcPr>
          <w:p>
            <w:pPr>
              <w:spacing w:after="0"/>
              <w:rPr>
                <w:sz w:val="15"/>
                <w:szCs w:val="15"/>
                <w:color w:val="auto"/>
              </w:rPr>
            </w:pPr>
          </w:p>
        </w:tc>
        <w:tc>
          <w:tcPr>
            <w:tcW w:w="760" w:type="dxa"/>
            <w:vAlign w:val="bottom"/>
            <w:shd w:val="clear" w:color="auto" w:fill="CCCCCC"/>
          </w:tcPr>
          <w:p>
            <w:pPr>
              <w:spacing w:after="0"/>
              <w:rPr>
                <w:sz w:val="15"/>
                <w:szCs w:val="15"/>
                <w:color w:val="auto"/>
              </w:rPr>
            </w:pPr>
          </w:p>
        </w:tc>
        <w:tc>
          <w:tcPr>
            <w:tcW w:w="180" w:type="dxa"/>
            <w:vAlign w:val="bottom"/>
            <w:shd w:val="clear" w:color="auto" w:fill="CCCCCC"/>
          </w:tcPr>
          <w:p>
            <w:pPr>
              <w:spacing w:after="0"/>
              <w:rPr>
                <w:sz w:val="15"/>
                <w:szCs w:val="15"/>
                <w:color w:val="auto"/>
              </w:rPr>
            </w:pPr>
          </w:p>
        </w:tc>
        <w:tc>
          <w:tcPr>
            <w:tcW w:w="320" w:type="dxa"/>
            <w:vAlign w:val="bottom"/>
            <w:shd w:val="clear" w:color="auto" w:fill="CCCCCC"/>
          </w:tcPr>
          <w:p>
            <w:pPr>
              <w:spacing w:after="0"/>
              <w:rPr>
                <w:sz w:val="15"/>
                <w:szCs w:val="15"/>
                <w:color w:val="auto"/>
              </w:rPr>
            </w:pPr>
          </w:p>
        </w:tc>
        <w:tc>
          <w:tcPr>
            <w:tcW w:w="720" w:type="dxa"/>
            <w:vAlign w:val="bottom"/>
            <w:shd w:val="clear" w:color="auto" w:fill="CCCCCC"/>
          </w:tcPr>
          <w:p>
            <w:pPr>
              <w:spacing w:after="0"/>
              <w:rPr>
                <w:sz w:val="15"/>
                <w:szCs w:val="15"/>
                <w:color w:val="auto"/>
              </w:rPr>
            </w:pPr>
          </w:p>
        </w:tc>
        <w:tc>
          <w:tcPr>
            <w:tcW w:w="180" w:type="dxa"/>
            <w:vAlign w:val="bottom"/>
            <w:shd w:val="clear" w:color="auto" w:fill="CCCCCC"/>
          </w:tcPr>
          <w:p>
            <w:pPr>
              <w:spacing w:after="0"/>
              <w:rPr>
                <w:sz w:val="15"/>
                <w:szCs w:val="15"/>
                <w:color w:val="auto"/>
              </w:rPr>
            </w:pPr>
          </w:p>
        </w:tc>
        <w:tc>
          <w:tcPr>
            <w:tcW w:w="400" w:type="dxa"/>
            <w:vAlign w:val="bottom"/>
            <w:shd w:val="clear" w:color="auto" w:fill="CCCCCC"/>
          </w:tcPr>
          <w:p>
            <w:pPr>
              <w:spacing w:after="0"/>
              <w:rPr>
                <w:sz w:val="15"/>
                <w:szCs w:val="15"/>
                <w:color w:val="auto"/>
              </w:rPr>
            </w:pPr>
          </w:p>
        </w:tc>
        <w:tc>
          <w:tcPr>
            <w:tcW w:w="58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shd w:val="clear" w:color="auto" w:fill="CCCCCC"/>
          </w:tcPr>
          <w:p>
            <w:pPr>
              <w:spacing w:after="0" w:line="20" w:lineRule="exact"/>
              <w:rPr>
                <w:sz w:val="1"/>
                <w:szCs w:val="1"/>
                <w:color w:val="auto"/>
              </w:rPr>
            </w:pPr>
          </w:p>
        </w:tc>
        <w:tc>
          <w:tcPr>
            <w:tcW w:w="400" w:type="dxa"/>
            <w:vAlign w:val="bottom"/>
            <w:tcBorders>
              <w:top w:val="single" w:sz="8" w:color="auto"/>
            </w:tcBorders>
            <w:shd w:val="clear" w:color="auto" w:fill="CCCCCC"/>
          </w:tcPr>
          <w:p>
            <w:pPr>
              <w:spacing w:after="0" w:line="20" w:lineRule="exact"/>
              <w:rPr>
                <w:sz w:val="1"/>
                <w:szCs w:val="1"/>
                <w:color w:val="auto"/>
              </w:rPr>
            </w:pPr>
          </w:p>
        </w:tc>
        <w:tc>
          <w:tcPr>
            <w:tcW w:w="1520" w:type="dxa"/>
            <w:vAlign w:val="bottom"/>
            <w:tcBorders>
              <w:top w:val="single" w:sz="8" w:color="auto"/>
            </w:tcBorders>
            <w:shd w:val="clear" w:color="auto" w:fill="CCCCCC"/>
          </w:tcPr>
          <w:p>
            <w:pPr>
              <w:spacing w:after="0" w:line="20" w:lineRule="exact"/>
              <w:rPr>
                <w:sz w:val="1"/>
                <w:szCs w:val="1"/>
                <w:color w:val="auto"/>
              </w:rPr>
            </w:pPr>
          </w:p>
        </w:tc>
        <w:tc>
          <w:tcPr>
            <w:tcW w:w="4780" w:type="dxa"/>
            <w:vAlign w:val="bottom"/>
            <w:tcBorders>
              <w:top w:val="single" w:sz="8" w:color="CCCCCC"/>
            </w:tcBorders>
            <w:shd w:val="clear" w:color="auto" w:fill="CCCCCC"/>
          </w:tcPr>
          <w:p>
            <w:pPr>
              <w:spacing w:after="0" w:line="20" w:lineRule="exact"/>
              <w:rPr>
                <w:sz w:val="1"/>
                <w:szCs w:val="1"/>
                <w:color w:val="auto"/>
              </w:rPr>
            </w:pPr>
          </w:p>
        </w:tc>
        <w:tc>
          <w:tcPr>
            <w:tcW w:w="360" w:type="dxa"/>
            <w:vAlign w:val="bottom"/>
            <w:tcBorders>
              <w:top w:val="single" w:sz="8" w:color="CCCCCC"/>
            </w:tcBorders>
            <w:shd w:val="clear" w:color="auto" w:fill="CCCCCC"/>
          </w:tcPr>
          <w:p>
            <w:pPr>
              <w:spacing w:after="0" w:line="20" w:lineRule="exact"/>
              <w:rPr>
                <w:sz w:val="1"/>
                <w:szCs w:val="1"/>
                <w:color w:val="auto"/>
              </w:rPr>
            </w:pPr>
          </w:p>
        </w:tc>
        <w:tc>
          <w:tcPr>
            <w:tcW w:w="440" w:type="dxa"/>
            <w:vAlign w:val="bottom"/>
            <w:tcBorders>
              <w:top w:val="single" w:sz="8" w:color="CCCCCC"/>
            </w:tcBorders>
            <w:shd w:val="clear" w:color="auto" w:fill="CCCCCC"/>
          </w:tcPr>
          <w:p>
            <w:pPr>
              <w:spacing w:after="0" w:line="20" w:lineRule="exact"/>
              <w:rPr>
                <w:sz w:val="1"/>
                <w:szCs w:val="1"/>
                <w:color w:val="auto"/>
              </w:rPr>
            </w:pPr>
          </w:p>
        </w:tc>
        <w:tc>
          <w:tcPr>
            <w:tcW w:w="80" w:type="dxa"/>
            <w:vAlign w:val="bottom"/>
            <w:tcBorders>
              <w:top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c>
          <w:tcPr>
            <w:tcW w:w="140" w:type="dxa"/>
            <w:vAlign w:val="bottom"/>
            <w:tcBorders>
              <w:top w:val="single" w:sz="8" w:color="CCCCCC"/>
            </w:tcBorders>
            <w:shd w:val="clear" w:color="auto" w:fill="CCCCCC"/>
          </w:tcPr>
          <w:p>
            <w:pPr>
              <w:spacing w:after="0" w:line="20" w:lineRule="exact"/>
              <w:rPr>
                <w:sz w:val="1"/>
                <w:szCs w:val="1"/>
                <w:color w:val="auto"/>
              </w:rPr>
            </w:pPr>
          </w:p>
        </w:tc>
        <w:tc>
          <w:tcPr>
            <w:tcW w:w="760" w:type="dxa"/>
            <w:vAlign w:val="bottom"/>
            <w:tcBorders>
              <w:top w:val="single" w:sz="8" w:color="CCCCCC"/>
            </w:tcBorders>
            <w:shd w:val="clear" w:color="auto" w:fill="CCCCCC"/>
          </w:tcPr>
          <w:p>
            <w:pPr>
              <w:spacing w:after="0" w:line="20" w:lineRule="exact"/>
              <w:rPr>
                <w:sz w:val="1"/>
                <w:szCs w:val="1"/>
                <w:color w:val="auto"/>
              </w:rPr>
            </w:pPr>
          </w:p>
        </w:tc>
        <w:tc>
          <w:tcPr>
            <w:tcW w:w="180" w:type="dxa"/>
            <w:vAlign w:val="bottom"/>
            <w:tcBorders>
              <w:top w:val="single" w:sz="8" w:color="CCCCCC"/>
            </w:tcBorders>
            <w:shd w:val="clear" w:color="auto" w:fill="CCCCCC"/>
          </w:tcPr>
          <w:p>
            <w:pPr>
              <w:spacing w:after="0" w:line="20" w:lineRule="exact"/>
              <w:rPr>
                <w:sz w:val="1"/>
                <w:szCs w:val="1"/>
                <w:color w:val="auto"/>
              </w:rPr>
            </w:pPr>
          </w:p>
        </w:tc>
        <w:tc>
          <w:tcPr>
            <w:tcW w:w="320" w:type="dxa"/>
            <w:vAlign w:val="bottom"/>
            <w:tcBorders>
              <w:top w:val="single" w:sz="8" w:color="CCCCCC"/>
            </w:tcBorders>
            <w:shd w:val="clear" w:color="auto" w:fill="CCCCCC"/>
          </w:tcPr>
          <w:p>
            <w:pPr>
              <w:spacing w:after="0" w:line="20" w:lineRule="exact"/>
              <w:rPr>
                <w:sz w:val="1"/>
                <w:szCs w:val="1"/>
                <w:color w:val="auto"/>
              </w:rPr>
            </w:pPr>
          </w:p>
        </w:tc>
        <w:tc>
          <w:tcPr>
            <w:tcW w:w="720" w:type="dxa"/>
            <w:vAlign w:val="bottom"/>
            <w:tcBorders>
              <w:top w:val="single" w:sz="8" w:color="CCCCCC"/>
            </w:tcBorders>
            <w:shd w:val="clear" w:color="auto" w:fill="CCCCCC"/>
          </w:tcPr>
          <w:p>
            <w:pPr>
              <w:spacing w:after="0" w:line="20" w:lineRule="exact"/>
              <w:rPr>
                <w:sz w:val="1"/>
                <w:szCs w:val="1"/>
                <w:color w:val="auto"/>
              </w:rPr>
            </w:pPr>
          </w:p>
        </w:tc>
        <w:tc>
          <w:tcPr>
            <w:tcW w:w="180" w:type="dxa"/>
            <w:vAlign w:val="bottom"/>
            <w:tcBorders>
              <w:top w:val="single" w:sz="8" w:color="CCCCCC"/>
            </w:tcBorders>
            <w:shd w:val="clear" w:color="auto" w:fill="CCCCCC"/>
          </w:tcPr>
          <w:p>
            <w:pPr>
              <w:spacing w:after="0" w:line="20" w:lineRule="exact"/>
              <w:rPr>
                <w:sz w:val="1"/>
                <w:szCs w:val="1"/>
                <w:color w:val="auto"/>
              </w:rPr>
            </w:pPr>
          </w:p>
        </w:tc>
        <w:tc>
          <w:tcPr>
            <w:tcW w:w="400" w:type="dxa"/>
            <w:vAlign w:val="bottom"/>
            <w:tcBorders>
              <w:top w:val="single" w:sz="8" w:color="CCCCCC"/>
            </w:tcBorders>
            <w:shd w:val="clear" w:color="auto" w:fill="CCCCCC"/>
          </w:tcPr>
          <w:p>
            <w:pPr>
              <w:spacing w:after="0" w:line="20" w:lineRule="exact"/>
              <w:rPr>
                <w:sz w:val="1"/>
                <w:szCs w:val="1"/>
                <w:color w:val="auto"/>
              </w:rPr>
            </w:pPr>
          </w:p>
        </w:tc>
        <w:tc>
          <w:tcPr>
            <w:tcW w:w="580" w:type="dxa"/>
            <w:vAlign w:val="bottom"/>
            <w:tcBorders>
              <w:top w:val="single" w:sz="8" w:color="CCCCCC"/>
            </w:tcBorders>
            <w:shd w:val="clear" w:color="auto" w:fill="CCCCCC"/>
          </w:tcPr>
          <w:p>
            <w:pPr>
              <w:spacing w:after="0" w:line="20" w:lineRule="exact"/>
              <w:rPr>
                <w:sz w:val="1"/>
                <w:szCs w:val="1"/>
                <w:color w:val="auto"/>
              </w:rPr>
            </w:pPr>
          </w:p>
        </w:tc>
        <w:tc>
          <w:tcPr>
            <w:tcW w:w="100" w:type="dxa"/>
            <w:vAlign w:val="bottom"/>
            <w:tcBorders>
              <w:top w:val="single" w:sz="8" w:color="CCCCCC"/>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Loss on extinguishment of debt and other, net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4"/>
            <w:shd w:val="clear" w:color="auto" w:fill="CCCCCC"/>
          </w:tcPr>
          <w:p>
            <w:pPr>
              <w:ind w:left="200"/>
              <w:spacing w:after="0"/>
              <w:rPr>
                <w:sz w:val="20"/>
                <w:szCs w:val="20"/>
                <w:color w:val="auto"/>
              </w:rPr>
            </w:pPr>
            <w:r>
              <w:rPr>
                <w:rFonts w:ascii="Arial" w:cs="Arial" w:eastAsia="Arial" w:hAnsi="Arial"/>
                <w:sz w:val="18"/>
                <w:szCs w:val="18"/>
                <w:color w:val="auto"/>
              </w:rPr>
              <w:t>Income tax benefit related to special charges</w:t>
            </w:r>
          </w:p>
        </w:tc>
        <w:tc>
          <w:tcPr>
            <w:tcW w:w="36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7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spacing w:after="0"/>
              <w:rPr>
                <w:sz w:val="18"/>
                <w:szCs w:val="18"/>
                <w:color w:val="auto"/>
              </w:rPr>
            </w:pPr>
          </w:p>
        </w:tc>
        <w:tc>
          <w:tcPr>
            <w:tcW w:w="320" w:type="dxa"/>
            <w:vAlign w:val="bottom"/>
            <w:tcBorders>
              <w:bottom w:val="single" w:sz="8" w:color="auto"/>
            </w:tcBorders>
            <w:shd w:val="clear" w:color="auto" w:fill="CCCCCC"/>
          </w:tcPr>
          <w:p>
            <w:pPr>
              <w:spacing w:after="0"/>
              <w:rPr>
                <w:sz w:val="18"/>
                <w:szCs w:val="18"/>
                <w:color w:val="auto"/>
              </w:rPr>
            </w:pPr>
          </w:p>
        </w:tc>
        <w:tc>
          <w:tcPr>
            <w:tcW w:w="7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CCCC"/>
          </w:tcPr>
          <w:p>
            <w:pPr>
              <w:spacing w:after="0"/>
              <w:rPr>
                <w:sz w:val="18"/>
                <w:szCs w:val="18"/>
                <w:color w:val="auto"/>
              </w:rPr>
            </w:pPr>
          </w:p>
        </w:tc>
        <w:tc>
          <w:tcPr>
            <w:tcW w:w="400" w:type="dxa"/>
            <w:vAlign w:val="bottom"/>
            <w:tcBorders>
              <w:bottom w:val="single" w:sz="8" w:color="auto"/>
            </w:tcBorders>
            <w:shd w:val="clear" w:color="auto" w:fill="CCCCCC"/>
          </w:tcPr>
          <w:p>
            <w:pPr>
              <w:spacing w:after="0"/>
              <w:rPr>
                <w:sz w:val="18"/>
                <w:szCs w:val="18"/>
                <w:color w:val="auto"/>
              </w:rPr>
            </w:pPr>
          </w:p>
        </w:tc>
        <w:tc>
          <w:tcPr>
            <w:tcW w:w="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Total operating and nonoperating special charges, net of income taxes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 16 of this report for additional information of these items.</w:t>
      </w:r>
    </w:p>
    <w:p>
      <w:pPr>
        <w:spacing w:after="0" w:line="1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80" w:right="239" w:bottom="1440" w:gutter="0" w:footer="0" w:header="0"/>
        </w:sectPr>
      </w:pPr>
    </w:p>
    <w:bookmarkStart w:id="109" w:name="page110"/>
    <w:bookmarkEnd w:id="109"/>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9A.</w:t>
      </w:r>
      <w:r>
        <w:rPr>
          <w:sz w:val="20"/>
          <w:szCs w:val="20"/>
          <w:color w:val="auto"/>
        </w:rPr>
        <w:tab/>
      </w:r>
      <w:r>
        <w:rPr>
          <w:rFonts w:ascii="Arial" w:cs="Arial" w:eastAsia="Arial" w:hAnsi="Arial"/>
          <w:sz w:val="16"/>
          <w:szCs w:val="16"/>
          <w:b w:val="1"/>
          <w:bCs w:val="1"/>
          <w:color w:val="auto"/>
        </w:rPr>
        <w:t>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 and Procedures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UAL and United each maintain controls and procedures that are designed to ensure that information required to be disclosed in the reports filed or submitted by UAL and United to the Securities and Exchange Commission (“SEC”) is recorded, processed, summarized and reported, within the time periods specified by the SEC’s rules and forms, and is accumulated and communicated to management including the acting Chief Executive Officer and acting Chief Financial Officer as appropriate to allow timely decisions regarding required disclosure. The management of UAL and United, including the acting Chief Executive Officer and acting Chief Financial Officer, performed an evaluation to conclude with reasonable assurance that UAL’s and United’s disclosure controls and procedures were designed and operating effectively to report the information each company is required to disclose in the reports they file with the SEC on a timely basis. Based on that evaluation, the acting Chief Executive Officer and the acting Chief Financial Officer of UAL and United have concluded that as of December 31, 2015, disclosure controls and procedures were effective.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during the Quarter Ended December 31, 2015</w:t>
      </w:r>
    </w:p>
    <w:p>
      <w:pPr>
        <w:spacing w:after="0" w:line="11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During the three months ended December 31, 2015, there was no change in UAL’s or United’s internal control over financial reporting during their most recent fiscal quarter that materially affected, or is reasonably likely to materially affect, their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74" w:right="259" w:bottom="1440" w:gutter="0" w:footer="0" w:header="0"/>
        </w:sectPr>
      </w:pPr>
    </w:p>
    <w:bookmarkStart w:id="110" w:name="page111"/>
    <w:bookmarkEnd w:id="110"/>
    <w:p>
      <w:pP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Continental Holdings, Inc.</w:t>
      </w:r>
    </w:p>
    <w:p>
      <w:pPr>
        <w:spacing w:after="0" w:line="11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audited United Continental Holdings, Inc.’s (the “Company”) internal control over financial reporting as of December 31, 2015,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 Item 9A. Our responsibility is to express an opinion on the company’s internal control over financial reporting based on our audit.</w:t>
      </w:r>
    </w:p>
    <w:p>
      <w:pPr>
        <w:spacing w:after="0" w:line="6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2015, based on the COSO criteria.</w:t>
      </w:r>
    </w:p>
    <w:p>
      <w:pPr>
        <w:spacing w:after="0" w:line="7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financial statements as of and for the year ended December 31, 2015 of the Company and our report dated February 18, 2016 expressed an unqualified opinion thereon.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4" w:right="259" w:bottom="1440" w:gutter="0" w:footer="0" w:header="0"/>
        </w:sectPr>
      </w:pPr>
    </w:p>
    <w:bookmarkStart w:id="111" w:name="page112"/>
    <w:bookmarkEnd w:id="111"/>
    <w:p>
      <w:pPr>
        <w:ind w:right="378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United Continental Holdings, Inc. Management Report on Internal Control Over Financial Reporting </w:t>
      </w:r>
      <w:r>
        <w:rPr>
          <w:rFonts w:ascii="Arial" w:cs="Arial" w:eastAsia="Arial" w:hAnsi="Arial"/>
          <w:sz w:val="18"/>
          <w:szCs w:val="18"/>
          <w:color w:val="auto"/>
        </w:rPr>
        <w:t>February 18, 2016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United Continental Holdings,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management of United Continental Holdings, Inc. (“UAL”) is responsible for establishing and maintaining adequate internal control over financial reporting, as such term is defined in Exchange Act Rules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Under the supervision and with the participation of management, including our acting Chief Executive Officer and acting Chief Financial Officer, we conducted an evaluation of the design and operating effectiveness of our internal control over financial reporting as of December 31, 2015. In making this assessment, management used the framework set forth in Internal Control—Integrated Framework (2013 Framework) issued by the Committee of the Sponsoring Organizations of the Treadway Commission. Based on this evaluation, our acting Chief Executive Officer and acting Chief Financial Officer concluded that our internal control over financial reporting was effective as of December 31, 2015.</w:t>
      </w:r>
    </w:p>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Inc. Management Report on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United Airlines,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management of United Airlines, Inc. (“United”) is responsible for establishing and maintaining adequate internal control over financial reporting, as such term is defined in Exchange Act Rules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Under the supervision and with the participation of management, including United’s acting Chief Executive Officer and acting Chief Financial Officer, United conducted an evaluation of the design and operating effectiveness of our internal control over financial reporting as of December 31, 2015. In making this assessment, management used the framework set forth in Internal Control—Integrated Framework (2013 Framework) issued by the Committee of the Sponsoring Organizations of the Treadway Commission. Based on this evaluation, United’s acting Chief Executive Officer and acting Chief Financial Officer concluded that its internal control over financial reporting was effective as of December 31, 2015.</w:t>
      </w:r>
    </w:p>
    <w:p>
      <w:pPr>
        <w:spacing w:after="0" w:line="62"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12" w:name="page113"/>
    <w:bookmarkEnd w:id="112"/>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9B.</w:t>
      </w:r>
      <w:r>
        <w:rPr>
          <w:sz w:val="20"/>
          <w:szCs w:val="20"/>
          <w:color w:val="auto"/>
        </w:rPr>
        <w:tab/>
      </w:r>
      <w:r>
        <w:rPr>
          <w:rFonts w:ascii="Arial" w:cs="Arial" w:eastAsia="Arial" w:hAnsi="Arial"/>
          <w:sz w:val="18"/>
          <w:szCs w:val="18"/>
          <w:b w:val="1"/>
          <w:bCs w:val="1"/>
          <w:color w:val="auto"/>
        </w:rPr>
        <w:t>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Certain information required by this item with respect to UAL is incorporated by reference from UAL’s definitive proxy statement for its 2016 Annual Meeting of Stockholders. Information regarding the executive officers of UAL is presented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UAL are listed below, along with their ages, tenure as officer and business background for at least the last five years.</w:t>
      </w:r>
    </w:p>
    <w:p>
      <w:pPr>
        <w:spacing w:after="0" w:line="11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Michael P. Bonds. </w:t>
      </w:r>
      <w:r>
        <w:rPr>
          <w:rFonts w:ascii="Arial" w:cs="Arial" w:eastAsia="Arial" w:hAnsi="Arial"/>
          <w:sz w:val="18"/>
          <w:szCs w:val="18"/>
          <w:color w:val="auto"/>
        </w:rPr>
        <w:t>Age 53. Mr. Bonds has been Executive Vice President Human Resources and Labor Relations of UAL and United since October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2005 to September 2010, Mr. Bonds served as Senior Vice President Human Resources and Labor Relations of Continental Airlines, Inc. (“Continental”). Mr. Bonds joined Continental in 1995.</w:t>
      </w:r>
    </w:p>
    <w:p>
      <w:pPr>
        <w:spacing w:after="0" w:line="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James E. Compton. </w:t>
      </w:r>
      <w:r>
        <w:rPr>
          <w:rFonts w:ascii="Arial" w:cs="Arial" w:eastAsia="Arial" w:hAnsi="Arial"/>
          <w:sz w:val="16"/>
          <w:szCs w:val="16"/>
          <w:color w:val="auto"/>
        </w:rPr>
        <w:t>Age 60. Mr. Compton has been Vice Chairman and Chief Revenue Officer of UAL and United since December 2012. From October 2010 to</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2012, Mr. Compton served as Executive Vice President and Chief Revenue Officer of UAL, United and Continental. From January 2010 to September 2010, Mr. Compton served as Executive Vice President and Chief Marketing Officer of Continental. From August 2004 to December 2009, Mr. Compton served as Executive Vice President—Marketing of Continental. Mr. Compton joined Continental in 1995.</w:t>
      </w:r>
    </w:p>
    <w:p>
      <w:pPr>
        <w:spacing w:after="0" w:line="49"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Brett J. Hart. </w:t>
      </w:r>
      <w:r>
        <w:rPr>
          <w:rFonts w:ascii="Arial" w:cs="Arial" w:eastAsia="Arial" w:hAnsi="Arial"/>
          <w:sz w:val="16"/>
          <w:szCs w:val="16"/>
          <w:color w:val="auto"/>
        </w:rPr>
        <w:t>Age 46. Mr. Hart has been acting Chief Executive Officer and principal executive officer of the Company since October 2015. Previously, Mr. Hart</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Executive Vice President, General Counsel and Secretary of UAL and United since February 2012. From December 2010 to February 2012, he served as Senior Vice President, General Counsel and Secretary of UAL, United and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 Mr. Hart joined UAL in 2010.</w:t>
      </w:r>
    </w:p>
    <w:p>
      <w:pPr>
        <w:spacing w:after="0" w:line="5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Gregory L. Hart. </w:t>
      </w:r>
      <w:r>
        <w:rPr>
          <w:rFonts w:ascii="Arial" w:cs="Arial" w:eastAsia="Arial" w:hAnsi="Arial"/>
          <w:sz w:val="16"/>
          <w:szCs w:val="16"/>
          <w:color w:val="auto"/>
        </w:rPr>
        <w:t>Age 50. Mr. Hart has been Executive Vice President and Chief Operations Officer of UAL and United since February 2014. From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to February 2014, he served as Senior Vice President Operations of UAL and United. From September 2012 to December 2013, Mr. Hart served as Senior Vice President Technical Operations of United. From October 2010 to September 2012, Mr. Hart served as Senior Vice President Network of United and Continental. From September 2008 to September 2010, Mr. Hart served as Vice President Network Strategy of Continental. Mr. Hart joined Continental in 1997.</w:t>
      </w:r>
    </w:p>
    <w:p>
      <w:pPr>
        <w:spacing w:after="0" w:line="4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Linda P. Jojo. </w:t>
      </w:r>
      <w:r>
        <w:rPr>
          <w:rFonts w:ascii="Arial" w:cs="Arial" w:eastAsia="Arial" w:hAnsi="Arial"/>
          <w:sz w:val="18"/>
          <w:szCs w:val="18"/>
          <w:color w:val="auto"/>
        </w:rPr>
        <w:t>Age 50. Ms. Jojo has been Executive Vice President and Chief Information Officer of UAL and United since November 2014. From July 2011 to</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2014, Ms. Jojo served as Executive Vice President and Chief Information Officer of Rogers Communications, Inc., a Canadian communications and media company. From October 2008 to June 2011, Ms. Jojo served as Chief Information Officer of Energy Future Holdings, a Dallas-based privately held energy company and electrical utility provider.</w:t>
      </w:r>
    </w:p>
    <w:p>
      <w:pPr>
        <w:spacing w:after="0" w:line="8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Chris Kenny. </w:t>
      </w:r>
      <w:r>
        <w:rPr>
          <w:rFonts w:ascii="Arial" w:cs="Arial" w:eastAsia="Arial" w:hAnsi="Arial"/>
          <w:sz w:val="18"/>
          <w:szCs w:val="18"/>
          <w:color w:val="auto"/>
        </w:rPr>
        <w:t>Age 51. Mr. Kenny has been Vice President and Controller of UAL and United since October 2010. From September 2003 to September 2010,</w:t>
      </w:r>
      <w:r>
        <w:rPr>
          <w:rFonts w:ascii="Arial" w:cs="Arial" w:eastAsia="Arial" w:hAnsi="Arial"/>
          <w:sz w:val="18"/>
          <w:szCs w:val="18"/>
          <w:b w:val="1"/>
          <w:bCs w:val="1"/>
          <w:color w:val="auto"/>
        </w:rPr>
        <w:t xml:space="preserve"> </w:t>
      </w:r>
      <w:r>
        <w:rPr>
          <w:rFonts w:ascii="Arial" w:cs="Arial" w:eastAsia="Arial" w:hAnsi="Arial"/>
          <w:sz w:val="18"/>
          <w:szCs w:val="18"/>
          <w:color w:val="auto"/>
        </w:rPr>
        <w:t>Mr. Kenny served as Vice President and Controller of Continental. Mr. Kenny joined Continental in 1997.</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13" w:name="page114"/>
    <w:bookmarkEnd w:id="113"/>
    <w:p>
      <w:pPr>
        <w:jc w:val="both"/>
        <w:ind w:right="1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Gerald Laderman. </w:t>
      </w:r>
      <w:r>
        <w:rPr>
          <w:rFonts w:ascii="Arial" w:cs="Arial" w:eastAsia="Arial" w:hAnsi="Arial"/>
          <w:sz w:val="18"/>
          <w:szCs w:val="18"/>
          <w:color w:val="auto"/>
        </w:rPr>
        <w:t>Age 58. Mr. Laderman has been Senior Vice President Finance and acting Chief Financial Officer since August 2015. Mr. Laderman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Senior Vice President Finance, Procurement and Treasurer for UAL and United since 2013 and served as Senior Vice President Finance and Treasurer for the Company from 2010 to 2013. From 2001 to 2010, Mr. Laderman served as Senior Vice President of Finance and Treasurer for Continental. Mr. Laderman joined Continental in 1988 as senior director legal affairs, finance and aircraft programs.</w:t>
      </w:r>
    </w:p>
    <w:p>
      <w:pPr>
        <w:spacing w:after="0" w:line="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Oscar Munoz. </w:t>
      </w:r>
      <w:r>
        <w:rPr>
          <w:rFonts w:ascii="Arial" w:cs="Arial" w:eastAsia="Arial" w:hAnsi="Arial"/>
          <w:sz w:val="18"/>
          <w:szCs w:val="18"/>
          <w:color w:val="auto"/>
        </w:rPr>
        <w:t>Age 57. Mr. Munoz was named President and Chief Executive Officer effective September 8, 2015. From February 2015 to September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Mr. Munoz served as President and Chief Operating Officer of CSX Corporation (“CSX”), a railroad and intermodal transportation services company, overseeing operations, sales and marketing, human resources, service design and information technology. Prior to his appointment as President and Chief Operating Officer of CSX, Mr. Munoz served as Executive Vice President and Chief Operating Officer of CSX Transportation from January 2012 to February 2015 and as Executive Vice President and Chief Financial Officer of CSX from 2003 to 2012. Mr. Munoz has been a director of the Company and Chairman of the Audit Committee of the Board of Directors since 2010.</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no family relationships among the executive officers or the directors of UAL. The executive officers are elected by the Board of Directors each year and hold office until the organization meeting of the Board of Directors in the subsequent year, until his or her successor is chosen or until his or her earlier death, resignation or removal.</w:t>
      </w:r>
    </w:p>
    <w:p>
      <w:pPr>
        <w:spacing w:after="0" w:line="8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has a code of ethics, the “Ethics and Compliance Principles,” for its directors, officers and employees. The code serves as a “Code of Ethics” as defined by SEC regulations, and as a “Code of Business Conduct and Ethics” under the listed Company Manual of the NYSE. The code is available on the Company’s website at http://ir.united.com. Waivers granted to certain officers from compliance with or future amendments to the code will be disclosed on the Company’s website in accordance with Item 5.05 of Form 8-K.</w:t>
      </w:r>
    </w:p>
    <w:p>
      <w:pPr>
        <w:spacing w:after="0" w:line="1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2016 Annual Meeting of Stockholders.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19" w:lineRule="exact"/>
        <w:rPr>
          <w:sz w:val="20"/>
          <w:szCs w:val="20"/>
          <w:color w:val="auto"/>
        </w:rPr>
      </w:pPr>
    </w:p>
    <w:p>
      <w:pPr>
        <w:ind w:left="1700" w:right="60" w:hanging="1701"/>
        <w:spacing w:after="0" w:line="275" w:lineRule="auto"/>
        <w:tabs>
          <w:tab w:leader="none" w:pos="16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2016 Annual Meeting of Stockholders.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1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2016 Annual Meeting of Stockholders.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14" w:name="page115"/>
    <w:bookmarkEnd w:id="114"/>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of the UAL Board of Directors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pacing w:after="0" w:line="8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5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Any requests for audit, audit 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5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On a periodic basis, the Audit Committee reviews the status of services and fees incurred year-to-date and a list of newly pre-approved services since its last regularly scheduled meeting. The Audit Committee has considered whether the 2015 and 2014 non-audit services provided by Ernst &amp; Young LLP, the Company’s independent registered public accounting firm, are compatible with maintaining auditor independence.</w:t>
      </w:r>
    </w:p>
    <w:p>
      <w:pPr>
        <w:spacing w:after="0" w:line="5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of the services in 2015 and 2014 under the Audit Fees, Audit Related Fees, Tax Fees and All Other Fees categories below have been approved by the Audit Committee pursuant to paragraph (c)(7) of Rule 2-01 of Regulation S-X of the Exchange Act.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fees billed for professional services rendered by the Company’s independent auditors in 2015 and 2014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Service</w:t>
            </w:r>
          </w:p>
        </w:tc>
        <w:tc>
          <w:tcPr>
            <w:tcW w:w="524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b w:val="1"/>
                <w:bCs w:val="1"/>
                <w:color w:val="auto"/>
                <w:w w:val="99"/>
              </w:rPr>
              <w:t>2014</w:t>
            </w:r>
          </w:p>
        </w:tc>
        <w:tc>
          <w:tcPr>
            <w:tcW w:w="80" w:type="dxa"/>
            <w:vAlign w:val="bottom"/>
          </w:tcPr>
          <w:p>
            <w:pPr>
              <w:spacing w:after="0"/>
              <w:rPr>
                <w:sz w:val="21"/>
                <w:szCs w:val="21"/>
                <w:color w:val="auto"/>
              </w:rPr>
            </w:pPr>
          </w:p>
        </w:tc>
      </w:tr>
      <w:tr>
        <w:trPr>
          <w:trHeight w:val="203"/>
        </w:trPr>
        <w:tc>
          <w:tcPr>
            <w:tcW w:w="5800" w:type="dxa"/>
            <w:vAlign w:val="bottom"/>
            <w:tcBorders>
              <w:top w:val="single" w:sz="8" w:color="CCCCCC"/>
            </w:tcBorders>
            <w:gridSpan w:val="4"/>
            <w:shd w:val="clear" w:color="auto" w:fill="CCCCCC"/>
          </w:tcPr>
          <w:p>
            <w:pPr>
              <w:spacing w:after="0" w:line="202" w:lineRule="exact"/>
              <w:rPr>
                <w:sz w:val="20"/>
                <w:szCs w:val="20"/>
                <w:color w:val="auto"/>
              </w:rPr>
            </w:pPr>
            <w:r>
              <w:rPr>
                <w:rFonts w:ascii="Arial" w:cs="Arial" w:eastAsia="Arial" w:hAnsi="Arial"/>
                <w:sz w:val="18"/>
                <w:szCs w:val="18"/>
                <w:color w:val="auto"/>
              </w:rPr>
              <w:t>Audit Fees</w:t>
            </w:r>
          </w:p>
        </w:tc>
        <w:tc>
          <w:tcPr>
            <w:tcW w:w="220" w:type="dxa"/>
            <w:vAlign w:val="bottom"/>
            <w:tcBorders>
              <w:top w:val="single" w:sz="8" w:color="auto"/>
            </w:tcBorders>
            <w:shd w:val="clear" w:color="auto" w:fill="CCCCCC"/>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CCCC"/>
          </w:tcPr>
          <w:p>
            <w:pPr>
              <w:jc w:val="right"/>
              <w:spacing w:after="0" w:line="203" w:lineRule="exact"/>
              <w:rPr>
                <w:sz w:val="20"/>
                <w:szCs w:val="20"/>
                <w:color w:val="auto"/>
              </w:rPr>
            </w:pPr>
            <w:r>
              <w:rPr>
                <w:rFonts w:ascii="Arial" w:cs="Arial" w:eastAsia="Arial" w:hAnsi="Arial"/>
                <w:sz w:val="18"/>
                <w:szCs w:val="18"/>
                <w:color w:val="auto"/>
              </w:rPr>
              <w:t>4,193</w:t>
            </w:r>
          </w:p>
        </w:tc>
        <w:tc>
          <w:tcPr>
            <w:tcW w:w="220" w:type="dxa"/>
            <w:vAlign w:val="bottom"/>
            <w:tcBorders>
              <w:top w:val="single" w:sz="8" w:color="CCCCCC"/>
            </w:tcBorders>
            <w:shd w:val="clear" w:color="auto" w:fill="CCCCCC"/>
          </w:tcPr>
          <w:p>
            <w:pPr>
              <w:spacing w:after="0"/>
              <w:rPr>
                <w:sz w:val="17"/>
                <w:szCs w:val="17"/>
                <w:color w:val="auto"/>
              </w:rPr>
            </w:pPr>
          </w:p>
        </w:tc>
        <w:tc>
          <w:tcPr>
            <w:tcW w:w="220" w:type="dxa"/>
            <w:vAlign w:val="bottom"/>
            <w:tcBorders>
              <w:top w:val="single" w:sz="8" w:color="auto"/>
            </w:tcBorders>
            <w:shd w:val="clear" w:color="auto" w:fill="CCCCCC"/>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CCCC"/>
          </w:tcPr>
          <w:p>
            <w:pPr>
              <w:jc w:val="right"/>
              <w:spacing w:after="0" w:line="203" w:lineRule="exact"/>
              <w:rPr>
                <w:sz w:val="20"/>
                <w:szCs w:val="20"/>
                <w:color w:val="auto"/>
              </w:rPr>
            </w:pPr>
            <w:r>
              <w:rPr>
                <w:rFonts w:ascii="Arial" w:cs="Arial" w:eastAsia="Arial" w:hAnsi="Arial"/>
                <w:sz w:val="18"/>
                <w:szCs w:val="18"/>
                <w:color w:val="auto"/>
              </w:rPr>
              <w:t>3,827</w:t>
            </w:r>
          </w:p>
        </w:tc>
        <w:tc>
          <w:tcPr>
            <w:tcW w:w="80" w:type="dxa"/>
            <w:vAlign w:val="bottom"/>
            <w:tcBorders>
              <w:top w:val="single" w:sz="8" w:color="CCCCCC"/>
            </w:tcBorders>
            <w:shd w:val="clear" w:color="auto" w:fill="CCCCCC"/>
          </w:tcPr>
          <w:p>
            <w:pPr>
              <w:spacing w:after="0"/>
              <w:rPr>
                <w:sz w:val="17"/>
                <w:szCs w:val="17"/>
                <w:color w:val="auto"/>
              </w:rPr>
            </w:pPr>
          </w:p>
        </w:tc>
      </w:tr>
      <w:tr>
        <w:trPr>
          <w:trHeight w:val="216"/>
        </w:trPr>
        <w:tc>
          <w:tcPr>
            <w:tcW w:w="5800" w:type="dxa"/>
            <w:vAlign w:val="bottom"/>
            <w:gridSpan w:val="4"/>
          </w:tcPr>
          <w:p>
            <w:pPr>
              <w:spacing w:after="0"/>
              <w:rPr>
                <w:sz w:val="20"/>
                <w:szCs w:val="20"/>
                <w:color w:val="auto"/>
              </w:rPr>
            </w:pPr>
            <w:r>
              <w:rPr>
                <w:rFonts w:ascii="Arial" w:cs="Arial" w:eastAsia="Arial" w:hAnsi="Arial"/>
                <w:sz w:val="18"/>
                <w:szCs w:val="18"/>
                <w:color w:val="auto"/>
              </w:rPr>
              <w:t>Audit Related Fees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r>
      <w:tr>
        <w:trPr>
          <w:trHeight w:val="216"/>
        </w:trPr>
        <w:tc>
          <w:tcPr>
            <w:tcW w:w="5800" w:type="dxa"/>
            <w:vAlign w:val="bottom"/>
            <w:gridSpan w:val="4"/>
            <w:shd w:val="clear" w:color="auto" w:fill="CCCCCC"/>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CCCCCC"/>
          </w:tcPr>
          <w:p>
            <w:pPr>
              <w:spacing w:after="0"/>
              <w:rPr>
                <w:sz w:val="18"/>
                <w:szCs w:val="18"/>
                <w:color w:val="auto"/>
              </w:rPr>
            </w:pPr>
          </w:p>
        </w:tc>
        <w:tc>
          <w:tcPr>
            <w:tcW w:w="220" w:type="dxa"/>
            <w:vAlign w:val="bottom"/>
            <w:shd w:val="clear" w:color="auto" w:fill="CCCCCC"/>
          </w:tcPr>
          <w:p>
            <w:pPr>
              <w:spacing w:after="0"/>
              <w:rPr>
                <w:sz w:val="18"/>
                <w:szCs w:val="18"/>
                <w:color w:val="auto"/>
              </w:rPr>
            </w:pP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CCCC"/>
          </w:tcPr>
          <w:p>
            <w:pPr>
              <w:spacing w:after="0"/>
              <w:rPr>
                <w:sz w:val="18"/>
                <w:szCs w:val="18"/>
                <w:color w:val="auto"/>
              </w:rPr>
            </w:pPr>
          </w:p>
        </w:tc>
      </w:tr>
      <w:tr>
        <w:trPr>
          <w:trHeight w:val="223"/>
        </w:trPr>
        <w:tc>
          <w:tcPr>
            <w:tcW w:w="5800" w:type="dxa"/>
            <w:vAlign w:val="bottom"/>
            <w:gridSpan w:val="4"/>
          </w:tcPr>
          <w:p>
            <w:pPr>
              <w:spacing w:after="0"/>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16"/>
        </w:trPr>
        <w:tc>
          <w:tcPr>
            <w:tcW w:w="560" w:type="dxa"/>
            <w:vAlign w:val="bottom"/>
            <w:shd w:val="clear" w:color="auto" w:fill="CCCCCC"/>
          </w:tcPr>
          <w:p>
            <w:pPr>
              <w:spacing w:after="0"/>
              <w:rPr>
                <w:sz w:val="18"/>
                <w:szCs w:val="18"/>
                <w:color w:val="auto"/>
              </w:rPr>
            </w:pPr>
          </w:p>
        </w:tc>
        <w:tc>
          <w:tcPr>
            <w:tcW w:w="1280" w:type="dxa"/>
            <w:vAlign w:val="bottom"/>
            <w:shd w:val="clear" w:color="auto" w:fill="CCCCCC"/>
          </w:tcPr>
          <w:p>
            <w:pPr>
              <w:spacing w:after="0"/>
              <w:rPr>
                <w:sz w:val="18"/>
                <w:szCs w:val="18"/>
                <w:color w:val="auto"/>
              </w:rPr>
            </w:pPr>
          </w:p>
        </w:tc>
        <w:tc>
          <w:tcPr>
            <w:tcW w:w="1140" w:type="dxa"/>
            <w:vAlign w:val="bottom"/>
            <w:shd w:val="clear" w:color="auto" w:fill="CCCCCC"/>
          </w:tcPr>
          <w:p>
            <w:pPr>
              <w:spacing w:after="0"/>
              <w:rPr>
                <w:sz w:val="18"/>
                <w:szCs w:val="18"/>
                <w:color w:val="auto"/>
              </w:rPr>
            </w:pPr>
          </w:p>
        </w:tc>
        <w:tc>
          <w:tcPr>
            <w:tcW w:w="2820" w:type="dxa"/>
            <w:vAlign w:val="bottom"/>
            <w:shd w:val="clear" w:color="auto" w:fill="CCCCCC"/>
          </w:tcPr>
          <w:p>
            <w:pPr>
              <w:spacing w:after="0"/>
              <w:rPr>
                <w:sz w:val="18"/>
                <w:szCs w:val="18"/>
                <w:color w:val="auto"/>
              </w:rPr>
            </w:pPr>
          </w:p>
        </w:tc>
        <w:tc>
          <w:tcPr>
            <w:tcW w:w="2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6,346</w:t>
            </w:r>
          </w:p>
        </w:tc>
        <w:tc>
          <w:tcPr>
            <w:tcW w:w="4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4,573</w:t>
            </w:r>
          </w:p>
        </w:tc>
        <w:tc>
          <w:tcPr>
            <w:tcW w:w="80" w:type="dxa"/>
            <w:vAlign w:val="bottom"/>
            <w:shd w:val="clear" w:color="auto" w:fill="CCCCCC"/>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6"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Note: UAL and United amounts are the same.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2015 and 2014, audit fees consist primarily of the audit and quarterly reviews of the consolidated financial statements and the audit of the effectiveness of internal control over financial reporting of United Continental Holdings, Inc. and its wholly-owned subsidiaries. Audit fees also include the audit of the consolidated financial statements of United, employee benefit plan audits,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4" w:right="2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RELATED FEES</w:t>
      </w:r>
    </w:p>
    <w:p>
      <w:pPr>
        <w:spacing w:after="0" w:line="117"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For 2015 and 2014, fees for audit related services consisted of understanding key process changes and identifying and testing changes in the internal control environment prior to implementation of system conversions, and an assessment of certain information technology security related controls.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Tax fees for 2015 and 2014 include professional services provided for preparation of tax returns of federal, foreign and state tax returns, research and consultations regarding tax accounting, and tax compliance matters and assistance in assembling data to prepare for and respond to governmental reviews of past tax filings, exclusive of tax services rendered in connection with the audit.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Fees for all other services billed in 2015 and 2014 consist of subscriptions to Ernst &amp; Young LLP’s on-line accounting research tool.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ectPr>
          <w:pgSz w:w="11900" w:h="16838" w:orient="portrait"/>
          <w:cols w:equalWidth="0" w:num="1">
            <w:col w:w="11400"/>
          </w:cols>
          <w:pgMar w:left="240" w:top="280" w:right="25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required by this item are listed in Part II, Item 8, Financial Statements and Supplementary Data</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86" w:lineRule="exact"/>
        <w:rPr>
          <w:sz w:val="20"/>
          <w:szCs w:val="20"/>
          <w:color w:val="auto"/>
        </w:rPr>
      </w:pPr>
    </w:p>
    <w:p>
      <w:pPr>
        <w:sectPr>
          <w:pgSz w:w="11900" w:h="16838" w:orient="portrait"/>
          <w:cols w:equalWidth="0" w:num="2">
            <w:col w:w="460" w:space="720"/>
            <w:col w:w="10220"/>
          </w:cols>
          <w:pgMar w:left="240" w:top="280" w:right="259" w:bottom="1440" w:gutter="0" w:footer="0" w:header="0"/>
          <w:type w:val="continuous"/>
        </w:sectPr>
      </w:pPr>
    </w:p>
    <w:p>
      <w:pPr>
        <w:ind w:left="1180" w:right="580" w:hanging="1172"/>
        <w:spacing w:after="0" w:line="268"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The financial statement schedule required by this item is listed below and included in this report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 page hereto.</w:t>
      </w:r>
    </w:p>
    <w:p>
      <w:pPr>
        <w:spacing w:after="0" w:line="18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Schedule II-Valuation and Qualifying Accounts for the years ended December 31, 2015, 2014 and 2013.</w:t>
      </w:r>
    </w:p>
    <w:p>
      <w:pPr>
        <w:spacing w:after="0" w:line="225" w:lineRule="exact"/>
        <w:rPr>
          <w:sz w:val="20"/>
          <w:szCs w:val="20"/>
          <w:color w:val="auto"/>
        </w:rPr>
      </w:pPr>
    </w:p>
    <w:p>
      <w:pPr>
        <w:ind w:left="1180" w:right="200"/>
        <w:spacing w:after="0" w:line="268"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shown in the consolidated financial statements or notes thereto.</w:t>
      </w:r>
    </w:p>
    <w:p>
      <w:pPr>
        <w:spacing w:after="0" w:line="186" w:lineRule="exact"/>
        <w:rPr>
          <w:sz w:val="20"/>
          <w:szCs w:val="20"/>
          <w:color w:val="auto"/>
        </w:rPr>
      </w:pPr>
    </w:p>
    <w:p>
      <w:pPr>
        <w:ind w:left="1180" w:hanging="1172"/>
        <w:spacing w:after="0" w:line="259"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required by this item are listed in the Exhibit Index which immediately precedes the exhibits filed with this Form 10-K and</w:t>
      </w:r>
      <w:r>
        <w:rPr>
          <w:rFonts w:ascii="Arial" w:cs="Arial" w:eastAsia="Arial" w:hAnsi="Arial"/>
          <w:sz w:val="18"/>
          <w:szCs w:val="18"/>
          <w:i w:val="1"/>
          <w:iCs w:val="1"/>
          <w:color w:val="auto"/>
        </w:rPr>
        <w:t xml:space="preserve"> </w:t>
      </w:r>
      <w:r>
        <w:rPr>
          <w:rFonts w:ascii="Arial" w:cs="Arial" w:eastAsia="Arial" w:hAnsi="Arial"/>
          <w:sz w:val="18"/>
          <w:szCs w:val="18"/>
          <w:color w:val="auto"/>
        </w:rPr>
        <w:t>is incorporated herein by this reference. Each management contract or compensatory plan or arrangement is denoted with a “†” in the Exhibit Index.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80" w:right="259" w:bottom="1440" w:gutter="0" w:footer="0" w:header="0"/>
          <w:type w:val="continuous"/>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each registrant has duly caused this Form 10-K to be signed on its behalf by the undersigned, thereunto duly authorized.</w:t>
      </w:r>
    </w:p>
    <w:p>
      <w:pPr>
        <w:spacing w:after="0" w:line="9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UNITED CONTINENTAL HOLDINGS, INC.</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UNITED AIRLINES, INC.</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(Registrants)</w:t>
      </w:r>
    </w:p>
    <w:p>
      <w:pPr>
        <w:spacing w:after="0" w:line="232" w:lineRule="exact"/>
        <w:rPr>
          <w:sz w:val="20"/>
          <w:szCs w:val="20"/>
          <w:color w:val="auto"/>
        </w:rPr>
      </w:pPr>
    </w:p>
    <w:p>
      <w:pPr>
        <w:ind w:left="690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Gerald Laderman</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Senior Vice President Finance and acting Chief Financial</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Officer</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18, 2016</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United Continental Holdings, Inc. and in the capacities and on the date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880" w:type="dxa"/>
            <w:vAlign w:val="bottom"/>
          </w:tcPr>
          <w:p>
            <w:pPr>
              <w:spacing w:after="0"/>
              <w:rPr>
                <w:sz w:val="19"/>
                <w:szCs w:val="19"/>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Capacity</w:t>
            </w:r>
          </w:p>
        </w:tc>
      </w:tr>
      <w:tr>
        <w:trPr>
          <w:trHeight w:val="20"/>
        </w:trPr>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92"/>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Brett J. Hart</w:t>
            </w:r>
          </w:p>
        </w:tc>
        <w:tc>
          <w:tcPr>
            <w:tcW w:w="2880" w:type="dxa"/>
            <w:vAlign w:val="bottom"/>
            <w:tcBorders>
              <w:bottom w:val="single" w:sz="8" w:color="auto"/>
            </w:tcBorders>
          </w:tcPr>
          <w:p>
            <w:pPr>
              <w:spacing w:after="0"/>
              <w:rPr>
                <w:sz w:val="24"/>
                <w:szCs w:val="24"/>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Acting Chief Executive Officer</w:t>
            </w:r>
          </w:p>
        </w:tc>
      </w:tr>
      <w:tr>
        <w:trPr>
          <w:trHeight w:val="218"/>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Brett J. Hart</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Executive Officer)</w:t>
            </w:r>
          </w:p>
        </w:tc>
      </w:tr>
      <w:tr>
        <w:trPr>
          <w:trHeight w:val="505"/>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Gerald Laderman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w w:val="88"/>
              </w:rPr>
              <w:t>Senior Vice President Finance and acting Chief Financial Officer</w:t>
            </w:r>
          </w:p>
        </w:tc>
      </w:tr>
      <w:tr>
        <w:trPr>
          <w:trHeight w:val="218"/>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Gerald Laderman</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Financial Officer)</w:t>
            </w:r>
          </w:p>
        </w:tc>
      </w:tr>
      <w:tr>
        <w:trPr>
          <w:trHeight w:val="505"/>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Chris Kenny</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Vice President and Controller</w:t>
            </w:r>
          </w:p>
        </w:tc>
      </w:tr>
      <w:tr>
        <w:trPr>
          <w:trHeight w:val="218"/>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Chris Kenny</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Accounting Officer)</w:t>
            </w:r>
          </w:p>
        </w:tc>
      </w:tr>
      <w:tr>
        <w:trPr>
          <w:trHeight w:val="506"/>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Carolyn Corvi</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7"/>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Carolyn Corvi</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Richard A. Delaney</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7"/>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Richard A. Delaney</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Jane C. Garvey</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7"/>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Jane C. Garvey</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James J. Heppner</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7"/>
        </w:trPr>
        <w:tc>
          <w:tcPr>
            <w:tcW w:w="4460" w:type="dxa"/>
            <w:vAlign w:val="bottom"/>
            <w:gridSpan w:val="3"/>
          </w:tcPr>
          <w:p>
            <w:pPr>
              <w:ind w:left="60"/>
              <w:spacing w:after="0"/>
              <w:rPr>
                <w:sz w:val="20"/>
                <w:szCs w:val="20"/>
                <w:color w:val="auto"/>
              </w:rPr>
            </w:pPr>
            <w:r>
              <w:rPr>
                <w:rFonts w:ascii="Arial" w:cs="Arial" w:eastAsia="Arial" w:hAnsi="Arial"/>
                <w:sz w:val="18"/>
                <w:szCs w:val="18"/>
                <w:color w:val="auto"/>
              </w:rPr>
              <w:t>James J. Heppner</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506"/>
        </w:trPr>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Walter Isaacson</w:t>
            </w: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217"/>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Walter Isaacson</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70"/>
        </w:trPr>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117</w:t>
            </w:r>
          </w:p>
        </w:tc>
        <w:tc>
          <w:tcPr>
            <w:tcW w:w="304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17" w:name="page118"/>
    <w:bookmarkEnd w:id="1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4040" w:type="dxa"/>
            <w:vAlign w:val="bottom"/>
            <w:gridSpan w:val="2"/>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r>
      <w:tr>
        <w:trPr>
          <w:trHeight w:val="493"/>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Henry L. Meyer III</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Henry L. Meyer III</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06"/>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Oscar Munoz</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Oscar Munoz</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06"/>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William R. Nuti</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William R. Nuti</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06"/>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Laurence E. Simmons</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Laurence E. Simmons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06"/>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David J. Vitale</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David J. Vitale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06"/>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John H. Walker</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John H. Walker</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06"/>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Charles A. Yamarone</w:t>
            </w:r>
          </w:p>
        </w:tc>
        <w:tc>
          <w:tcPr>
            <w:tcW w:w="152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4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Charles A. Yamarone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3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18, 2016</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United Airlines, Inc. and in the capacities and on the date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4040" w:type="dxa"/>
            <w:vAlign w:val="bottom"/>
            <w:gridSpan w:val="2"/>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Capacity</w:t>
            </w:r>
          </w:p>
        </w:tc>
        <w:tc>
          <w:tcPr>
            <w:tcW w:w="3960" w:type="dxa"/>
            <w:vAlign w:val="bottom"/>
          </w:tcPr>
          <w:p>
            <w:pPr>
              <w:spacing w:after="0"/>
              <w:rPr>
                <w:sz w:val="19"/>
                <w:szCs w:val="19"/>
                <w:color w:val="auto"/>
              </w:rPr>
            </w:pPr>
          </w:p>
        </w:tc>
      </w:tr>
      <w:tr>
        <w:trPr>
          <w:trHeight w:val="492"/>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Brett J. Hart</w:t>
            </w:r>
          </w:p>
        </w:tc>
        <w:tc>
          <w:tcPr>
            <w:tcW w:w="5480" w:type="dxa"/>
            <w:vAlign w:val="bottom"/>
            <w:gridSpan w:val="2"/>
          </w:tcPr>
          <w:p>
            <w:pPr>
              <w:spacing w:after="0"/>
              <w:rPr>
                <w:sz w:val="20"/>
                <w:szCs w:val="20"/>
                <w:color w:val="auto"/>
              </w:rPr>
            </w:pPr>
            <w:r>
              <w:rPr>
                <w:rFonts w:ascii="Arial" w:cs="Arial" w:eastAsia="Arial" w:hAnsi="Arial"/>
                <w:sz w:val="18"/>
                <w:szCs w:val="18"/>
                <w:color w:val="auto"/>
              </w:rPr>
              <w:t>Acting Chief Executive Officer and Director</w:t>
            </w:r>
          </w:p>
        </w:tc>
      </w:tr>
      <w:tr>
        <w:trPr>
          <w:trHeight w:val="218"/>
        </w:trPr>
        <w:tc>
          <w:tcPr>
            <w:tcW w:w="55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Brett J. Hart</w:t>
            </w:r>
          </w:p>
        </w:tc>
        <w:tc>
          <w:tcPr>
            <w:tcW w:w="120" w:type="dxa"/>
            <w:vAlign w:val="bottom"/>
          </w:tcPr>
          <w:p>
            <w:pPr>
              <w:spacing w:after="0"/>
              <w:rPr>
                <w:sz w:val="18"/>
                <w:szCs w:val="18"/>
                <w:color w:val="auto"/>
              </w:rPr>
            </w:pPr>
          </w:p>
        </w:tc>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437"/>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Gerald Laderman</w:t>
            </w:r>
          </w:p>
        </w:tc>
        <w:tc>
          <w:tcPr>
            <w:tcW w:w="5480" w:type="dxa"/>
            <w:vAlign w:val="bottom"/>
            <w:gridSpan w:val="2"/>
          </w:tcPr>
          <w:p>
            <w:pPr>
              <w:spacing w:after="0"/>
              <w:rPr>
                <w:sz w:val="20"/>
                <w:szCs w:val="20"/>
                <w:color w:val="auto"/>
              </w:rPr>
            </w:pPr>
            <w:r>
              <w:rPr>
                <w:rFonts w:ascii="Arial" w:cs="Arial" w:eastAsia="Arial" w:hAnsi="Arial"/>
                <w:sz w:val="18"/>
                <w:szCs w:val="18"/>
                <w:color w:val="auto"/>
                <w:w w:val="88"/>
              </w:rPr>
              <w:t>Senior Vice President Finance and acting Chief Financial Officer and Director</w:t>
            </w:r>
          </w:p>
        </w:tc>
      </w:tr>
      <w:tr>
        <w:trPr>
          <w:trHeight w:val="218"/>
        </w:trPr>
        <w:tc>
          <w:tcPr>
            <w:tcW w:w="55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Gerald Laderman</w:t>
            </w:r>
          </w:p>
        </w:tc>
        <w:tc>
          <w:tcPr>
            <w:tcW w:w="120" w:type="dxa"/>
            <w:vAlign w:val="bottom"/>
          </w:tcPr>
          <w:p>
            <w:pPr>
              <w:spacing w:after="0"/>
              <w:rPr>
                <w:sz w:val="18"/>
                <w:szCs w:val="18"/>
                <w:color w:val="auto"/>
              </w:rPr>
            </w:pPr>
          </w:p>
        </w:tc>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r>
      <w:tr>
        <w:trPr>
          <w:trHeight w:val="437"/>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Chris Kenny</w:t>
            </w:r>
          </w:p>
        </w:tc>
        <w:tc>
          <w:tcPr>
            <w:tcW w:w="548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218"/>
        </w:trPr>
        <w:tc>
          <w:tcPr>
            <w:tcW w:w="55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Chris Kenny</w:t>
            </w:r>
          </w:p>
        </w:tc>
        <w:tc>
          <w:tcPr>
            <w:tcW w:w="120" w:type="dxa"/>
            <w:vAlign w:val="bottom"/>
          </w:tcPr>
          <w:p>
            <w:pPr>
              <w:spacing w:after="0"/>
              <w:rPr>
                <w:sz w:val="18"/>
                <w:szCs w:val="18"/>
                <w:color w:val="auto"/>
              </w:rPr>
            </w:pPr>
          </w:p>
        </w:tc>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(Principal Accounting Officer)</w:t>
            </w:r>
          </w:p>
        </w:tc>
      </w:tr>
      <w:tr>
        <w:trPr>
          <w:trHeight w:val="438"/>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James E. Compton</w:t>
            </w:r>
          </w:p>
        </w:tc>
        <w:tc>
          <w:tcPr>
            <w:tcW w:w="54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7"/>
        </w:trPr>
        <w:tc>
          <w:tcPr>
            <w:tcW w:w="55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James E. Compton</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438"/>
        </w:trPr>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Gregory L. Hart</w:t>
            </w:r>
          </w:p>
        </w:tc>
        <w:tc>
          <w:tcPr>
            <w:tcW w:w="54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7"/>
        </w:trPr>
        <w:tc>
          <w:tcPr>
            <w:tcW w:w="55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Gregory L. Hart</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960" w:type="dxa"/>
            <w:vAlign w:val="bottom"/>
          </w:tcPr>
          <w:p>
            <w:pPr>
              <w:spacing w:after="0"/>
              <w:rPr>
                <w:sz w:val="18"/>
                <w:szCs w:val="18"/>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18, 2016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80"/>
          </w:cols>
          <w:pgMar w:left="240" w:top="280" w:right="3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left="8"/>
              <w:spacing w:after="0"/>
              <w:rPr>
                <w:sz w:val="20"/>
                <w:szCs w:val="20"/>
                <w:color w:val="auto"/>
              </w:rPr>
            </w:pPr>
            <w:r>
              <w:rPr>
                <w:rFonts w:ascii="Arial" w:cs="Arial" w:eastAsia="Arial" w:hAnsi="Arial"/>
                <w:sz w:val="18"/>
                <w:szCs w:val="18"/>
                <w:b w:val="1"/>
                <w:bCs w:val="1"/>
                <w:color w:val="auto"/>
                <w:w w:val="90"/>
              </w:rPr>
              <w:t>Schedule II</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0" w:type="dxa"/>
            <w:vAlign w:val="bottom"/>
            <w:gridSpan w:val="7"/>
          </w:tcPr>
          <w:p>
            <w:pPr>
              <w:jc w:val="center"/>
              <w:ind w:left="46"/>
              <w:spacing w:after="0"/>
              <w:rPr>
                <w:sz w:val="20"/>
                <w:szCs w:val="20"/>
                <w:color w:val="auto"/>
              </w:rPr>
            </w:pPr>
            <w:r>
              <w:rPr>
                <w:rFonts w:ascii="Arial" w:cs="Arial" w:eastAsia="Arial" w:hAnsi="Arial"/>
                <w:sz w:val="18"/>
                <w:szCs w:val="18"/>
                <w:b w:val="1"/>
                <w:bCs w:val="1"/>
                <w:color w:val="auto"/>
                <w:w w:val="88"/>
              </w:rPr>
              <w:t>Valuation and Qualifying Accounts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400" w:type="dxa"/>
            <w:vAlign w:val="bottom"/>
            <w:gridSpan w:val="7"/>
          </w:tcPr>
          <w:p>
            <w:pPr>
              <w:jc w:val="center"/>
              <w:ind w:left="46"/>
              <w:spacing w:after="0"/>
              <w:rPr>
                <w:sz w:val="20"/>
                <w:szCs w:val="20"/>
                <w:color w:val="auto"/>
              </w:rPr>
            </w:pPr>
            <w:r>
              <w:rPr>
                <w:rFonts w:ascii="Arial" w:cs="Arial" w:eastAsia="Arial" w:hAnsi="Arial"/>
                <w:sz w:val="18"/>
                <w:szCs w:val="18"/>
                <w:b w:val="1"/>
                <w:bCs w:val="1"/>
                <w:color w:val="auto"/>
                <w:w w:val="87"/>
              </w:rPr>
              <w:t>For the Years Ended December 31, 2015, 2014 and 2013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at</w:t>
            </w:r>
          </w:p>
        </w:tc>
        <w:tc>
          <w:tcPr>
            <w:tcW w:w="15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Additions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60" w:type="dxa"/>
            <w:vAlign w:val="bottom"/>
            <w:gridSpan w:val="3"/>
            <w:vMerge w:val="continue"/>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gridSpan w:val="3"/>
          </w:tcPr>
          <w:p>
            <w:pPr>
              <w:spacing w:after="0" w:line="157" w:lineRule="exact"/>
              <w:rPr>
                <w:sz w:val="20"/>
                <w:szCs w:val="20"/>
                <w:color w:val="auto"/>
              </w:rPr>
            </w:pPr>
            <w:r>
              <w:rPr>
                <w:rFonts w:ascii="Arial" w:cs="Arial" w:eastAsia="Arial" w:hAnsi="Arial"/>
                <w:sz w:val="18"/>
                <w:szCs w:val="18"/>
                <w:b w:val="1"/>
                <w:bCs w:val="1"/>
                <w:color w:val="auto"/>
              </w:rPr>
              <w:t>Beginning</w:t>
            </w:r>
          </w:p>
        </w:tc>
        <w:tc>
          <w:tcPr>
            <w:tcW w:w="1540" w:type="dxa"/>
            <w:vAlign w:val="bottom"/>
            <w:gridSpan w:val="3"/>
          </w:tcPr>
          <w:p>
            <w:pPr>
              <w:jc w:val="center"/>
              <w:ind w:right="620"/>
              <w:spacing w:after="0" w:line="157" w:lineRule="exact"/>
              <w:rPr>
                <w:sz w:val="20"/>
                <w:szCs w:val="20"/>
                <w:color w:val="auto"/>
              </w:rPr>
            </w:pPr>
            <w:r>
              <w:rPr>
                <w:rFonts w:ascii="Arial" w:cs="Arial" w:eastAsia="Arial" w:hAnsi="Arial"/>
                <w:sz w:val="18"/>
                <w:szCs w:val="18"/>
                <w:b w:val="1"/>
                <w:bCs w:val="1"/>
                <w:color w:val="auto"/>
                <w:w w:val="92"/>
              </w:rPr>
              <w:t>Charged to</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gridSpan w:val="3"/>
          </w:tcPr>
          <w:p>
            <w:pPr>
              <w:jc w:val="center"/>
              <w:ind w:right="80"/>
              <w:spacing w:after="0" w:line="157" w:lineRule="exact"/>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36"/>
        </w:trPr>
        <w:tc>
          <w:tcPr>
            <w:tcW w:w="9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w w:val="90"/>
              </w:rPr>
              <w:t>Description</w:t>
            </w:r>
          </w:p>
        </w:tc>
        <w:tc>
          <w:tcPr>
            <w:tcW w:w="254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2"/>
              </w:rPr>
              <w:t>of</w:t>
            </w:r>
          </w:p>
        </w:tc>
        <w:tc>
          <w:tcPr>
            <w:tcW w:w="15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4"/>
              </w:rPr>
              <w:t>Costs and</w:t>
            </w:r>
          </w:p>
        </w:tc>
        <w:tc>
          <w:tcPr>
            <w:tcW w:w="14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5"/>
              </w:rPr>
              <w:t>Deductions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03"/>
        </w:trPr>
        <w:tc>
          <w:tcPr>
            <w:tcW w:w="920" w:type="dxa"/>
            <w:vAlign w:val="bottom"/>
            <w:gridSpan w:val="2"/>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760"/>
              <w:spacing w:after="0" w:line="203" w:lineRule="exact"/>
              <w:rPr>
                <w:sz w:val="20"/>
                <w:szCs w:val="20"/>
                <w:color w:val="auto"/>
              </w:rPr>
            </w:pPr>
            <w:r>
              <w:rPr>
                <w:rFonts w:ascii="Arial" w:cs="Arial" w:eastAsia="Arial" w:hAnsi="Arial"/>
                <w:sz w:val="18"/>
                <w:szCs w:val="18"/>
                <w:b w:val="1"/>
                <w:bCs w:val="1"/>
                <w:color w:val="auto"/>
                <w:w w:val="89"/>
              </w:rPr>
              <w:t>Period</w:t>
            </w:r>
          </w:p>
        </w:tc>
        <w:tc>
          <w:tcPr>
            <w:tcW w:w="100" w:type="dxa"/>
            <w:vAlign w:val="bottom"/>
          </w:tcPr>
          <w:p>
            <w:pPr>
              <w:spacing w:after="0"/>
              <w:rPr>
                <w:sz w:val="17"/>
                <w:szCs w:val="17"/>
                <w:color w:val="auto"/>
              </w:rPr>
            </w:pPr>
          </w:p>
        </w:tc>
        <w:tc>
          <w:tcPr>
            <w:tcW w:w="1440" w:type="dxa"/>
            <w:vAlign w:val="bottom"/>
            <w:gridSpan w:val="2"/>
          </w:tcPr>
          <w:p>
            <w:pPr>
              <w:jc w:val="center"/>
              <w:ind w:right="740"/>
              <w:spacing w:after="0" w:line="203" w:lineRule="exact"/>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17"/>
                <w:szCs w:val="17"/>
                <w:color w:val="auto"/>
              </w:rPr>
            </w:pPr>
          </w:p>
        </w:tc>
        <w:tc>
          <w:tcPr>
            <w:tcW w:w="1280" w:type="dxa"/>
            <w:vAlign w:val="bottom"/>
            <w:gridSpan w:val="2"/>
          </w:tcPr>
          <w:p>
            <w:pPr>
              <w:jc w:val="center"/>
              <w:ind w:right="840"/>
              <w:spacing w:after="0" w:line="203" w:lineRule="exact"/>
              <w:rPr>
                <w:sz w:val="20"/>
                <w:szCs w:val="20"/>
                <w:color w:val="auto"/>
              </w:rPr>
            </w:pPr>
            <w:r>
              <w:rPr>
                <w:rFonts w:ascii="Arial" w:cs="Arial" w:eastAsia="Arial" w:hAnsi="Arial"/>
                <w:sz w:val="18"/>
                <w:szCs w:val="18"/>
                <w:b w:val="1"/>
                <w:bCs w:val="1"/>
                <w:color w:val="auto"/>
                <w:w w:val="90"/>
              </w:rPr>
              <w:t>(a)</w:t>
            </w:r>
          </w:p>
        </w:tc>
        <w:tc>
          <w:tcPr>
            <w:tcW w:w="1220" w:type="dxa"/>
            <w:vAlign w:val="bottom"/>
            <w:gridSpan w:val="3"/>
          </w:tcPr>
          <w:p>
            <w:pPr>
              <w:jc w:val="right"/>
              <w:ind w:right="760"/>
              <w:spacing w:after="0" w:line="203" w:lineRule="exact"/>
              <w:rPr>
                <w:sz w:val="20"/>
                <w:szCs w:val="20"/>
                <w:color w:val="auto"/>
              </w:rPr>
            </w:pPr>
            <w:r>
              <w:rPr>
                <w:rFonts w:ascii="Arial" w:cs="Arial" w:eastAsia="Arial" w:hAnsi="Arial"/>
                <w:sz w:val="18"/>
                <w:szCs w:val="18"/>
                <w:b w:val="1"/>
                <w:bCs w:val="1"/>
                <w:color w:val="auto"/>
                <w:w w:val="91"/>
              </w:rPr>
              <w:t>Other</w:t>
            </w:r>
          </w:p>
        </w:tc>
        <w:tc>
          <w:tcPr>
            <w:tcW w:w="120" w:type="dxa"/>
            <w:vAlign w:val="bottom"/>
          </w:tcPr>
          <w:p>
            <w:pPr>
              <w:spacing w:after="0"/>
              <w:rPr>
                <w:sz w:val="17"/>
                <w:szCs w:val="17"/>
                <w:color w:val="auto"/>
              </w:rPr>
            </w:pPr>
          </w:p>
        </w:tc>
        <w:tc>
          <w:tcPr>
            <w:tcW w:w="740" w:type="dxa"/>
            <w:vAlign w:val="bottom"/>
            <w:gridSpan w:val="2"/>
          </w:tcPr>
          <w:p>
            <w:pPr>
              <w:jc w:val="center"/>
              <w:ind w:right="200"/>
              <w:spacing w:after="0" w:line="203" w:lineRule="exact"/>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3"/>
            <w:vMerge w:val="restart"/>
          </w:tcPr>
          <w:p>
            <w:pPr>
              <w:spacing w:after="0" w:line="155" w:lineRule="exact"/>
              <w:rPr>
                <w:sz w:val="20"/>
                <w:szCs w:val="20"/>
                <w:color w:val="auto"/>
              </w:rPr>
            </w:pPr>
            <w:r>
              <w:rPr>
                <w:rFonts w:ascii="Arial" w:cs="Arial" w:eastAsia="Arial" w:hAnsi="Arial"/>
                <w:sz w:val="14"/>
                <w:szCs w:val="14"/>
                <w:b w:val="1"/>
                <w:bCs w:val="1"/>
                <w:color w:val="auto"/>
              </w:rPr>
              <w:t>Allowance for doubtful accounts—UAL and United:</w:t>
            </w: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6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2015</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560" w:type="dxa"/>
            <w:vAlign w:val="bottom"/>
            <w:gridSpan w:val="2"/>
            <w:shd w:val="clear" w:color="auto" w:fill="CCCCCC"/>
          </w:tcPr>
          <w:p>
            <w:pPr>
              <w:ind w:left="1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22</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25</w:t>
            </w:r>
          </w:p>
        </w:tc>
        <w:tc>
          <w:tcPr>
            <w:tcW w:w="640" w:type="dxa"/>
            <w:vAlign w:val="bottom"/>
            <w:shd w:val="clear" w:color="auto" w:fill="CCCCCC"/>
          </w:tcPr>
          <w:p>
            <w:pPr>
              <w:spacing w:after="0"/>
              <w:rPr>
                <w:sz w:val="12"/>
                <w:szCs w:val="12"/>
                <w:color w:val="auto"/>
              </w:rPr>
            </w:pPr>
          </w:p>
        </w:tc>
        <w:tc>
          <w:tcPr>
            <w:tcW w:w="200" w:type="dxa"/>
            <w:vAlign w:val="bottom"/>
            <w:shd w:val="clear" w:color="auto" w:fill="CCCC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29</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CCCC"/>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2014</w:t>
            </w: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2013</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42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35</w:t>
            </w:r>
          </w:p>
        </w:tc>
        <w:tc>
          <w:tcPr>
            <w:tcW w:w="6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35</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040" w:type="dxa"/>
            <w:vAlign w:val="bottom"/>
            <w:gridSpan w:val="2"/>
            <w:shd w:val="clear" w:color="auto" w:fill="CCCCCC"/>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Obsolescence allowance—spare parts—UAL and United:</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2015</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560" w:type="dxa"/>
            <w:vAlign w:val="bottom"/>
            <w:gridSpan w:val="2"/>
            <w:shd w:val="clear" w:color="auto" w:fill="CCCCCC"/>
          </w:tcPr>
          <w:p>
            <w:pPr>
              <w:ind w:left="1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169</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38</w:t>
            </w:r>
          </w:p>
        </w:tc>
        <w:tc>
          <w:tcPr>
            <w:tcW w:w="640" w:type="dxa"/>
            <w:vAlign w:val="bottom"/>
            <w:shd w:val="clear" w:color="auto" w:fill="CCCCCC"/>
          </w:tcPr>
          <w:p>
            <w:pPr>
              <w:spacing w:after="0"/>
              <w:rPr>
                <w:sz w:val="12"/>
                <w:szCs w:val="12"/>
                <w:color w:val="auto"/>
              </w:rPr>
            </w:pPr>
          </w:p>
        </w:tc>
        <w:tc>
          <w:tcPr>
            <w:tcW w:w="200" w:type="dxa"/>
            <w:vAlign w:val="bottom"/>
            <w:shd w:val="clear" w:color="auto" w:fill="CCCC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CCCC"/>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CCCC"/>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CCCC"/>
          </w:tcPr>
          <w:p>
            <w:pPr>
              <w:jc w:val="right"/>
              <w:ind w:right="76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235</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2014</w:t>
            </w: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2013</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42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125</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38</w:t>
            </w:r>
          </w:p>
        </w:tc>
        <w:tc>
          <w:tcPr>
            <w:tcW w:w="6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040" w:type="dxa"/>
            <w:vAlign w:val="bottom"/>
            <w:gridSpan w:val="2"/>
            <w:shd w:val="clear" w:color="auto" w:fill="CCCCCC"/>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162</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Valuation allowance for deferred tax assets—UAL:</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2015</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560" w:type="dxa"/>
            <w:vAlign w:val="bottom"/>
            <w:gridSpan w:val="2"/>
            <w:shd w:val="clear" w:color="auto" w:fill="CCCCCC"/>
          </w:tcPr>
          <w:p>
            <w:pPr>
              <w:ind w:left="1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4,751</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CCCC"/>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CC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4,703</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CCCC"/>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2014</w:t>
            </w: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4,591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4(b)</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2013</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42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5,388</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7</w:t>
            </w:r>
          </w:p>
        </w:tc>
        <w:tc>
          <w:tcPr>
            <w:tcW w:w="6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888</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040" w:type="dxa"/>
            <w:vAlign w:val="bottom"/>
            <w:gridSpan w:val="2"/>
            <w:shd w:val="clear" w:color="auto" w:fill="CCCCCC"/>
          </w:tcPr>
          <w:p>
            <w:pPr>
              <w:jc w:val="right"/>
              <w:ind w:right="600"/>
              <w:spacing w:after="0" w:line="149" w:lineRule="exact"/>
              <w:rPr>
                <w:sz w:val="20"/>
                <w:szCs w:val="20"/>
                <w:color w:val="auto"/>
              </w:rPr>
            </w:pPr>
            <w:r>
              <w:rPr>
                <w:rFonts w:ascii="Arial" w:cs="Arial" w:eastAsia="Arial" w:hAnsi="Arial"/>
                <w:sz w:val="14"/>
                <w:szCs w:val="14"/>
                <w:color w:val="auto"/>
              </w:rPr>
              <w:t>84(b)</w:t>
            </w:r>
          </w:p>
        </w:tc>
        <w:tc>
          <w:tcPr>
            <w:tcW w:w="1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4,591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Valuation allowance for deferred tax assets—United:</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2015</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560" w:type="dxa"/>
            <w:vAlign w:val="bottom"/>
            <w:gridSpan w:val="2"/>
            <w:shd w:val="clear" w:color="auto" w:fill="CCCCCC"/>
          </w:tcPr>
          <w:p>
            <w:pPr>
              <w:ind w:left="1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4,721</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CCCC"/>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CC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4,673</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CCCC"/>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48</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2014</w:t>
            </w: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(7)(b)</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shd w:val="clear" w:color="auto" w:fill="CCCCCC"/>
          </w:tcPr>
          <w:p>
            <w:pPr>
              <w:jc w:val="right"/>
              <w:ind w:right="50"/>
              <w:spacing w:after="0" w:line="149" w:lineRule="exact"/>
              <w:rPr>
                <w:sz w:val="20"/>
                <w:szCs w:val="20"/>
                <w:color w:val="auto"/>
              </w:rPr>
            </w:pPr>
            <w:r>
              <w:rPr>
                <w:rFonts w:ascii="Arial" w:cs="Arial" w:eastAsia="Arial" w:hAnsi="Arial"/>
                <w:sz w:val="14"/>
                <w:szCs w:val="14"/>
                <w:color w:val="auto"/>
              </w:rPr>
              <w:t>2013</w:t>
            </w:r>
          </w:p>
        </w:tc>
        <w:tc>
          <w:tcPr>
            <w:tcW w:w="80" w:type="dxa"/>
            <w:vAlign w:val="bottom"/>
            <w:shd w:val="clear" w:color="auto" w:fill="CCCCCC"/>
          </w:tcPr>
          <w:p>
            <w:pPr>
              <w:spacing w:after="0"/>
              <w:rPr>
                <w:sz w:val="12"/>
                <w:szCs w:val="12"/>
                <w:color w:val="auto"/>
              </w:rPr>
            </w:pPr>
          </w:p>
        </w:tc>
        <w:tc>
          <w:tcPr>
            <w:tcW w:w="2540" w:type="dxa"/>
            <w:vAlign w:val="bottom"/>
            <w:shd w:val="clear" w:color="auto" w:fill="CCCCCC"/>
          </w:tcPr>
          <w:p>
            <w:pPr>
              <w:spacing w:after="0"/>
              <w:rPr>
                <w:sz w:val="12"/>
                <w:szCs w:val="12"/>
                <w:color w:val="auto"/>
              </w:rPr>
            </w:pPr>
          </w:p>
        </w:tc>
        <w:tc>
          <w:tcPr>
            <w:tcW w:w="142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5,288</w:t>
            </w:r>
          </w:p>
        </w:tc>
        <w:tc>
          <w:tcPr>
            <w:tcW w:w="62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80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w:t>
            </w:r>
          </w:p>
        </w:tc>
        <w:tc>
          <w:tcPr>
            <w:tcW w:w="6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64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898</w:t>
            </w:r>
          </w:p>
        </w:tc>
        <w:tc>
          <w:tcPr>
            <w:tcW w:w="6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040" w:type="dxa"/>
            <w:vAlign w:val="bottom"/>
            <w:gridSpan w:val="2"/>
            <w:shd w:val="clear" w:color="auto" w:fill="CCCCCC"/>
          </w:tcPr>
          <w:p>
            <w:pPr>
              <w:jc w:val="right"/>
              <w:ind w:right="600"/>
              <w:spacing w:after="0" w:line="149" w:lineRule="exact"/>
              <w:rPr>
                <w:sz w:val="20"/>
                <w:szCs w:val="20"/>
                <w:color w:val="auto"/>
              </w:rPr>
            </w:pPr>
            <w:r>
              <w:rPr>
                <w:rFonts w:ascii="Arial" w:cs="Arial" w:eastAsia="Arial" w:hAnsi="Arial"/>
                <w:sz w:val="14"/>
                <w:szCs w:val="14"/>
                <w:color w:val="auto"/>
              </w:rPr>
              <w:t>163(b)</w:t>
            </w:r>
          </w:p>
        </w:tc>
        <w:tc>
          <w:tcPr>
            <w:tcW w:w="120" w:type="dxa"/>
            <w:vAlign w:val="bottom"/>
            <w:shd w:val="clear" w:color="auto" w:fill="CCCCCC"/>
          </w:tcPr>
          <w:p>
            <w:pPr>
              <w:spacing w:after="0"/>
              <w:rPr>
                <w:sz w:val="12"/>
                <w:szCs w:val="12"/>
                <w:color w:val="auto"/>
              </w:rPr>
            </w:pPr>
          </w:p>
        </w:tc>
        <w:tc>
          <w:tcPr>
            <w:tcW w:w="680" w:type="dxa"/>
            <w:vAlign w:val="bottom"/>
            <w:shd w:val="clear" w:color="auto" w:fill="CCCCCC"/>
          </w:tcPr>
          <w:p>
            <w:pPr>
              <w:jc w:val="right"/>
              <w:spacing w:after="0" w:line="149" w:lineRule="exact"/>
              <w:rPr>
                <w:sz w:val="20"/>
                <w:szCs w:val="20"/>
                <w:color w:val="auto"/>
              </w:rPr>
            </w:pPr>
            <w:r>
              <w:rPr>
                <w:rFonts w:ascii="Arial" w:cs="Arial" w:eastAsia="Arial" w:hAnsi="Arial"/>
                <w:sz w:val="14"/>
                <w:szCs w:val="14"/>
                <w:color w:val="auto"/>
              </w:rPr>
              <w:t>4,561</w:t>
            </w:r>
          </w:p>
        </w:tc>
        <w:tc>
          <w:tcPr>
            <w:tcW w:w="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9551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7"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Deduction from reserve for purpose for which reserve was created.</w:t>
      </w:r>
    </w:p>
    <w:p>
      <w:pPr>
        <w:ind w:left="200" w:hanging="192"/>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See Note 7 to the financial statements included in Part II, Item 8 of this report for additional information related to other valuation allowance adjustments.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Registrant</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4160" w:type="dxa"/>
            <w:vAlign w:val="bottom"/>
            <w:gridSpan w:val="2"/>
          </w:tcPr>
          <w:p>
            <w:pPr>
              <w:spacing w:after="0"/>
              <w:rPr>
                <w:sz w:val="24"/>
                <w:szCs w:val="24"/>
                <w:color w:val="auto"/>
              </w:rPr>
            </w:pPr>
          </w:p>
        </w:tc>
      </w:tr>
      <w:tr>
        <w:trPr>
          <w:trHeight w:val="317"/>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Plan of Merger</w:t>
            </w:r>
          </w:p>
        </w:tc>
        <w:tc>
          <w:tcPr>
            <w:tcW w:w="7600" w:type="dxa"/>
            <w:vAlign w:val="bottom"/>
            <w:gridSpan w:val="5"/>
          </w:tcPr>
          <w:p>
            <w:pPr>
              <w:spacing w:after="0"/>
              <w:rPr>
                <w:sz w:val="24"/>
                <w:szCs w:val="24"/>
                <w:color w:val="auto"/>
              </w:rPr>
            </w:pPr>
          </w:p>
        </w:tc>
      </w:tr>
      <w:tr>
        <w:trPr>
          <w:trHeight w:val="310"/>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UAL</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9"/>
              </w:rPr>
              <w:t>Agreement and Plan of Merger, dated as of May 2, 2010, by and among UAL Corporation, Continental Airlines, Inc. and JT</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0"/>
              </w:rPr>
              <w:t>Merger Sub Inc. (schedules and exhibits have been omitted pursuant to Item 601(b)(2) of Regulation S-K) (filed as Exhibit</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7"/>
              </w:rPr>
              <w:t>2.1 to UAL’s Form 8-K filed May 4, 2010, Commission file number 1-6033, and incorporated herein by reference)</w:t>
            </w:r>
          </w:p>
        </w:tc>
      </w:tr>
      <w:tr>
        <w:trPr>
          <w:trHeight w:val="318"/>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9"/>
              </w:rPr>
              <w:t>Agreement and Plan of Merger, dated as of March 28, 2013, by and between Continental Airlines, Inc. and United Air Lines,</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2"/>
              </w:rPr>
              <w:t>Inc. (filed as Exhibit 2.1 to UAL’s Form 8-K filed April 3, 2013, Commission file number 1-6033, and incorporated herein</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by reference)</w:t>
            </w:r>
          </w:p>
        </w:tc>
      </w:tr>
      <w:tr>
        <w:trPr>
          <w:trHeight w:val="325"/>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Articles of Incorporation and Bylaws</w:t>
            </w:r>
          </w:p>
        </w:tc>
        <w:tc>
          <w:tcPr>
            <w:tcW w:w="5920" w:type="dxa"/>
            <w:vAlign w:val="bottom"/>
            <w:gridSpan w:val="4"/>
          </w:tcPr>
          <w:p>
            <w:pPr>
              <w:spacing w:after="0"/>
              <w:rPr>
                <w:sz w:val="24"/>
                <w:szCs w:val="24"/>
                <w:color w:val="auto"/>
              </w:rPr>
            </w:pPr>
          </w:p>
        </w:tc>
      </w:tr>
      <w:tr>
        <w:trPr>
          <w:trHeight w:val="310"/>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UAL</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0"/>
              </w:rPr>
              <w:t>Amended and Restated Certificate of Incorporation of United Continental Holdings, Inc. (filed as Exhibit 3.1 to UAL’s Form</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8-K filed October 1, 2010, Commission file number 1-6033, and incorporated herein by reference)</w:t>
            </w:r>
          </w:p>
        </w:tc>
      </w:tr>
      <w:tr>
        <w:trPr>
          <w:trHeight w:val="318"/>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UAL</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7"/>
              </w:rPr>
              <w:t>Amended and Restated Bylaws of United Continental Holdings, Inc. (filed as Exhibit 3.2 to UAL’s Form 10-K filed</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February 20, 2014, Commission file number 1-6033, and incorporated herein by reference)</w:t>
            </w:r>
          </w:p>
        </w:tc>
      </w:tr>
      <w:tr>
        <w:trPr>
          <w:trHeight w:val="318"/>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3"/>
              </w:rPr>
              <w:t>Amended and Restated Certificate of Incorporation of United Airlines, Inc. (filed as Exhibit 3.1 to UAL’s Form 8-K filed</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April 3, 2013, Commission file number 1-6033, and incorporated herein by reference)</w:t>
            </w:r>
          </w:p>
        </w:tc>
      </w:tr>
      <w:tr>
        <w:trPr>
          <w:trHeight w:val="318"/>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7"/>
              </w:rPr>
              <w:t>Amended and Restated By-laws of United Airlines, Inc. (filed as Exhibit 3.2 to UAL’s Form 8-K filed April 3, 2013,</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25"/>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Instruments Defining Rights of Security Holders, Including Indentures</w:t>
            </w:r>
          </w:p>
        </w:tc>
        <w:tc>
          <w:tcPr>
            <w:tcW w:w="3340" w:type="dxa"/>
            <w:vAlign w:val="bottom"/>
          </w:tcPr>
          <w:p>
            <w:pPr>
              <w:spacing w:after="0"/>
              <w:rPr>
                <w:sz w:val="24"/>
                <w:szCs w:val="24"/>
                <w:color w:val="auto"/>
              </w:rPr>
            </w:pPr>
          </w:p>
        </w:tc>
      </w:tr>
      <w:tr>
        <w:trPr>
          <w:trHeight w:val="310"/>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UAL</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8"/>
              </w:rPr>
              <w:t>Amended and Restated Indenture, dated as of January 11, 2013, by and among United Continental Holdings, Inc. as Issuer,</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4"/>
              </w:rPr>
              <w:t>United Air Lines, Inc. as Guarantor, and the Bank of New York Mellon Trust Company, N.A. as Trustee, providing for</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0"/>
              </w:rPr>
              <w:t>issuance of 6% Notes due 2028, 6% Notes due 2026 and 8% Notes due 2024 (filed as Exhibit 4.6 to UAL’s Form 10-K for</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the year ended December 31, 2012, Commission file number 1-6033, and incorporated herein by reference)</w:t>
            </w:r>
          </w:p>
        </w:tc>
      </w:tr>
      <w:tr>
        <w:trPr>
          <w:trHeight w:val="318"/>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UAL</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1"/>
              </w:rPr>
              <w:t>First Supplemental Indenture, dated as of April 1, 2013, by and among United Continental Holdings, Inc., United Airlines,</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9"/>
              </w:rPr>
              <w:t>Inc. and The Bank of New York Mellon Trust Company, N.A., as trustee, to the Amended and Restated Indenture, dated as</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95"/>
              </w:rPr>
              <w:t>of January 11, 2013 (filed as Exhibit 4.1 to UAL’s Form 8-K filed April 3, 2013, Commission file number 1-6033, and</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UAL</w:t>
            </w:r>
          </w:p>
        </w:tc>
        <w:tc>
          <w:tcPr>
            <w:tcW w:w="70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9"/>
              </w:rPr>
              <w:t>Second Supplemental Indenture, dated as of September 13, 2013, by and among United Continental Holdings, Inc., United</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United</w:t>
            </w: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9"/>
              </w:rPr>
              <w:t>Airlines, Inc. and The Bank of New York Mellon Trust Company, N.A., as trustee, to the Amended and Restated Indenture,</w:t>
            </w:r>
          </w:p>
        </w:tc>
      </w:tr>
      <w:tr>
        <w:trPr>
          <w:trHeight w:val="216"/>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w w:val="89"/>
              </w:rPr>
              <w:t>dated as of January 11, 2013 (filed as Exhibit 4.1 to UAL’s Form 8-K filed September 19, 2013, Commission file number 1-</w:t>
            </w:r>
          </w:p>
        </w:tc>
      </w:tr>
      <w:tr>
        <w:trPr>
          <w:trHeight w:val="222"/>
        </w:trPr>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auto"/>
              </w:rPr>
              <w:t>6033, and incorporated herein by reference)</w:t>
            </w:r>
          </w:p>
        </w:tc>
      </w:tr>
      <w:tr>
        <w:trPr>
          <w:trHeight w:val="365"/>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60" w:type="dxa"/>
            <w:vAlign w:val="bottom"/>
            <w:gridSpan w:val="4"/>
          </w:tcPr>
          <w:p>
            <w:pPr>
              <w:jc w:val="right"/>
              <w:ind w:right="960"/>
              <w:spacing w:after="0"/>
              <w:rPr>
                <w:sz w:val="20"/>
                <w:szCs w:val="20"/>
                <w:color w:val="auto"/>
              </w:rPr>
            </w:pPr>
            <w:r>
              <w:rPr>
                <w:rFonts w:ascii="Arial" w:cs="Arial" w:eastAsia="Arial" w:hAnsi="Arial"/>
                <w:sz w:val="18"/>
                <w:szCs w:val="18"/>
                <w:color w:val="auto"/>
              </w:rPr>
              <w:t>120</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40"/>
          </w:cols>
          <w:pgMar w:left="32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0" w:name="page121"/>
    <w:bookmarkEnd w:id="120"/>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93"/>
              </w:rPr>
              <w:t>*4.4</w:t>
            </w:r>
          </w:p>
        </w:tc>
        <w:tc>
          <w:tcPr>
            <w:tcW w:w="1340" w:type="dxa"/>
            <w:vAlign w:val="bottom"/>
          </w:tcPr>
          <w:p>
            <w:pPr>
              <w:ind w:left="160"/>
              <w:spacing w:after="0"/>
              <w:rPr>
                <w:sz w:val="20"/>
                <w:szCs w:val="20"/>
                <w:color w:val="auto"/>
              </w:rPr>
            </w:pPr>
            <w:r>
              <w:rPr>
                <w:rFonts w:ascii="Arial" w:cs="Arial" w:eastAsia="Arial" w:hAnsi="Arial"/>
                <w:sz w:val="18"/>
                <w:szCs w:val="18"/>
                <w:color w:val="auto"/>
              </w:rPr>
              <w:t>United</w:t>
            </w:r>
          </w:p>
        </w:tc>
        <w:tc>
          <w:tcPr>
            <w:tcW w:w="9420" w:type="dxa"/>
            <w:vAlign w:val="bottom"/>
          </w:tcPr>
          <w:p>
            <w:pPr>
              <w:ind w:left="720"/>
              <w:spacing w:after="0"/>
              <w:rPr>
                <w:sz w:val="20"/>
                <w:szCs w:val="20"/>
                <w:color w:val="auto"/>
              </w:rPr>
            </w:pPr>
            <w:r>
              <w:rPr>
                <w:rFonts w:ascii="Arial" w:cs="Arial" w:eastAsia="Arial" w:hAnsi="Arial"/>
                <w:sz w:val="18"/>
                <w:szCs w:val="18"/>
                <w:color w:val="auto"/>
                <w:w w:val="97"/>
              </w:rPr>
              <w:t>Indenture, dated as of July 15, 1997, between Continental Airlines, Inc. and The Bank of New York Mellon Trust</w:t>
            </w:r>
          </w:p>
        </w:tc>
      </w:tr>
      <w:tr>
        <w:trPr>
          <w:trHeight w:val="216"/>
        </w:trPr>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w w:val="89"/>
              </w:rPr>
              <w:t>Company, N.A. (as successor to Bank One, N.A.), as trustee related to Continental Airlines, Inc.’s 4.5% Convertible Notes</w:t>
            </w:r>
          </w:p>
        </w:tc>
      </w:tr>
      <w:tr>
        <w:trPr>
          <w:trHeight w:val="216"/>
        </w:trPr>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w w:val="92"/>
              </w:rPr>
              <w:t>due 2015 (filed as Exhibit to 4.1 to Continental’s Form S-3/A filed July 18, 1997, Commission file number 1-10323, and</w:t>
            </w:r>
          </w:p>
        </w:tc>
      </w:tr>
      <w:tr>
        <w:trPr>
          <w:trHeight w:val="222"/>
        </w:trPr>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93"/>
              </w:rPr>
              <w:t>*4.5</w:t>
            </w:r>
          </w:p>
        </w:tc>
        <w:tc>
          <w:tcPr>
            <w:tcW w:w="1340" w:type="dxa"/>
            <w:vAlign w:val="bottom"/>
          </w:tcPr>
          <w:p>
            <w:pPr>
              <w:ind w:left="160"/>
              <w:spacing w:after="0"/>
              <w:rPr>
                <w:sz w:val="20"/>
                <w:szCs w:val="20"/>
                <w:color w:val="auto"/>
              </w:rPr>
            </w:pPr>
            <w:r>
              <w:rPr>
                <w:rFonts w:ascii="Arial" w:cs="Arial" w:eastAsia="Arial" w:hAnsi="Arial"/>
                <w:sz w:val="18"/>
                <w:szCs w:val="18"/>
                <w:color w:val="auto"/>
              </w:rPr>
              <w:t>UAL</w:t>
            </w:r>
          </w:p>
        </w:tc>
        <w:tc>
          <w:tcPr>
            <w:tcW w:w="9420" w:type="dxa"/>
            <w:vAlign w:val="bottom"/>
          </w:tcPr>
          <w:p>
            <w:pPr>
              <w:ind w:left="720"/>
              <w:spacing w:after="0"/>
              <w:rPr>
                <w:sz w:val="20"/>
                <w:szCs w:val="20"/>
                <w:color w:val="auto"/>
              </w:rPr>
            </w:pPr>
            <w:r>
              <w:rPr>
                <w:rFonts w:ascii="Arial" w:cs="Arial" w:eastAsia="Arial" w:hAnsi="Arial"/>
                <w:sz w:val="18"/>
                <w:szCs w:val="18"/>
                <w:color w:val="auto"/>
                <w:w w:val="90"/>
              </w:rPr>
              <w:t>Fourth Supplemental Indenture, dated as of October 1, 2010, by and among Continental Airlines, Inc., United Continental</w:t>
            </w:r>
          </w:p>
        </w:tc>
      </w:tr>
      <w:tr>
        <w:trPr>
          <w:trHeight w:val="216"/>
        </w:trPr>
        <w:tc>
          <w:tcPr>
            <w:tcW w:w="4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United</w:t>
            </w:r>
          </w:p>
        </w:tc>
        <w:tc>
          <w:tcPr>
            <w:tcW w:w="9420" w:type="dxa"/>
            <w:vAlign w:val="bottom"/>
          </w:tcPr>
          <w:p>
            <w:pPr>
              <w:ind w:left="720"/>
              <w:spacing w:after="0"/>
              <w:rPr>
                <w:sz w:val="20"/>
                <w:szCs w:val="20"/>
                <w:color w:val="auto"/>
              </w:rPr>
            </w:pPr>
            <w:r>
              <w:rPr>
                <w:rFonts w:ascii="Arial" w:cs="Arial" w:eastAsia="Arial" w:hAnsi="Arial"/>
                <w:sz w:val="18"/>
                <w:szCs w:val="18"/>
                <w:color w:val="auto"/>
                <w:w w:val="89"/>
              </w:rPr>
              <w:t>Holdings, Inc. and The Bank of New York Mellon Trust Company, N.A., as trustee, with respect to the Indenture, dated as</w:t>
            </w:r>
          </w:p>
        </w:tc>
      </w:tr>
      <w:tr>
        <w:trPr>
          <w:trHeight w:val="216"/>
        </w:trPr>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w w:val="89"/>
              </w:rPr>
              <w:t>of July 15, 1997, between Continental Airlines, Inc. and The Bank of New York Mellon Trust Company, N.A. (as successor</w:t>
            </w:r>
          </w:p>
        </w:tc>
      </w:tr>
      <w:tr>
        <w:trPr>
          <w:trHeight w:val="216"/>
        </w:trPr>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w w:val="90"/>
              </w:rPr>
              <w:t>to Bank One, N.A.), as trustee related to Continental Airlines, Inc.’s 4.5% Convertible Notes due 2015 (filed as Exhibit 4.3</w:t>
            </w:r>
          </w:p>
        </w:tc>
      </w:tr>
      <w:tr>
        <w:trPr>
          <w:trHeight w:val="222"/>
        </w:trPr>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w w:val="95"/>
              </w:rPr>
              <w:t>to UAL’s Form 8-K dated October 1, 2010, Commission file number 1-6033, and incorporated herein by reference)</w:t>
            </w:r>
          </w:p>
        </w:tc>
      </w:tr>
      <w:tr>
        <w:trPr>
          <w:trHeight w:val="318"/>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93"/>
              </w:rPr>
              <w:t>*4.6</w:t>
            </w:r>
          </w:p>
        </w:tc>
        <w:tc>
          <w:tcPr>
            <w:tcW w:w="1340" w:type="dxa"/>
            <w:vAlign w:val="bottom"/>
          </w:tcPr>
          <w:p>
            <w:pPr>
              <w:ind w:left="160"/>
              <w:spacing w:after="0"/>
              <w:rPr>
                <w:sz w:val="20"/>
                <w:szCs w:val="20"/>
                <w:color w:val="auto"/>
              </w:rPr>
            </w:pPr>
            <w:r>
              <w:rPr>
                <w:rFonts w:ascii="Arial" w:cs="Arial" w:eastAsia="Arial" w:hAnsi="Arial"/>
                <w:sz w:val="18"/>
                <w:szCs w:val="18"/>
                <w:color w:val="auto"/>
              </w:rPr>
              <w:t>UAL</w:t>
            </w:r>
          </w:p>
        </w:tc>
        <w:tc>
          <w:tcPr>
            <w:tcW w:w="9420" w:type="dxa"/>
            <w:vAlign w:val="bottom"/>
          </w:tcPr>
          <w:p>
            <w:pPr>
              <w:ind w:left="720"/>
              <w:spacing w:after="0"/>
              <w:rPr>
                <w:sz w:val="20"/>
                <w:szCs w:val="20"/>
                <w:color w:val="auto"/>
              </w:rPr>
            </w:pPr>
            <w:r>
              <w:rPr>
                <w:rFonts w:ascii="Arial" w:cs="Arial" w:eastAsia="Arial" w:hAnsi="Arial"/>
                <w:sz w:val="18"/>
                <w:szCs w:val="18"/>
                <w:color w:val="auto"/>
                <w:w w:val="92"/>
              </w:rPr>
              <w:t>Fifth Supplemental Indenture, dated as of May 15, 2014, among United Continental Holdings, Inc., United Airlines, Inc.</w:t>
            </w:r>
          </w:p>
        </w:tc>
      </w:tr>
      <w:tr>
        <w:trPr>
          <w:trHeight w:val="216"/>
        </w:trPr>
        <w:tc>
          <w:tcPr>
            <w:tcW w:w="4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United</w:t>
            </w:r>
          </w:p>
        </w:tc>
        <w:tc>
          <w:tcPr>
            <w:tcW w:w="9420" w:type="dxa"/>
            <w:vAlign w:val="bottom"/>
          </w:tcPr>
          <w:p>
            <w:pPr>
              <w:ind w:left="720"/>
              <w:spacing w:after="0"/>
              <w:rPr>
                <w:sz w:val="20"/>
                <w:szCs w:val="20"/>
                <w:color w:val="auto"/>
              </w:rPr>
            </w:pPr>
            <w:r>
              <w:rPr>
                <w:rFonts w:ascii="Arial" w:cs="Arial" w:eastAsia="Arial" w:hAnsi="Arial"/>
                <w:sz w:val="18"/>
                <w:szCs w:val="18"/>
                <w:color w:val="auto"/>
                <w:w w:val="95"/>
              </w:rPr>
              <w:t>and The Bank of New York Mellon Trust Company, N.A., as trustee (filed as Exhibit 4.1 to UAL’s Form 8-K filed on</w:t>
            </w:r>
          </w:p>
        </w:tc>
      </w:tr>
      <w:tr>
        <w:trPr>
          <w:trHeight w:val="222"/>
        </w:trPr>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rPr>
              <w:t>May 19, 2014, Commission file number 1-6033, and incorporated herein by reference)</w:t>
            </w:r>
          </w:p>
        </w:tc>
      </w:tr>
      <w:tr>
        <w:trPr>
          <w:trHeight w:val="318"/>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93"/>
              </w:rPr>
              <w:t>*4.7</w:t>
            </w:r>
          </w:p>
        </w:tc>
        <w:tc>
          <w:tcPr>
            <w:tcW w:w="1340" w:type="dxa"/>
            <w:vAlign w:val="bottom"/>
          </w:tcPr>
          <w:p>
            <w:pPr>
              <w:ind w:left="160"/>
              <w:spacing w:after="0"/>
              <w:rPr>
                <w:sz w:val="20"/>
                <w:szCs w:val="20"/>
                <w:color w:val="auto"/>
              </w:rPr>
            </w:pPr>
            <w:r>
              <w:rPr>
                <w:rFonts w:ascii="Arial" w:cs="Arial" w:eastAsia="Arial" w:hAnsi="Arial"/>
                <w:sz w:val="18"/>
                <w:szCs w:val="18"/>
                <w:color w:val="auto"/>
              </w:rPr>
              <w:t>UAL</w:t>
            </w:r>
          </w:p>
        </w:tc>
        <w:tc>
          <w:tcPr>
            <w:tcW w:w="9420" w:type="dxa"/>
            <w:vAlign w:val="bottom"/>
          </w:tcPr>
          <w:p>
            <w:pPr>
              <w:ind w:left="720"/>
              <w:spacing w:after="0"/>
              <w:rPr>
                <w:sz w:val="20"/>
                <w:szCs w:val="20"/>
                <w:color w:val="auto"/>
              </w:rPr>
            </w:pPr>
            <w:r>
              <w:rPr>
                <w:rFonts w:ascii="Arial" w:cs="Arial" w:eastAsia="Arial" w:hAnsi="Arial"/>
                <w:sz w:val="18"/>
                <w:szCs w:val="18"/>
                <w:color w:val="auto"/>
                <w:w w:val="90"/>
              </w:rPr>
              <w:t>Indenture, dated as of May 7, 2013, among United Continental Holdings, Inc., United Airlines, Inc. and The Bank of New</w:t>
            </w:r>
          </w:p>
        </w:tc>
      </w:tr>
      <w:tr>
        <w:trPr>
          <w:trHeight w:val="216"/>
        </w:trPr>
        <w:tc>
          <w:tcPr>
            <w:tcW w:w="4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United</w:t>
            </w:r>
          </w:p>
        </w:tc>
        <w:tc>
          <w:tcPr>
            <w:tcW w:w="9420" w:type="dxa"/>
            <w:vAlign w:val="bottom"/>
          </w:tcPr>
          <w:p>
            <w:pPr>
              <w:ind w:left="720"/>
              <w:spacing w:after="0"/>
              <w:rPr>
                <w:sz w:val="20"/>
                <w:szCs w:val="20"/>
                <w:color w:val="auto"/>
              </w:rPr>
            </w:pPr>
            <w:r>
              <w:rPr>
                <w:rFonts w:ascii="Arial" w:cs="Arial" w:eastAsia="Arial" w:hAnsi="Arial"/>
                <w:sz w:val="18"/>
                <w:szCs w:val="18"/>
                <w:color w:val="auto"/>
                <w:w w:val="90"/>
              </w:rPr>
              <w:t>York Mellon Trust Company, N.A., as Trustee (filed as Exhibit 4.1 to UAL’s Form 8-K filed on May 10, 2013, Commission</w:t>
            </w:r>
          </w:p>
        </w:tc>
      </w:tr>
      <w:tr>
        <w:trPr>
          <w:trHeight w:val="222"/>
        </w:trPr>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rPr>
              <w:t>file number 1-6033, and incorporated herein by reference)</w:t>
            </w:r>
          </w:p>
        </w:tc>
      </w:tr>
      <w:tr>
        <w:trPr>
          <w:trHeight w:val="318"/>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93"/>
              </w:rPr>
              <w:t>*4.8</w:t>
            </w:r>
          </w:p>
        </w:tc>
        <w:tc>
          <w:tcPr>
            <w:tcW w:w="1340" w:type="dxa"/>
            <w:vAlign w:val="bottom"/>
          </w:tcPr>
          <w:p>
            <w:pPr>
              <w:ind w:left="160"/>
              <w:spacing w:after="0"/>
              <w:rPr>
                <w:sz w:val="20"/>
                <w:szCs w:val="20"/>
                <w:color w:val="auto"/>
              </w:rPr>
            </w:pPr>
            <w:r>
              <w:rPr>
                <w:rFonts w:ascii="Arial" w:cs="Arial" w:eastAsia="Arial" w:hAnsi="Arial"/>
                <w:sz w:val="18"/>
                <w:szCs w:val="18"/>
                <w:color w:val="auto"/>
              </w:rPr>
              <w:t>UAL</w:t>
            </w:r>
          </w:p>
        </w:tc>
        <w:tc>
          <w:tcPr>
            <w:tcW w:w="9420" w:type="dxa"/>
            <w:vAlign w:val="bottom"/>
          </w:tcPr>
          <w:p>
            <w:pPr>
              <w:ind w:left="720"/>
              <w:spacing w:after="0"/>
              <w:rPr>
                <w:sz w:val="20"/>
                <w:szCs w:val="20"/>
                <w:color w:val="auto"/>
              </w:rPr>
            </w:pPr>
            <w:r>
              <w:rPr>
                <w:rFonts w:ascii="Arial" w:cs="Arial" w:eastAsia="Arial" w:hAnsi="Arial"/>
                <w:sz w:val="18"/>
                <w:szCs w:val="18"/>
                <w:color w:val="auto"/>
                <w:w w:val="89"/>
              </w:rPr>
              <w:t>First Supplemental Indenture, dated as of May 7, 2013, among United Continental Holdings, Inc., United Airlines, Inc. and</w:t>
            </w:r>
          </w:p>
        </w:tc>
      </w:tr>
      <w:tr>
        <w:trPr>
          <w:trHeight w:val="216"/>
        </w:trPr>
        <w:tc>
          <w:tcPr>
            <w:tcW w:w="4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United</w:t>
            </w:r>
          </w:p>
        </w:tc>
        <w:tc>
          <w:tcPr>
            <w:tcW w:w="9420" w:type="dxa"/>
            <w:vAlign w:val="bottom"/>
          </w:tcPr>
          <w:p>
            <w:pPr>
              <w:ind w:left="720"/>
              <w:spacing w:after="0"/>
              <w:rPr>
                <w:sz w:val="20"/>
                <w:szCs w:val="20"/>
                <w:color w:val="auto"/>
              </w:rPr>
            </w:pPr>
            <w:r>
              <w:rPr>
                <w:rFonts w:ascii="Arial" w:cs="Arial" w:eastAsia="Arial" w:hAnsi="Arial"/>
                <w:sz w:val="18"/>
                <w:szCs w:val="18"/>
                <w:color w:val="auto"/>
                <w:w w:val="91"/>
              </w:rPr>
              <w:t>The Bank of New York Mellon Trust Company, N.A., as Trustee, providing for the issuance of 6.375% Senior Notes due</w:t>
            </w:r>
          </w:p>
        </w:tc>
      </w:tr>
      <w:tr>
        <w:trPr>
          <w:trHeight w:val="216"/>
        </w:trPr>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w w:val="92"/>
              </w:rPr>
              <w:t>2018 (filed as Exhibit 4.2 to UAL’s Form 8-K filed on May 10, 2013, Commission file number 1-6033, and incorporated</w:t>
            </w:r>
          </w:p>
        </w:tc>
      </w:tr>
      <w:tr>
        <w:trPr>
          <w:trHeight w:val="222"/>
        </w:trPr>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20" w:type="dxa"/>
            <w:vAlign w:val="bottom"/>
          </w:tcPr>
          <w:p>
            <w:pPr>
              <w:ind w:left="720"/>
              <w:spacing w:after="0"/>
              <w:rPr>
                <w:sz w:val="20"/>
                <w:szCs w:val="20"/>
                <w:color w:val="auto"/>
              </w:rPr>
            </w:pPr>
            <w:r>
              <w:rPr>
                <w:rFonts w:ascii="Arial" w:cs="Arial" w:eastAsia="Arial" w:hAnsi="Arial"/>
                <w:sz w:val="18"/>
                <w:szCs w:val="18"/>
                <w:color w:val="auto"/>
              </w:rPr>
              <w:t>herein by reference)</w:t>
            </w:r>
          </w:p>
        </w:tc>
      </w:tr>
    </w:tbl>
    <w:p>
      <w:pPr>
        <w:ind w:left="720"/>
        <w:spacing w:after="0"/>
        <w:rPr>
          <w:sz w:val="20"/>
          <w:szCs w:val="20"/>
          <w:color w:val="auto"/>
        </w:rPr>
        <w:sectPr>
          <w:pgSz w:w="11900" w:h="16838" w:orient="portrait"/>
          <w:cols w:equalWidth="0" w:num="1">
            <w:col w:w="11220"/>
          </w:cols>
          <w:pgMar w:left="42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UAL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United</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*4.10</w:t>
        <w:tab/>
        <w:t>UAL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United</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*4.11</w:t>
        <w:tab/>
        <w:t>UAL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United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Form of 6.375% Senior Notes due 2018 (filed as Exhibit A to Exhibit 4.2 to UAL’s Form 8-K filed on May 10, 2013, Commission file number 1-6033, and incorporated herein by reference)</w:t>
      </w:r>
    </w:p>
    <w:p>
      <w:pPr>
        <w:spacing w:after="0" w:line="9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Form of Notation of Note Guarantee (filed as Exhibit B to Exhibit 4.2 to UAL’s Form 8-K filed on May 10, 2013, Commission file number 1-6033, and incorporated herein by reference)</w:t>
      </w:r>
    </w:p>
    <w:p>
      <w:pPr>
        <w:spacing w:after="0" w:line="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Second Supplemental Indenture, dated as of November 8, 2013, among United Continental Holdings, Inc., United Airlines, Inc. and The Bank of New York Mellon Trust Company, N.A., as Trustee, providing for the issuance of 6.000% Senior Notes due 2020 (filed as Exhibit 4.2 to UAL’s Form 8-K filed on November 12, 2013, Commission file number 1-6033, and incorporated herein by reference)</w:t>
      </w:r>
    </w:p>
    <w:p>
      <w:pPr>
        <w:spacing w:after="0" w:line="89" w:lineRule="exact"/>
        <w:rPr>
          <w:sz w:val="20"/>
          <w:szCs w:val="20"/>
          <w:color w:val="auto"/>
        </w:rPr>
      </w:pPr>
    </w:p>
    <w:p>
      <w:pPr>
        <w:sectPr>
          <w:pgSz w:w="11900" w:h="16838" w:orient="portrait"/>
          <w:cols w:equalWidth="0" w:num="2">
            <w:col w:w="1800" w:space="720"/>
            <w:col w:w="8700"/>
          </w:cols>
          <w:pgMar w:left="420" w:top="388" w:right="259" w:bottom="1440" w:gutter="0" w:footer="0" w:header="0"/>
          <w:type w:val="continuous"/>
        </w:sectPr>
      </w:pPr>
    </w:p>
    <w:p>
      <w:pPr>
        <w:spacing w:after="0"/>
        <w:tabs>
          <w:tab w:leader="none" w:pos="600" w:val="left"/>
        </w:tabs>
        <w:rPr>
          <w:sz w:val="20"/>
          <w:szCs w:val="20"/>
          <w:color w:val="auto"/>
        </w:rPr>
      </w:pPr>
      <w:r>
        <w:rPr>
          <w:rFonts w:ascii="Arial" w:cs="Arial" w:eastAsia="Arial" w:hAnsi="Arial"/>
          <w:sz w:val="18"/>
          <w:szCs w:val="18"/>
          <w:color w:val="auto"/>
        </w:rPr>
        <w:t>*4.12</w:t>
        <w:tab/>
        <w:t>UAL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United</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*4.13</w:t>
        <w:tab/>
        <w:t>UAL</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United</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Form of 6.000% Senior Notes due 2020 (filed as Exhibit 4.3 to UAL’s Form 8-K filed on November 12, 2013, Commission file number 1-6033, and incorporated herein by reference)</w:t>
      </w:r>
    </w:p>
    <w:p>
      <w:pPr>
        <w:spacing w:after="0" w:line="9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Form of Notation of Note Guarantee (filed as Exhibit 4.4 to UAL’s Form 8-K filed on November 12, 2013, Commission file number 1-6033, and incorporated herein by reference)</w:t>
      </w:r>
    </w:p>
    <w:p>
      <w:pPr>
        <w:spacing w:after="0" w:line="1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121</w:t>
      </w:r>
    </w:p>
    <w:p>
      <w:pPr>
        <w:sectPr>
          <w:pgSz w:w="11900" w:h="16838" w:orient="portrait"/>
          <w:cols w:equalWidth="0" w:num="2">
            <w:col w:w="1800" w:space="720"/>
            <w:col w:w="8700"/>
          </w:cols>
          <w:pgMar w:left="420" w:top="388" w:right="25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Material Contracts</w:t>
            </w:r>
          </w:p>
        </w:tc>
        <w:tc>
          <w:tcPr>
            <w:tcW w:w="7180" w:type="dxa"/>
            <w:vAlign w:val="bottom"/>
          </w:tcPr>
          <w:p>
            <w:pPr>
              <w:spacing w:after="0"/>
              <w:rPr>
                <w:sz w:val="19"/>
                <w:szCs w:val="19"/>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5"/>
              </w:rPr>
              <w:t>United Continental Holdings, Inc. Profit Sharing Plan (amended and restated effective January 1, 2014, except as</w:t>
            </w: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w w:val="99"/>
              </w:rPr>
              <w:t>otherwise provided therein) (filed as Exhibit 10.1 to UAL’s Form 10-K for the year ended December 31, 2013,</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3"/>
              </w:rPr>
              <w:t>First Amendment to United Continental Holdings, Inc. Profit Sharing Plan (effective January 1, 2014) (filed as Exhibit</w:t>
            </w: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w w:val="93"/>
              </w:rPr>
              <w:t>10.2 to UAL’s Form 10-K for the year ended December 31, 2014, Commission file number 1-6033, and incorporated</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†10.3</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rPr>
              <w:t>Second Amendment to United Continental Holdings, Inc. Profit Sharing Plan (effective January 1, 2015)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December 31, 2015, among United Continental Holdings, Inc., United Airlines, Inc. and</w:t>
            </w:r>
          </w:p>
        </w:tc>
      </w:tr>
      <w:tr>
        <w:trPr>
          <w:trHeight w:val="216"/>
        </w:trPr>
        <w:tc>
          <w:tcPr>
            <w:tcW w:w="88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660" w:type="dxa"/>
            <w:vAlign w:val="bottom"/>
            <w:gridSpan w:val="2"/>
          </w:tcPr>
          <w:p>
            <w:pPr>
              <w:spacing w:after="0"/>
              <w:rPr>
                <w:sz w:val="20"/>
                <w:szCs w:val="20"/>
                <w:color w:val="auto"/>
              </w:rPr>
            </w:pPr>
            <w:r>
              <w:rPr>
                <w:rFonts w:ascii="Arial" w:cs="Arial" w:eastAsia="Arial" w:hAnsi="Arial"/>
                <w:sz w:val="18"/>
                <w:szCs w:val="18"/>
                <w:color w:val="auto"/>
                <w:w w:val="94"/>
              </w:rPr>
              <w:t>Oscar Munoz (filed as Exhibit 10.1 to UAL’s Form 8-K filed January 7, 2016, Commission file number 1-10323, and</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89"/>
              </w:rPr>
              <w:t>SERP Agreement, dated as of October 1, 2010, by and among United Continental Holdings, Inc., Continental Airlines, Inc.</w:t>
            </w: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w w:val="90"/>
              </w:rPr>
              <w:t>and James E. Compton (filed as Exhibit 10.12 to UAL’s Form 10-K for the year ended December 31, 2010, Commission</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89"/>
              </w:rPr>
              <w:t>SERP Agreement, dated as of October 1, 2010, by and among United Continental Holdings, Inc., Continental Airlines, Inc.</w:t>
            </w:r>
          </w:p>
        </w:tc>
      </w:tr>
      <w:tr>
        <w:trPr>
          <w:trHeight w:val="216"/>
        </w:trPr>
        <w:tc>
          <w:tcPr>
            <w:tcW w:w="88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660" w:type="dxa"/>
            <w:vAlign w:val="bottom"/>
            <w:gridSpan w:val="2"/>
          </w:tcPr>
          <w:p>
            <w:pPr>
              <w:spacing w:after="0"/>
              <w:rPr>
                <w:sz w:val="20"/>
                <w:szCs w:val="20"/>
                <w:color w:val="auto"/>
              </w:rPr>
            </w:pPr>
            <w:r>
              <w:rPr>
                <w:rFonts w:ascii="Arial" w:cs="Arial" w:eastAsia="Arial" w:hAnsi="Arial"/>
                <w:sz w:val="18"/>
                <w:szCs w:val="18"/>
                <w:color w:val="auto"/>
                <w:w w:val="90"/>
              </w:rPr>
              <w:t>and Gerald Laderman (filed as Exhibit 10.2 to UAL’s Form 10-Q for the quarter ended September 30, 2015, Commission</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4"/>
              </w:rPr>
              <w:t>United Continental Holdings, Inc. Senior Officer Severance Plan (effective October 1, 2014) (filed as Exhibit 10.1 to</w:t>
            </w:r>
          </w:p>
        </w:tc>
      </w:tr>
      <w:tr>
        <w:trPr>
          <w:trHeight w:val="216"/>
        </w:trPr>
        <w:tc>
          <w:tcPr>
            <w:tcW w:w="88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660" w:type="dxa"/>
            <w:vAlign w:val="bottom"/>
            <w:gridSpan w:val="2"/>
          </w:tcPr>
          <w:p>
            <w:pPr>
              <w:spacing w:after="0"/>
              <w:rPr>
                <w:sz w:val="20"/>
                <w:szCs w:val="20"/>
                <w:color w:val="auto"/>
              </w:rPr>
            </w:pPr>
            <w:r>
              <w:rPr>
                <w:rFonts w:ascii="Arial" w:cs="Arial" w:eastAsia="Arial" w:hAnsi="Arial"/>
                <w:sz w:val="18"/>
                <w:szCs w:val="18"/>
                <w:color w:val="auto"/>
                <w:w w:val="90"/>
              </w:rPr>
              <w:t>UAL’s Form 10-Q for the quarter ended September 30, 2015, Commission file number 1-10323, and incorporated herein</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October 1, 2010, by and among United Continental Holdings, Inc., United Air Lines,</w:t>
            </w: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w w:val="95"/>
              </w:rPr>
              <w:t>Inc., Continental Airlines, Inc. and Jeffery A. Smisek (filed as Exhibit 10.21 to UAL’s Form 10-K for the year ended</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December 31, 2010, 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4"/>
              </w:rPr>
              <w:t>Confidentiality and Non-Competition Agreement, dated April 23, 2009, by and among Continental Airlines, Inc. and</w:t>
            </w: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w w:val="94"/>
              </w:rPr>
              <w:t>Jeffery A. Smisek (filed as Exhibit 10.1 to Continental Airlines, Inc.’s Quarterly Report on Form 10-Q for the quarter</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ended March 31, 2009,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0"/>
              </w:rPr>
              <w:t>Separation Agreement, dated as of September 8, 2015, by and among United Continental Holdings, Inc., United Airlines,</w:t>
            </w:r>
          </w:p>
        </w:tc>
      </w:tr>
      <w:tr>
        <w:trPr>
          <w:trHeight w:val="216"/>
        </w:trPr>
        <w:tc>
          <w:tcPr>
            <w:tcW w:w="88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660" w:type="dxa"/>
            <w:vAlign w:val="bottom"/>
            <w:gridSpan w:val="2"/>
          </w:tcPr>
          <w:p>
            <w:pPr>
              <w:spacing w:after="0"/>
              <w:rPr>
                <w:sz w:val="20"/>
                <w:szCs w:val="20"/>
                <w:color w:val="auto"/>
              </w:rPr>
            </w:pPr>
            <w:r>
              <w:rPr>
                <w:rFonts w:ascii="Arial" w:cs="Arial" w:eastAsia="Arial" w:hAnsi="Arial"/>
                <w:sz w:val="18"/>
                <w:szCs w:val="18"/>
                <w:color w:val="auto"/>
                <w:w w:val="91"/>
              </w:rPr>
              <w:t>Inc. and Jeffery A. Smisek (filed as Exhibit 10.1 to UAL’s Form 8-K filed September 8, 2015, Commission file number 1-</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6033, and incorporated herein by reference)</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†10.11</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rPr>
              <w:t>Description of Benefits for Officers of United Continental Holdings, Inc. and United Airlines, Inc.</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660" w:type="dxa"/>
            <w:vAlign w:val="bottom"/>
            <w:gridSpan w:val="2"/>
          </w:tcPr>
          <w:p>
            <w:pPr>
              <w:spacing w:after="0"/>
              <w:rPr>
                <w:sz w:val="20"/>
                <w:szCs w:val="20"/>
                <w:color w:val="auto"/>
              </w:rPr>
            </w:pPr>
            <w:r>
              <w:rPr>
                <w:rFonts w:ascii="Arial" w:cs="Arial" w:eastAsia="Arial" w:hAnsi="Arial"/>
                <w:sz w:val="18"/>
                <w:szCs w:val="18"/>
                <w:color w:val="auto"/>
                <w:w w:val="93"/>
              </w:rPr>
              <w:t>United Continental Holdings, Inc. Officer Travel Policy (filed as Exhibit 10.24 to UAL’s Form 10-K for the year ended</w:t>
            </w:r>
          </w:p>
        </w:tc>
      </w:tr>
      <w:tr>
        <w:trPr>
          <w:trHeight w:val="222"/>
        </w:trPr>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December 31, 2010, Commission file number 1-6033, and incorporated herein by reference)</w:t>
            </w:r>
          </w:p>
        </w:tc>
      </w:tr>
      <w:tr>
        <w:trPr>
          <w:trHeight w:val="365"/>
        </w:trPr>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60" w:type="dxa"/>
            <w:vAlign w:val="bottom"/>
            <w:gridSpan w:val="2"/>
          </w:tcPr>
          <w:p>
            <w:pPr>
              <w:ind w:left="2840"/>
              <w:spacing w:after="0"/>
              <w:rPr>
                <w:sz w:val="20"/>
                <w:szCs w:val="20"/>
                <w:color w:val="auto"/>
              </w:rPr>
            </w:pPr>
            <w:r>
              <w:rPr>
                <w:rFonts w:ascii="Arial" w:cs="Arial" w:eastAsia="Arial" w:hAnsi="Arial"/>
                <w:sz w:val="18"/>
                <w:szCs w:val="18"/>
                <w:color w:val="auto"/>
              </w:rPr>
              <w:t>122</w:t>
            </w:r>
          </w:p>
        </w:tc>
      </w:tr>
    </w:tbl>
    <w:p>
      <w:pPr>
        <w:ind w:left="284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2" w:name="page123"/>
    <w:bookmarkEnd w:id="122"/>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*†10.13</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5"/>
              </w:rPr>
              <w:t>United Continental Holdings, Inc. 2008 Incentive Compensation Plan (filed as Annex A to UAL Corporation’s 2013</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8"/>
              </w:rPr>
              <w:t>Definitive Proxy Statement filed on April 26, 2013, Commission file number 1-6033, and incorporated herein by</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reference) (now named the United Continental Holdings, Inc. 2008 Incentive Compensation Plan)</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*†10.14</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2"/>
              </w:rPr>
              <w:t>Amendment No. 1 to the United Continental Holdings, Inc. 2008 Incentive Compensation Plan (changing the name to</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6"/>
              </w:rPr>
              <w:t>United Continental Holdings, Inc. 2008 Incentive Compensation Plan) (filed as Annex A to UAL’s Definitive Proxy</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Statement filed on April 26, 2013, 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*†10.15</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89"/>
              </w:rPr>
              <w:t>Form of Stock Option Award Notice pursuant to the United Continental Holdings, Inc. 2008 Incentive Compensation Plan</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2"/>
              </w:rPr>
              <w:t>(filed as Exhibit 10.25 to UAL’s Form 10-Q for the quarter ended June 30, 2008, Commission file number 1-6033, and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*†10.16</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0"/>
              </w:rPr>
              <w:t>Form of Restricted Share Award Notice pursuant to the United Continental Holdings, Inc. 2008 Incentive Compensation</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6"/>
              </w:rPr>
              <w:t>Plan (2012 and 2013 awards) (filed as Exhibit 10.37 to UAL’s Form 10-K for the year ended December 31, 2011,</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Commission file number 1-6033, and incorporated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*†10.17</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0"/>
              </w:rPr>
              <w:t>Form of Restricted Share Award Notice pursuant to the United Continental Holdings, Inc. 2008 Incentive Compensation</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1"/>
              </w:rPr>
              <w:t>Plan (awards during and after 2014) (filed as Exhibit 10.27 to UAL’s Form 10-K for the year ended December 31, 2013,</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Commission file number 1-6033, and incorporated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*†10.18</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2"/>
              </w:rPr>
              <w:t>United Continental Holdings, Inc. Performance-Based Restricted Stock Unit Program (adopted pursuant to the United</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2"/>
              </w:rPr>
              <w:t>Continental Holdings, Inc. 2008 Incentive Compensation Plan) (filed as Exhibit 10.31 to UAL’s Form 10-K for the year</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ended December 31, 2010, 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*†10.19</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1"/>
              </w:rPr>
              <w:t>First Amendment to the United Continental Holdings, Inc. Performance-Based Restricted Stock Unit Program (adopted</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8"/>
              </w:rPr>
              <w:t>pursuant to the United Continental Holdings, Inc. 2008 Incentive Compensation Plan) (effective with respect to</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89"/>
              </w:rPr>
              <w:t>performance periods beginning on or after January 1, 2012) (filed as Exhibit 10.33 to UAL’s Form 10-K for the year ended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December 31, 2011, 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*†10.20</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89"/>
              </w:rPr>
              <w:t>Second Amendment to the United Continental Holdings, Inc. Performance-Based Restricted Stock Unit Program (adopted</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2"/>
              </w:rPr>
              <w:t>pursuant to the United Continental Holdings, Inc. 2008 Incentive Compensation Plan) (filed as Exhibit 10.29 to UAL’s</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88"/>
              </w:rPr>
              <w:t>Form 10-K for the year ended December 31, 2012, 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0"/>
              </w:rPr>
              <w:t>*†10.21</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90"/>
              </w:rPr>
              <w:t>Third Amendment to the United Continental Holdings, Inc. Performance-Based Restricted Stock Unit Program (adopted</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93"/>
              </w:rPr>
              <w:t>pursuant to the United Continental Holdings, Inc. 2008 Incentive Compensation Plan) (filed as Exhibit 10.1 to UAL’s</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w w:val="89"/>
              </w:rPr>
              <w:t>Form 10-Q for the quarter ended March 31, 2015, 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rPr>
              <w:t>†10.22</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40" w:type="dxa"/>
            <w:vAlign w:val="bottom"/>
          </w:tcPr>
          <w:p>
            <w:pPr>
              <w:ind w:left="600"/>
              <w:spacing w:after="0"/>
              <w:rPr>
                <w:sz w:val="20"/>
                <w:szCs w:val="20"/>
                <w:color w:val="auto"/>
              </w:rPr>
            </w:pPr>
            <w:r>
              <w:rPr>
                <w:rFonts w:ascii="Arial" w:cs="Arial" w:eastAsia="Arial" w:hAnsi="Arial"/>
                <w:sz w:val="18"/>
                <w:szCs w:val="18"/>
                <w:color w:val="auto"/>
                <w:w w:val="89"/>
              </w:rPr>
              <w:t>Fourth Amendment to the United Continental Holdings, Inc. Performance-Based Restricted Stock Unit Program (adopted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40" w:type="dxa"/>
            <w:vAlign w:val="bottom"/>
          </w:tcPr>
          <w:p>
            <w:pPr>
              <w:ind w:left="600"/>
              <w:spacing w:after="0"/>
              <w:rPr>
                <w:sz w:val="20"/>
                <w:szCs w:val="20"/>
                <w:color w:val="auto"/>
              </w:rPr>
            </w:pPr>
            <w:r>
              <w:rPr>
                <w:rFonts w:ascii="Arial" w:cs="Arial" w:eastAsia="Arial" w:hAnsi="Arial"/>
                <w:sz w:val="18"/>
                <w:szCs w:val="18"/>
                <w:color w:val="auto"/>
              </w:rPr>
              <w:t>pursuant to the United Continental Holdings, Inc. 2008 Incentive Compensation Plan)</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123</w:t>
            </w:r>
          </w:p>
        </w:tc>
      </w:tr>
    </w:tbl>
    <w:p>
      <w:pPr>
        <w:ind w:left="344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3" w:name="page124"/>
    <w:bookmarkEnd w:id="123"/>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5"/>
              </w:rPr>
              <w:t>Form of Performance-Based Restricted Stock Unit Award Notice pursuant to the United Continental Holdings, Inc.</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Performance-Based Restricted Stock Unit Program (ROIC awards)</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5"/>
              </w:rPr>
              <w:t>Form of Performance-Based Restricted Stock Unit Award Notice pursuant to the United Continental Holdings, Inc.</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Performance-Based Restricted Stock Unit Program (Relative Pre-tax Margin awards) (for performance periods beginning</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89"/>
              </w:rPr>
              <w:t>on or after January 1, 2015) (filed as Exhibit 10.2 to UAL’s Form 10-Q for the quarter ended March 31, 2015, Commission</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88"/>
              </w:rPr>
              <w:t>United Continental Holdings, Inc. Incentive Plan 2010, as amended and restated February 17, 2011 (previously named the</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5"/>
              </w:rPr>
              <w:t>Continental Airlines, Inc. Incentive Plan 2010) (filed as Annex B to UAL’s Definitive Proxy Statement filed April 26,</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2013, 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2"/>
              </w:rPr>
              <w:t>First Amendment to the United Continental Holdings, Inc. Incentive Plan 2010, as amended and restated February 17,</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4"/>
              </w:rPr>
              <w:t>2011 (filed as Annex B to UAL’s 2013 Definitive Proxy Statement filed on April 26, 2013, Commission file number 1-</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6033,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1"/>
              </w:rPr>
              <w:t>United Continental Holdings, Inc. Annual Incentive Program (adopted pursuant to the United Continental Holdings, Inc.</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88"/>
              </w:rPr>
              <w:t>Incentive Plan 2010) (as amended and restated February 21, 2013) (filed as Exhibit 10.43 to UAL’s Form 10-K for the year</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ended December 31, 2012, 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United Continental Holdings, Inc. Long-Term Relative Performance Program (adopted pursuant to the United Continental</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2"/>
              </w:rPr>
              <w:t>Holdings, Inc. Incentive Plan 2010) (filed as Exhibit 10.43 to UAL’s Form 10-K for the year ended December 31, 2010,</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89"/>
              </w:rPr>
              <w:t>First Amendment to the United Continental Holdings, Inc. Long-Term Relative Performance Program (adopted pursuant to</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the United Continental Holdings, Inc. Incentive Plan 2010) (effective with respect to performance periods beginning on or</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89"/>
              </w:rPr>
              <w:t>after January 1, 2012) (filed as Exhibit 10.49 to UAL’s Form 10-K for the year ended December 31, 2011, Commission file</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88"/>
              </w:rPr>
              <w:t>Second Amendment to the United Continental Holdings, Inc. Long-Term Relative Performance Program (adopted pursuant</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to the United Continental Holdings, Inc. Incentive Plan 2010) (effective with respect to performance periods beginning on</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9"/>
              </w:rPr>
              <w:t>or after January 1, 2014) (filed as Exhibit 10.40.2 to UAL’s Form 10-K for the year ended December 31, 2013,</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4"/>
              </w:rPr>
              <w:t>Form of Annual Incentive Program Award Notice pursuant to the United Continental Holdings, Inc. Annual Incentive</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1"/>
              </w:rPr>
              <w:t>Program (for fiscal years beginning on or after January 1, 2013) (filed as Exhibit 10.47 to UAL’s Form 10-K for the year</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ended December 31, 2012, Commission file number 1-6033, and incorporated herein by reference)</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124</w:t>
            </w:r>
          </w:p>
        </w:tc>
      </w:tr>
    </w:tbl>
    <w:p>
      <w:pPr>
        <w:ind w:left="3440"/>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4" w:name="page125"/>
    <w:bookmarkEnd w:id="124"/>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3"/>
              </w:rPr>
              <w:t>Form of Long-Term Relative Performance Award Notice pursuant to the United Continental Holdings, Inc. Long-Term</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88"/>
              </w:rPr>
              <w:t>Relative Performance Program (for use with respect to performance periods beginning January 1, 2012 and 2013) (filed as</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7"/>
              </w:rPr>
              <w:t>Exhibit 10.53 to UAL’s Form 10-K for the year ended December 31, 2011, Commission file number 1-6033, and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3"/>
              </w:rPr>
              <w:t>Form of Long-Term Relative Performance Award Notice pursuant to the United Continental Holdings, Inc. Long-Term</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Relative Performance Program (for use with respect to performance periods beginning January 1, 2014) (filed as Exhibit</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2"/>
              </w:rPr>
              <w:t>10.45 to UAL’s Form 10-K for the year ended December 31, 2013, Commission file number 1-6033, and incorporated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Description of Compensation and Benefits for United Continental Holdings, Inc. Non-Employee Directors (filed as Exhibit</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2"/>
              </w:rPr>
              <w:t>10.30 to UAL’s Form 10-K for the year ended December 31, 2014, Commission file number 1-6033, and incorporated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1"/>
              </w:rPr>
              <w:t>United Continental Holdings, Inc. 2006 Director Equity Incentive Plan (as amended and restated, effective February 20,</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3"/>
              </w:rPr>
              <w:t>2014, filed as Annex A to UAL’s Definitive Proxy Statement filed April 25, 2014, Commission file number 1-6033, and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1"/>
              </w:rPr>
              <w:t>Form of Share Unit Award Notice pursuant to the United Continental Holdings, Inc. 2006 Director Equity Incentive Plan</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3"/>
              </w:rPr>
              <w:t>(filed as Exhibit 10.9 to UAL’s Form 10-Q for the quarter ended June 30, 2014, Commission file number 1-6033, and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incorporated herein by reference) (for awards granted on or after June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Continental Airlines, Inc. 1998 Stock Incentive Plan (filed as Exhibit 4.3 to Continental’s Form S-8 Registration Statement</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(No. 333-57297),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8"/>
              </w:rPr>
              <w:t>Amendment No. 1 to 1998 Incentive Plan, 1997 Incentive Plan and 1994 Incentive Plan (filed as Exhibit 10.2 to</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3"/>
              </w:rPr>
              <w:t>Continental’s Quarterly Report on Form 10-Q for the quarter ended June 30, 2001, Commission file no. 1-10323, and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1"/>
              </w:rPr>
              <w:t>Amendment to 1998 Incentive Plan, 1997 Incentive Plan and 1994 Incentive Plan (filed as Exhibit 10.5 to Continental’s</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2"/>
              </w:rPr>
              <w:t>Quarterly Report on Form 10-Q for the quarter ended March 31, 2004, Commission file no. 1-10323 and incorporated</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5"/>
              </w:rPr>
              <w:t>Form of Outside Director Stock Option Grant pursuant to the Continental Airlines, Inc. 1998 Incentive Plan (filed as</w:t>
            </w:r>
          </w:p>
        </w:tc>
      </w:tr>
      <w:tr>
        <w:trPr>
          <w:trHeight w:val="216"/>
        </w:trPr>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2"/>
              </w:rPr>
              <w:t>Exhibit 10.12(c) to Continental’s Form 10-K for the year ended December 31, 2006, Commission file number 1-10323,</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Continental Airlines, Inc. Incentive Plan 2000, as amended and restated (filed as Exhibit 10.1 to Continental’s Form 10-Q</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w w:val="98"/>
              </w:rPr>
              <w:t>for the quarter ended March 31, 2002,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90"/>
              </w:rPr>
              <w:t>Amendment to Incentive Plan 2000, dated as of March 12, 2004 (filed as Exhibit 10.6 to Continental’s Form 10-Q for the</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quarter ended March 31, 2004,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260" w:type="dxa"/>
            <w:vAlign w:val="bottom"/>
          </w:tcPr>
          <w:p>
            <w:pPr>
              <w:ind w:left="280"/>
              <w:spacing w:after="0"/>
              <w:rPr>
                <w:sz w:val="20"/>
                <w:szCs w:val="20"/>
                <w:color w:val="auto"/>
              </w:rPr>
            </w:pPr>
            <w:r>
              <w:rPr>
                <w:rFonts w:ascii="Arial" w:cs="Arial" w:eastAsia="Arial" w:hAnsi="Arial"/>
                <w:sz w:val="18"/>
                <w:szCs w:val="18"/>
                <w:color w:val="auto"/>
              </w:rPr>
              <w:t>UAL</w:t>
            </w:r>
          </w:p>
        </w:tc>
        <w:tc>
          <w:tcPr>
            <w:tcW w:w="9280" w:type="dxa"/>
            <w:vAlign w:val="bottom"/>
          </w:tcPr>
          <w:p>
            <w:pPr>
              <w:ind w:left="600"/>
              <w:spacing w:after="0"/>
              <w:rPr>
                <w:sz w:val="20"/>
                <w:szCs w:val="20"/>
                <w:color w:val="auto"/>
              </w:rPr>
            </w:pPr>
            <w:r>
              <w:rPr>
                <w:rFonts w:ascii="Arial" w:cs="Arial" w:eastAsia="Arial" w:hAnsi="Arial"/>
                <w:sz w:val="18"/>
                <w:szCs w:val="18"/>
                <w:color w:val="auto"/>
                <w:w w:val="89"/>
              </w:rPr>
              <w:t>Second Amendment to Incentive Plan 2000, dated as of June 6, 2006 (filed as Exhibit 10.1 to Continental’s Form 10-Q for</w:t>
            </w:r>
          </w:p>
        </w:tc>
      </w:tr>
      <w:tr>
        <w:trPr>
          <w:trHeight w:val="222"/>
        </w:trPr>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80" w:type="dxa"/>
            <w:vAlign w:val="bottom"/>
          </w:tcPr>
          <w:p>
            <w:pPr>
              <w:ind w:left="600"/>
              <w:spacing w:after="0"/>
              <w:rPr>
                <w:sz w:val="20"/>
                <w:szCs w:val="20"/>
                <w:color w:val="auto"/>
              </w:rPr>
            </w:pPr>
            <w:r>
              <w:rPr>
                <w:rFonts w:ascii="Arial" w:cs="Arial" w:eastAsia="Arial" w:hAnsi="Arial"/>
                <w:sz w:val="18"/>
                <w:szCs w:val="18"/>
                <w:color w:val="auto"/>
              </w:rPr>
              <w:t>the quarter ended June 30, 2006, Commission file number 1-10323, and incorporated herein by reference)</w:t>
            </w:r>
          </w:p>
        </w:tc>
      </w:tr>
      <w:tr>
        <w:trPr>
          <w:trHeight w:val="365"/>
        </w:trPr>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125</w:t>
            </w:r>
          </w:p>
        </w:tc>
      </w:tr>
    </w:tbl>
    <w:p>
      <w:pPr>
        <w:ind w:left="3440"/>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Third Amendment to Incentive Plan 2000, dated as of September 14, 2006 (filed as Exhibit 10.1 to Continental’s Form 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Q for the quarter ended September 30, 2006,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8"/>
              </w:rPr>
              <w:t>Form of Outside Director Stock Option Agreement pursuant to Incentive Plan 2000 (filed as Exhibit 10.14(b) to</w:t>
            </w: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Continental’s Form 10-K for the year ended December 31, 2000, Commission file number 1-10323, and incorporated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Form of Outside Director Stock Option Grant pursuant to Incentive Plan 2000 (filed as Exhibit 10.1 to Continental’s Form</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10-Q for the quarter ended March 31, 2008,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Form of Non-Employee Director Option Grant Document pursuant to Continental Airlines, Inc. Incentive Plan 2010, as</w:t>
            </w: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amended and restated through February 17, 2010 (filed as Exhibit 10.2(a) to Continental’s Form 10-K for the year ended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December 31, 2009,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8"/>
              </w:rPr>
              <w:t>United Air Lines, Inc. Management Cash Direct &amp; Cash Match Program (amended and restated effective January 1, 2014)</w:t>
            </w: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(filed as Exhibit 10.64 to UAL’s Form 10-K for the year ended December 31, 2013,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United Continental Holdings, Inc. Executive Severance Plan (effective October 1, 2014) (filed as Exhibit 10.1 to UAL’s</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Form 8-K filed June 20, 2014, Commission file number 1-10323,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Airbus A350-900XWB Purchase Agreement, dated March 5, 2010, by and among Airbus S.A.S and United Air Lines. Inc.</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rPr>
              <w:t>(filed as Exhibit 10.27 to UAL’s</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Form 10-Q for the quarter ended March 31, 2010, Commission file number 1-6033, and incorporated herein by reference)</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1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10.28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2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10.29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3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10.30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4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10.31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*^10.55</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5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10.32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65"/>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180" w:type="dxa"/>
            <w:vAlign w:val="bottom"/>
          </w:tcPr>
          <w:p>
            <w:pPr>
              <w:ind w:left="3380"/>
              <w:spacing w:after="0"/>
              <w:rPr>
                <w:sz w:val="20"/>
                <w:szCs w:val="20"/>
                <w:color w:val="auto"/>
              </w:rPr>
            </w:pPr>
            <w:r>
              <w:rPr>
                <w:rFonts w:ascii="Arial" w:cs="Arial" w:eastAsia="Arial" w:hAnsi="Arial"/>
                <w:sz w:val="18"/>
                <w:szCs w:val="18"/>
                <w:color w:val="auto"/>
              </w:rPr>
              <w:t>126</w:t>
            </w:r>
          </w:p>
        </w:tc>
      </w:tr>
    </w:tbl>
    <w:p>
      <w:pPr>
        <w:ind w:left="338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*^10.56</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6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10.33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*^10.57</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7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10.34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*^10.58</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8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10.35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*^10.59</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Letter Agreement No. 9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10.36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*^10.60</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Letter Agreement No. 10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10.37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*^10.61</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Letter Agreement No. 11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10.38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*^10.62</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Letter Agreement No. 12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10.39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*^10.63</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Letter Agreement No. 13 to the Airbus A350-900XWB Purchase Agreement, dated March 5, 2010, by and among Airbus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5"/>
              </w:rPr>
              <w:t>S.A.S and United Air Lines. Inc. (filed as Exhibit 10.40 to UAL’s Form 10-Q for the quarter ended March 31, 2010,</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*^10.64</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Amendment No. 1 to the Airbus A350-900XWB Purchase Agreement, dated June 25, 2010, by and among Airbus S.A.S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and United Air Lines, Inc. (filed as Exhibit 10.6 to UAL’s Form 10-Q for the quarter ended June 30, 2010, Commission</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*^10.65</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Amendment No. 2 to the Airbus A350-900XWB Purchase Agreement, dated June 19, 2013 (filed as Exhibit 10.8 to UAL’s</w:t>
            </w:r>
          </w:p>
        </w:tc>
      </w:tr>
      <w:tr>
        <w:trPr>
          <w:trHeight w:val="236"/>
        </w:trPr>
        <w:tc>
          <w:tcPr>
            <w:tcW w:w="880" w:type="dxa"/>
            <w:vAlign w:val="bottom"/>
          </w:tcPr>
          <w:p>
            <w:pPr>
              <w:spacing w:after="0"/>
              <w:rPr>
                <w:sz w:val="20"/>
                <w:szCs w:val="20"/>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Form 10-Q for the quarter ended June 30, 2013, Commission file number 1-6033,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*^10.66</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Amended and Restated Letter Agreement No. 2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rPr>
              <w:t>(filed as Exhibit 10.9 to UAL’s</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Form 10-Q for the quarter ended June 30, 2013, Commission file number 1-6033, and incorporated herein by reference)</w:t>
            </w:r>
          </w:p>
        </w:tc>
      </w:tr>
      <w:tr>
        <w:trPr>
          <w:trHeight w:val="378"/>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180" w:type="dxa"/>
            <w:vAlign w:val="bottom"/>
          </w:tcPr>
          <w:p>
            <w:pPr>
              <w:ind w:left="3380"/>
              <w:spacing w:after="0"/>
              <w:rPr>
                <w:sz w:val="20"/>
                <w:szCs w:val="20"/>
                <w:color w:val="auto"/>
              </w:rPr>
            </w:pPr>
            <w:r>
              <w:rPr>
                <w:rFonts w:ascii="Arial" w:cs="Arial" w:eastAsia="Arial" w:hAnsi="Arial"/>
                <w:sz w:val="18"/>
                <w:szCs w:val="18"/>
                <w:color w:val="auto"/>
              </w:rPr>
              <w:t>127</w:t>
            </w:r>
          </w:p>
        </w:tc>
      </w:tr>
    </w:tbl>
    <w:p>
      <w:pPr>
        <w:ind w:left="338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7" w:name="page128"/>
    <w:bookmarkEnd w:id="127"/>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*^10.67</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9"/>
              </w:rPr>
              <w:t>Amended and Restated Letter Agreement No. 3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10.10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*^10.68</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9"/>
              </w:rPr>
              <w:t>Amended and Restated Letter Agreement No. 4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10.11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*^10.69</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9"/>
              </w:rPr>
              <w:t>Amended and Restated Letter Agreement No. 5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10.12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*^10.70</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9"/>
              </w:rPr>
              <w:t>Amended and Restated Letter Agreement No. 6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10.13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*^10.71</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9"/>
              </w:rPr>
              <w:t>Amended and Restated Letter Agreement No. 7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10.14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*^10.72</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8"/>
              </w:rPr>
              <w:t>Amended and Restated Letter Agreement No. 10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10.15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*^10.73</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88"/>
              </w:rPr>
              <w:t>Amended and Restated Letter Agreement No. 12 to the Airbus A350-900XWB Purchase Agreement, dated June 19, 2013</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(filed as Exhibit 10.16 to UAL’s Form 10-Q for the quarter ended June 30, 2013, Commission file number 1-6033,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*^10.74</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rPr>
              <w:t>Purchase Agreement No. 1951, including exhibits and side letters thereto, dated</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July 23, 1996, by and among Continental and Boeing (filed as Exhibit 10.8 to Continental’s Form 10-Q for the quarter</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ended June 30, 1996, Commission file number 1-10323, and incorporated herein by reference)</w:t>
            </w:r>
          </w:p>
        </w:tc>
      </w:tr>
      <w:tr>
        <w:trPr>
          <w:trHeight w:val="331"/>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*^10.75</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91"/>
              </w:rPr>
              <w:t>Supplemental Agreement No. 1 to Purchase Agreement No. 1951, dated October 10, 1996 (filed as Exhibit 10.14(a) to</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2"/>
              </w:rPr>
              <w:t>Continental’s Form 10-K for the year ended December 31, 1996, Commission file number 1-10323, and incorporated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*^10.76</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97"/>
              </w:rPr>
              <w:t>Supplemental Agreement No. 2 to Purchase Agreement No. 1951, dated March 5, 1997 (filed as Exhibit 10.3 to</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88"/>
              </w:rPr>
              <w:t>Continental’s Form 10-Q for the quarter ended March 31, 1997, Commission file number 1-10323 and incorporated herein</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*^10.77</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60" w:type="dxa"/>
            <w:vAlign w:val="bottom"/>
          </w:tcPr>
          <w:p>
            <w:pPr>
              <w:ind w:left="540"/>
              <w:spacing w:after="0"/>
              <w:rPr>
                <w:sz w:val="20"/>
                <w:szCs w:val="20"/>
                <w:color w:val="auto"/>
              </w:rPr>
            </w:pPr>
            <w:r>
              <w:rPr>
                <w:rFonts w:ascii="Arial" w:cs="Arial" w:eastAsia="Arial" w:hAnsi="Arial"/>
                <w:sz w:val="18"/>
                <w:szCs w:val="18"/>
                <w:color w:val="auto"/>
                <w:w w:val="90"/>
              </w:rPr>
              <w:t>Supplemental Agreement No. 3, including exhibit and side letter, to Purchase Agreement No. 1951, dated July 17, 1997</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60" w:type="dxa"/>
            <w:vAlign w:val="bottom"/>
          </w:tcPr>
          <w:p>
            <w:pPr>
              <w:ind w:left="540"/>
              <w:spacing w:after="0"/>
              <w:rPr>
                <w:sz w:val="20"/>
                <w:szCs w:val="20"/>
                <w:color w:val="auto"/>
              </w:rPr>
            </w:pPr>
            <w:r>
              <w:rPr>
                <w:rFonts w:ascii="Arial" w:cs="Arial" w:eastAsia="Arial" w:hAnsi="Arial"/>
                <w:sz w:val="18"/>
                <w:szCs w:val="18"/>
                <w:color w:val="auto"/>
                <w:w w:val="90"/>
              </w:rPr>
              <w:t>(filed as Exhibit 10.14(c) to Continental’s Form 10-K for the year ended December 31, 1997, Commission file number 1-</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60" w:type="dxa"/>
            <w:vAlign w:val="bottom"/>
          </w:tcPr>
          <w:p>
            <w:pPr>
              <w:ind w:left="540"/>
              <w:spacing w:after="0"/>
              <w:rPr>
                <w:sz w:val="20"/>
                <w:szCs w:val="20"/>
                <w:color w:val="auto"/>
              </w:rPr>
            </w:pPr>
            <w:r>
              <w:rPr>
                <w:rFonts w:ascii="Arial" w:cs="Arial" w:eastAsia="Arial" w:hAnsi="Arial"/>
                <w:sz w:val="18"/>
                <w:szCs w:val="18"/>
                <w:color w:val="auto"/>
              </w:rPr>
              <w:t>10323, and incorporated herein by reference)</w:t>
            </w:r>
          </w:p>
        </w:tc>
      </w:tr>
      <w:tr>
        <w:trPr>
          <w:trHeight w:val="365"/>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160" w:type="dxa"/>
            <w:vAlign w:val="bottom"/>
          </w:tcPr>
          <w:p>
            <w:pPr>
              <w:ind w:left="3380"/>
              <w:spacing w:after="0"/>
              <w:rPr>
                <w:sz w:val="20"/>
                <w:szCs w:val="20"/>
                <w:color w:val="auto"/>
              </w:rPr>
            </w:pPr>
            <w:r>
              <w:rPr>
                <w:rFonts w:ascii="Arial" w:cs="Arial" w:eastAsia="Arial" w:hAnsi="Arial"/>
                <w:sz w:val="18"/>
                <w:szCs w:val="18"/>
                <w:color w:val="auto"/>
              </w:rPr>
              <w:t>128</w:t>
            </w:r>
          </w:p>
        </w:tc>
      </w:tr>
    </w:tbl>
    <w:p>
      <w:pPr>
        <w:ind w:left="3380"/>
        <w:spacing w:after="0"/>
        <w:rPr>
          <w:sz w:val="20"/>
          <w:szCs w:val="20"/>
          <w:color w:val="auto"/>
        </w:rPr>
        <w:sectPr>
          <w:pgSz w:w="11900" w:h="16838" w:orient="portrait"/>
          <w:cols w:equalWidth="0" w:num="1">
            <w:col w:w="11360"/>
          </w:cols>
          <w:pgMar w:left="240" w:top="388"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8" w:name="page129"/>
    <w:bookmarkEnd w:id="128"/>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*^10.78</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Supplemental Agreement No. 4, including exhibits and side letters, to Purchase Agreement No. 1951, dated October 10,</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4"/>
              </w:rPr>
              <w:t>1997 (filed as Exhibit 10.14(d) to Continental’s Form 10-K for the year ended December 31, 1997, Commission file</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number 1-10323,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*^10.79</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Supplemental Agreement No. 5, including exhibits and side letters, to Purchase Agreement No. 1951, dated October 10,</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1997 (filed as Exhibit 10.1 to Continental’s Form 10-Q for the quarter ended June 30, 1998, Commission file number 1-</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10323,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*^10.80</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8"/>
              </w:rPr>
              <w:t>Supplemental Agreement No. 6, including exhibits and side letters, to Purchase Agreement No. 1951, dated July 30, 1998</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(filed as Exhibit 10.1 to Continental’s Form 10-Q for the quarter ended September 30, 1998, Commission file number</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1-10323, 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*^10.81</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Supplemental Agreement No. 7, including side letters, to Purchase Agreement No. 1951, dated November 12, 1998 (filed</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as Exhibit 10.24(g) to Continental’s Form 10-K for the year ended December 31, 2008, Commission file number 1-10323,</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*^10.82</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8"/>
              </w:rPr>
              <w:t>Supplemental Agreement No. 8, including side letters, to Purchase Agreement No. 1951, dated December 7, 1998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Exhibit 10.24(h) to Continental’s Form 10-K for the year ended December 31, 2008, Commission file number 1-10323,</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*^10.83</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Letter Agreement No. 6-1162-GOC-131R1 to Purchase Agreement No. 1951, dated March 26, 1998 (filed as Exhibit 10.1</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to Continental’s Form 10-Q for the quarter ended March 31, 1998, Commission file number 1-10323, and incorporated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*^10.84</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8"/>
              </w:rPr>
              <w:t>Supplemental Agreement No. 9, including side letters, to Purchase Agreement No. 1951, dated February 18, 1999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Exhibit 10.4 to Continental’s Form 10-Q for the quarter ended March 31, 1999,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*^10.85</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Supplemental Agreement No. 10, including side letters, to Purchase Agreement No. 1951, dated March 19, 1999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Exhibit 10.4(a) to Continental’s Form 10-Q for the quarter ended March 31, 1999,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*^10.86</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89"/>
              </w:rPr>
              <w:t>Supplemental Agreement No. 11, including side letters, to Purchase Agreement No. 1951, dated March 14, 1999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1"/>
              </w:rPr>
              <w:t>Exhibit 10.4(a) to Continental’s Form 10-Q for the quarter ended June 30, 1999,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*^10.87</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Supplemental Agreement No. 12, including side letters, to Purchase Agreement No. 1951, dated July 2, 1999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88"/>
              </w:rPr>
              <w:t>Exhibit 10.8 to Continental’s Form 10-Q for the quarter ended September 30, 1999,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*^10.88</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180" w:type="dxa"/>
            <w:vAlign w:val="bottom"/>
          </w:tcPr>
          <w:p>
            <w:pPr>
              <w:ind w:left="540"/>
              <w:spacing w:after="0"/>
              <w:rPr>
                <w:sz w:val="20"/>
                <w:szCs w:val="20"/>
                <w:color w:val="auto"/>
              </w:rPr>
            </w:pPr>
            <w:r>
              <w:rPr>
                <w:rFonts w:ascii="Arial" w:cs="Arial" w:eastAsia="Arial" w:hAnsi="Arial"/>
                <w:sz w:val="18"/>
                <w:szCs w:val="18"/>
                <w:color w:val="auto"/>
                <w:w w:val="90"/>
              </w:rPr>
              <w:t>Supplemental Agreement No. 13 to Purchase Agreement No. 1951, dated October 13, 1999 (filed as Exhibit 10.25(n) to</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180" w:type="dxa"/>
            <w:vAlign w:val="bottom"/>
          </w:tcPr>
          <w:p>
            <w:pPr>
              <w:ind w:left="540"/>
              <w:spacing w:after="0"/>
              <w:rPr>
                <w:sz w:val="20"/>
                <w:szCs w:val="20"/>
                <w:color w:val="auto"/>
              </w:rPr>
            </w:pPr>
            <w:r>
              <w:rPr>
                <w:rFonts w:ascii="Arial" w:cs="Arial" w:eastAsia="Arial" w:hAnsi="Arial"/>
                <w:sz w:val="18"/>
                <w:szCs w:val="18"/>
                <w:color w:val="auto"/>
                <w:w w:val="92"/>
              </w:rPr>
              <w:t>Continental’s Form 10-K for the year ended December 31, 1999, Commission file number 1-10323, and incorporated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180" w:type="dxa"/>
            <w:vAlign w:val="bottom"/>
          </w:tcPr>
          <w:p>
            <w:pPr>
              <w:ind w:left="540"/>
              <w:spacing w:after="0"/>
              <w:rPr>
                <w:sz w:val="20"/>
                <w:szCs w:val="20"/>
                <w:color w:val="auto"/>
              </w:rPr>
            </w:pPr>
            <w:r>
              <w:rPr>
                <w:rFonts w:ascii="Arial" w:cs="Arial" w:eastAsia="Arial" w:hAnsi="Arial"/>
                <w:sz w:val="18"/>
                <w:szCs w:val="18"/>
                <w:color w:val="auto"/>
              </w:rPr>
              <w:t>herein by reference)</w:t>
            </w:r>
          </w:p>
        </w:tc>
      </w:tr>
      <w:tr>
        <w:trPr>
          <w:trHeight w:val="365"/>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180" w:type="dxa"/>
            <w:vAlign w:val="bottom"/>
          </w:tcPr>
          <w:p>
            <w:pPr>
              <w:ind w:left="3380"/>
              <w:spacing w:after="0"/>
              <w:rPr>
                <w:sz w:val="20"/>
                <w:szCs w:val="20"/>
                <w:color w:val="auto"/>
              </w:rPr>
            </w:pPr>
            <w:r>
              <w:rPr>
                <w:rFonts w:ascii="Arial" w:cs="Arial" w:eastAsia="Arial" w:hAnsi="Arial"/>
                <w:sz w:val="18"/>
                <w:szCs w:val="18"/>
                <w:color w:val="auto"/>
              </w:rPr>
              <w:t>129</w:t>
            </w:r>
          </w:p>
        </w:tc>
      </w:tr>
    </w:tbl>
    <w:p>
      <w:pPr>
        <w:ind w:left="338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*^10.89</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9"/>
              </w:rPr>
              <w:t>Supplemental Agreement No. 14 to Purchase Agreement No. 1951, dated December 13, 1999 (filed as Exhibit 10.25(o) to</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3"/>
              </w:rPr>
              <w:t>Continental’s Form 10-K for the year ended December 31, 1999, Commission file number 1-10323, and incorporated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*^10.90</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8"/>
              </w:rPr>
              <w:t>Supplemental Agreement No. 15, including side letters, to Purchase Agreement No. 1951, dated January 13, 2000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2"/>
              </w:rPr>
              <w:t>Exhibit 10.1 to Continental’s Form 10-Q for the quarter ended March 31, 2000,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*^10.91</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9"/>
              </w:rPr>
              <w:t>Supplemental Agreement No. 16, including side letters, to Purchase Agreement No. 1951, dated March 17, 2000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2"/>
              </w:rPr>
              <w:t>Exhibit 10.2 to Continental’s Form 10-Q for the quarter ended March 31, 2000,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*^10.92</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91"/>
              </w:rPr>
              <w:t>Supplemental Agreement No. 17, including side letters, to Purchase Agreement No. 1951, dated May 16, 2000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3"/>
              </w:rPr>
              <w:t>Exhibit 10.2 to Continental’s Form 10-Q for the quarter ended June 30, 2000,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*^10.93</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8"/>
              </w:rPr>
              <w:t>Supplemental Agreement No. 18, including side letters, to Purchase Agreement No. 1951, dated September 11, 2000 (filed</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0"/>
              </w:rPr>
              <w:t>as Exhibit 10.6 to Continental’s Form 10-Q for the quarter ended September 30, 2000, Commission file number 1-10323,</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*^10.94</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8"/>
              </w:rPr>
              <w:t>Supplemental Agreement No. 19, including side letters, to Purchase Agreement No. 1951, dated October 31, 2000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89"/>
              </w:rPr>
              <w:t>Exhibit 10.20(t) to Continental’s Form 10-K for the year ended December 31, 2000,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*^10.95</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8"/>
              </w:rPr>
              <w:t>Supplemental Agreement No. 20, including side letters, to Purchase Agreement No. 1951, dated December 21, 2000 (filed</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89"/>
              </w:rPr>
              <w:t>as Exhibit 10.20(u) to Continental’s Form 10-K for the year ended December 31, 2000, Commission file number 1-10323,</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*^10.96</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9"/>
              </w:rPr>
              <w:t>Supplemental Agreement No. 21, including side letters, to Purchase Agreement No. 1951, dated March 30, 2001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2"/>
              </w:rPr>
              <w:t>Exhibit 10.1 to Continental’s Form 10-Q for the quarter ended March 31, 2001,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*^10.97</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91"/>
              </w:rPr>
              <w:t>Supplemental Agreement No. 22, including side letters, to Purchase Agreement No. 1951, dated May 23, 2001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3"/>
              </w:rPr>
              <w:t>Exhibit 10.3 to Continental’s Form 10-Q for the quarter ended June 30, 2001,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*^10.98</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90"/>
              </w:rPr>
              <w:t>Supplemental Agreement No. 23, including side letters, to Purchase Agreement No. 1951, dated June 29, 2001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3"/>
              </w:rPr>
              <w:t>Exhibit 10.4 to Continental’s Form 10-Q for the quarter ended June 30, 2001, Commission file number 1-10323, and</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80" w:type="dxa"/>
            <w:vAlign w:val="bottom"/>
          </w:tcPr>
          <w:p>
            <w:pPr>
              <w:jc w:val="right"/>
              <w:ind w:right="212"/>
              <w:spacing w:after="0"/>
              <w:rPr>
                <w:sz w:val="20"/>
                <w:szCs w:val="20"/>
                <w:color w:val="auto"/>
              </w:rPr>
            </w:pPr>
            <w:r>
              <w:rPr>
                <w:rFonts w:ascii="Arial" w:cs="Arial" w:eastAsia="Arial" w:hAnsi="Arial"/>
                <w:sz w:val="18"/>
                <w:szCs w:val="18"/>
                <w:color w:val="auto"/>
                <w:w w:val="92"/>
              </w:rPr>
              <w:t>*^10.99</w:t>
            </w:r>
          </w:p>
        </w:tc>
        <w:tc>
          <w:tcPr>
            <w:tcW w:w="1320" w:type="dxa"/>
            <w:vAlign w:val="bottom"/>
          </w:tcPr>
          <w:p>
            <w:pPr>
              <w:ind w:left="280"/>
              <w:spacing w:after="0"/>
              <w:rPr>
                <w:sz w:val="20"/>
                <w:szCs w:val="20"/>
                <w:color w:val="auto"/>
              </w:rPr>
            </w:pPr>
            <w:r>
              <w:rPr>
                <w:rFonts w:ascii="Arial" w:cs="Arial" w:eastAsia="Arial" w:hAnsi="Arial"/>
                <w:sz w:val="18"/>
                <w:szCs w:val="18"/>
                <w:color w:val="auto"/>
              </w:rPr>
              <w:t>UAL</w:t>
            </w:r>
          </w:p>
        </w:tc>
        <w:tc>
          <w:tcPr>
            <w:tcW w:w="9200" w:type="dxa"/>
            <w:vAlign w:val="bottom"/>
          </w:tcPr>
          <w:p>
            <w:pPr>
              <w:ind w:left="540"/>
              <w:spacing w:after="0"/>
              <w:rPr>
                <w:sz w:val="20"/>
                <w:szCs w:val="20"/>
                <w:color w:val="auto"/>
              </w:rPr>
            </w:pPr>
            <w:r>
              <w:rPr>
                <w:rFonts w:ascii="Arial" w:cs="Arial" w:eastAsia="Arial" w:hAnsi="Arial"/>
                <w:sz w:val="18"/>
                <w:szCs w:val="18"/>
                <w:color w:val="auto"/>
                <w:w w:val="89"/>
              </w:rPr>
              <w:t>Supplemental Agreement No. 24, including side letters, to Purchase Agreement No. 1951, dated August 31, 2001 (filed as</w:t>
            </w:r>
          </w:p>
        </w:tc>
      </w:tr>
      <w:tr>
        <w:trPr>
          <w:trHeight w:val="216"/>
        </w:trPr>
        <w:tc>
          <w:tcPr>
            <w:tcW w:w="8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Arial" w:cs="Arial" w:eastAsia="Arial" w:hAnsi="Arial"/>
                <w:sz w:val="18"/>
                <w:szCs w:val="18"/>
                <w:color w:val="auto"/>
              </w:rPr>
              <w:t>United</w:t>
            </w:r>
          </w:p>
        </w:tc>
        <w:tc>
          <w:tcPr>
            <w:tcW w:w="9200" w:type="dxa"/>
            <w:vAlign w:val="bottom"/>
          </w:tcPr>
          <w:p>
            <w:pPr>
              <w:ind w:left="540"/>
              <w:spacing w:after="0"/>
              <w:rPr>
                <w:sz w:val="20"/>
                <w:szCs w:val="20"/>
                <w:color w:val="auto"/>
              </w:rPr>
            </w:pPr>
            <w:r>
              <w:rPr>
                <w:rFonts w:ascii="Arial" w:cs="Arial" w:eastAsia="Arial" w:hAnsi="Arial"/>
                <w:sz w:val="18"/>
                <w:szCs w:val="18"/>
                <w:color w:val="auto"/>
                <w:w w:val="91"/>
              </w:rPr>
              <w:t>Exhibit 10.11 to Continental’s Form 10-Q for the quarter ended September 30, 2001, Commission file number 1-10323,</w:t>
            </w:r>
          </w:p>
        </w:tc>
      </w:tr>
      <w:tr>
        <w:trPr>
          <w:trHeight w:val="222"/>
        </w:trPr>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65"/>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0" w:type="dxa"/>
            <w:vAlign w:val="bottom"/>
          </w:tcPr>
          <w:p>
            <w:pPr>
              <w:ind w:left="3380"/>
              <w:spacing w:after="0"/>
              <w:rPr>
                <w:sz w:val="20"/>
                <w:szCs w:val="20"/>
                <w:color w:val="auto"/>
              </w:rPr>
            </w:pPr>
            <w:r>
              <w:rPr>
                <w:rFonts w:ascii="Arial" w:cs="Arial" w:eastAsia="Arial" w:hAnsi="Arial"/>
                <w:sz w:val="18"/>
                <w:szCs w:val="18"/>
                <w:color w:val="auto"/>
              </w:rPr>
              <w:t>130</w:t>
            </w:r>
          </w:p>
        </w:tc>
      </w:tr>
    </w:tbl>
    <w:p>
      <w:pPr>
        <w:ind w:left="3380"/>
        <w:spacing w:after="0"/>
        <w:rPr>
          <w:sz w:val="20"/>
          <w:szCs w:val="20"/>
          <w:color w:val="auto"/>
        </w:rPr>
        <w:sectPr>
          <w:pgSz w:w="11900" w:h="16838" w:orient="portrait"/>
          <w:cols w:equalWidth="0" w:num="1">
            <w:col w:w="11400"/>
          </w:cols>
          <w:pgMar w:left="24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0" w:name="page131"/>
    <w:bookmarkEnd w:id="130"/>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25, including side letters, to Purchase Agreement No. 1951, dated December 31, 2001 (filed</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as Exhibit 10.22(z) to Continental’s Form 10-K for the year ended December 31, 2001, Commission file number 1-10323,</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Supplemental Agreement No. 26, including side letters, to Purchase Agreement No. 1951, dated March 29, 2002 (filed as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3"/>
              </w:rPr>
              <w:t>Exhibit 10.4 to Continental’s Form 10-Q for the quarter ended March 31, 2002, Commission file number 1-10323, and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Supplemental Agreement No. 27, including side letters, to Purchase Agreement No. 1951, dated November 6, 2002 (filed as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3"/>
              </w:rPr>
              <w:t>Exhibit 10.4 to Continental’s Form 10-Q for the quarter ended March 31, 2002, Commission file number 1-10323, and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2"/>
              </w:rPr>
              <w:t>Supplemental Agreement No. 28, including side letters, to Purchase Agreement No. 1951, dated April 1, 2003 (filed as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3"/>
              </w:rPr>
              <w:t>Exhibit 10.2 to Continental’s Form 10-Q for the quarter ended March 31, 2003, Commission file number 1-10323, and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29, including side letters, to Purchase Agreement No. 1951, dated August 19, 2003 (filed as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Exhibit 10.2 to Continental’s Form 10-Q for the quarter ended September 30, 2003, Commission file number 1-10323, and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30 to Purchase Agreement No. 1951, dated November 4, 2003 (filed as Exhibit 10.23(ae)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10-K for the year ended December 31, 2003,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5"/>
              </w:rPr>
              <w:t>Supplemental Agreement No. 31 to Purchase Agreement No. 1951, dated August 20, 2004 (filed as Exhibit 10.4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2004,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32, including side letters, to Purchase Agreement No. 1951, dated December 29, 2004 (filed</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as Exhibit 10.21(ag) to Continental’s Form 10-K for the year ended December 31, 2004, Commission file number 1-10323,</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33, including side letters, to Purchase Agreement No. 1951, dated December 29, 2004 (filed</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as Exhibit 10.21(ah) to Continental’s Form 10-K for the year ended December 31, 2004, Commission file number 1-10323,</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7"/>
              </w:rPr>
              <w:t>Supplemental Agreement No. 34 to Purchase Agreement No. 1951, dated June 22, 2005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2005,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7"/>
              </w:rPr>
              <w:t>Supplemental Agreement No. 35 to Purchase Agreement No. 1951, dated June 30, 2005 (filed as Exhibit 10.4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2005,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8"/>
              </w:rPr>
              <w:t>Supplemental Agreement No. 36 to Purchase Agreement No. 1951, dated July 28, 2005 (filed as Exhibit 10.1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2005,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65"/>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131</w:t>
            </w:r>
          </w:p>
        </w:tc>
      </w:tr>
    </w:tbl>
    <w:p>
      <w:pPr>
        <w:ind w:left="344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1" w:name="page132"/>
    <w:bookmarkEnd w:id="131"/>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Supplemental Agreement No. 37 to Purchase Agreement No. 1951, dated March 30, 2006 (filed as Exhibit 10.2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Continental’s Form 10-Q for the quarter ended March 31, 2006,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8"/>
              </w:rPr>
              <w:t>Supplemental Agreement No. 38 to Purchase Agreement No. 1951, dated June 6, 2006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2006,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Supplemental Agreement No. 39 to Purchase Agreement No. 1951, dated August 3, 2006 (filed as Exhibit 10.4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2006,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40 to Purchase Agreement No. 1951, dated December 5, 2006 (filed as Exhibit 10.23(ao)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10-K for the year ended December 31, 2006,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8"/>
              </w:rPr>
              <w:t>Supplemental Agreement No. 41 to Purchase Agreement No. 1951, dated June 1, 2007 (filed as Exhibit 10.1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2007,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7"/>
              </w:rPr>
              <w:t>Supplemental Agreement No. 42 to Purchase Agreement No. 1951, dated June 12, 2007 (filed as Exhibit 10.2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2007,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8"/>
              </w:rPr>
              <w:t>Supplemental Agreement No. 43 to Purchase Agreement No. 1951, dated July 18, 2007 (filed as Exhibit 10.1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2007,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*^10.119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44 to Purchase Agreement No. 1951, dated December 7, 2007 (filed as Exhibit 10.21(as)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10-K for the year ended December 31, 2007,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4"/>
              </w:rPr>
              <w:t>Supplemental Agreement No. 45 to Purchase Agreement No. 1951, dated February 20, 2008 (filed as Exhibit 10.2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Continental’s Form 10-Q for the quarter ended March 31, 2008,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7"/>
              </w:rPr>
              <w:t>Supplemental Agreement No. 46 to Purchase Agreement No. 1951, dated June 25, 2008 (filed as Exhibit 10.5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2008,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Supplemental Agreement No. 47 to Purchase Agreement No. 1951, dated October 30, 2008 (filed as Exhibit 10.21(av)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10-K for the year ended December 31, 2008,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4"/>
              </w:rPr>
              <w:t>Supplemental Agreement No. 48 to Purchase Agreement No. 1951, dated January 29, 2009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2009,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65"/>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132</w:t>
            </w:r>
          </w:p>
        </w:tc>
      </w:tr>
    </w:tbl>
    <w:p>
      <w:pPr>
        <w:ind w:left="344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2" w:name="page133"/>
    <w:bookmarkEnd w:id="132"/>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9"/>
              </w:rPr>
              <w:t>Supplemental Agreement No. 49 to Purchase Agreement No. 1951, dated May 1, 2009 (filed as Exhibit 10.4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2009,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8"/>
              </w:rPr>
              <w:t>Supplemental Agreement No. 50 to Purchase Agreement No. 1951, dated July 23, 2009 (filed as Exhibit 10.2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2009,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Supplemental Agreement No. 51 to Purchase Agreement No. 1951, dated August 5, 2009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2009,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5"/>
              </w:rPr>
              <w:t>Supplemental Agreement No. 52 to Purchase Agreement No. 1951, dated August 31, 2009 (filed as Exhibit 10.4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Continental’s Form 10-Q for the quarter ended September 30, 2009,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Supplemental Agreement No. 53 to Purchase Agreement No. 1951, dated December 23, 2009 (filed as Exhibit 10.22(bb)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Continental’s Form 10-K for the year ended December 31, 2009,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*^10.129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7"/>
              </w:rPr>
              <w:t>Supplemental Agreement No. 54 to Purchase Agreement No. 1951, dated March 2, 2010 (filed as Exhibit 10.2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Continental’s Form 10-Q for the quarter ended March 31, 2010,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Supplemental Agreement No. 55 to Purchase Agreement No. 1951, dated March 31, 2010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Continental’s Form 10-Q for the quarter ended March 31, 2010,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5"/>
              </w:rPr>
              <w:t>Supplemental Agreement No. 56 to Purchase Agreement No. 1951, dated August 12, 2010 (filed as Exhibit 10.4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Continental’s Form 10-Q for the quarter ended September 30, 2010,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Supplemental Agreement No. 57 to Purchase Agreement No. 1951, dated March 2, 2011 (filed as Exhibit 10.1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March 31, 2011,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Supplemental Agreement No. 58 to Purchase Agreement No. 1951, dated January 6, 2012 (filed as Exhibit 10.1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March 31, 2012,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2"/>
              </w:rPr>
              <w:t>Supplemental Agreement No. 59 to Purchase Agreement No. 1951, dated July 12, 2012 (filed as Exhibit 10.5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Form 10-Q for the quarter ended June 30, 2012,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Supplemental Agreement No. 60 to Purchase Agreement No. 1951, dated November 7, 2012 (filed as Exhibit 10.2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Form 10-Q for the quarter ended June 30, 2013,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61 to Purchase Agreement No. 1951, dated September 11, 2013 (filed as Exhibit 10.1 for the</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rPr>
              <w:t>quarter ended September 30, 2013, Commission file number 1-6033, and incorporated herein by reference)</w:t>
            </w:r>
          </w:p>
        </w:tc>
      </w:tr>
      <w:tr>
        <w:trPr>
          <w:trHeight w:val="365"/>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133</w:t>
            </w:r>
          </w:p>
        </w:tc>
      </w:tr>
    </w:tbl>
    <w:p>
      <w:pPr>
        <w:ind w:left="344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3" w:name="page134"/>
    <w:bookmarkEnd w:id="133"/>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1"/>
              </w:rPr>
              <w:t>Supplemental Agreement No. 62 to Purchase Agreement No. 1951, dated January 14, 2015 (filed as Exhibit 10.3 for the</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rPr>
              <w:t>quarter ended March 31, 2015,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88"/>
              </w:rPr>
              <w:t>Supplemental Agreement No. 63 to Purchase Agreement No. 1951, dated May 26, 2015 (filed as Exhibit 10.1 for the quarter</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rPr>
              <w:t>ended June 30, 2015,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*^10.139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88"/>
              </w:rPr>
              <w:t>Supplemental Agreement No. 64 to Purchase Agreement No. 1951, dated June 12, 2015 (filed as Exhibit 10.2 for the quarter</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rPr>
              <w:t>ended June 30, 2015,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0"/>
              </w:rPr>
              <w:t>Aircraft General Terms Agreement, dated October 10, 1997, by and among Continental and Boeing (filed as Exhibit 10.15</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91"/>
              </w:rPr>
              <w:t>to Continental’s Form 10-K for the year ended December 31, 1997,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0"/>
              </w:rPr>
              <w:t>Letter Agreement 6-1162-CHL-048, dated February 8, 2002, by and among Continental and Boeing (filed as Exhibit 10.44</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92"/>
              </w:rPr>
              <w:t>to Continental’s Form 10-K for the year ended December 31, 2001, Commission file number 1-10323,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87"/>
              </w:rPr>
              <w:t>Purchase Agreement No. 2484, including exhibits and side letters, dated December 29, 2004, by and among Continental and</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90"/>
              </w:rPr>
              <w:t>Boeing (filed as Exhibit 10.27 to Continental’s Form 10-K for the year ended December 31, 2004, Commission file number</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8"/>
              </w:rPr>
              <w:t>Supplemental Agreement No. 1 to Purchase Agreement No. 2484, dated June 30, 2005 (filed as Exhibit 10.5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88"/>
              </w:rPr>
              <w:t>Continental’s Form 10-Q for the quarter ended June 30, 2005,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1"/>
              </w:rPr>
              <w:t>Supplemental Agreement No. 2, including exhibits and side letters, to Purchase Agreement No. 2484, dated January 20,</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89"/>
              </w:rPr>
              <w:t>2006 (filed as Exhibit 10.27(b) to Continental’s Form 10-K for the year ended December 31, 2005, Commission file number</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89"/>
              </w:rPr>
              <w:t>Supplemental Agreement No. 3 to Purchase Agreement No. 2484, dated May 3, 2006 (filed as Exhibit 10.4 to Continental’s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June 30, 2006,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88"/>
              </w:rPr>
              <w:t>Supplemental Agreement No. 4 to Purchase Agreement No. 2484, dated July 14, 2006 (filed as Exhibit 10.5 to Continental’s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94"/>
              </w:rPr>
              <w:t>Form 10-Q for the quarter ended September 30, 2006,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7"/>
              </w:rPr>
              <w:t>Supplemental Agreement No. 5 to Purchase Agreement No. 2484, dated March 12, 2007 (filed as Exhibit 10.1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89"/>
              </w:rPr>
              <w:t>Continental’s Form 10-Q for the quarter ended March 31, 2007,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3"/>
              </w:rPr>
              <w:t>Supplemental Agreement No. 6 to Purchase Agreement No. 2484, dated October 22, 2008 (filed as Exhibit 10.25(f)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88"/>
              </w:rPr>
              <w:t>Continental’s Form 10-K for the year ended December 31, 2008, Commission file number 1-10323,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*^10.149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60" w:type="dxa"/>
            <w:vAlign w:val="bottom"/>
          </w:tcPr>
          <w:p>
            <w:pPr>
              <w:ind w:left="500"/>
              <w:spacing w:after="0"/>
              <w:rPr>
                <w:sz w:val="20"/>
                <w:szCs w:val="20"/>
                <w:color w:val="auto"/>
              </w:rPr>
            </w:pPr>
            <w:r>
              <w:rPr>
                <w:rFonts w:ascii="Arial" w:cs="Arial" w:eastAsia="Arial" w:hAnsi="Arial"/>
                <w:sz w:val="18"/>
                <w:szCs w:val="18"/>
                <w:color w:val="auto"/>
                <w:w w:val="93"/>
              </w:rPr>
              <w:t>Supplemental Agreement No. 7 to Purchase Agreement No. 2484, dated November 7, 2012 (filed as Exhibit 10.179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60" w:type="dxa"/>
            <w:vAlign w:val="bottom"/>
          </w:tcPr>
          <w:p>
            <w:pPr>
              <w:ind w:left="500"/>
              <w:spacing w:after="0"/>
              <w:rPr>
                <w:sz w:val="20"/>
                <w:szCs w:val="20"/>
                <w:color w:val="auto"/>
              </w:rPr>
            </w:pPr>
            <w:r>
              <w:rPr>
                <w:rFonts w:ascii="Arial" w:cs="Arial" w:eastAsia="Arial" w:hAnsi="Arial"/>
                <w:sz w:val="18"/>
                <w:szCs w:val="18"/>
                <w:color w:val="auto"/>
                <w:w w:val="92"/>
              </w:rPr>
              <w:t>UAL’s Form 10-K for the year ended December 31, 2012, Commission file number 1-6033,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6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65"/>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60" w:type="dxa"/>
            <w:vAlign w:val="bottom"/>
          </w:tcPr>
          <w:p>
            <w:pPr>
              <w:ind w:left="3440"/>
              <w:spacing w:after="0"/>
              <w:rPr>
                <w:sz w:val="20"/>
                <w:szCs w:val="20"/>
                <w:color w:val="auto"/>
              </w:rPr>
            </w:pPr>
            <w:r>
              <w:rPr>
                <w:rFonts w:ascii="Arial" w:cs="Arial" w:eastAsia="Arial" w:hAnsi="Arial"/>
                <w:sz w:val="18"/>
                <w:szCs w:val="18"/>
                <w:color w:val="auto"/>
              </w:rPr>
              <w:t>134</w:t>
            </w:r>
          </w:p>
        </w:tc>
      </w:tr>
    </w:tbl>
    <w:p>
      <w:pPr>
        <w:ind w:left="3440"/>
        <w:spacing w:after="0"/>
        <w:rPr>
          <w:sz w:val="20"/>
          <w:szCs w:val="20"/>
          <w:color w:val="auto"/>
        </w:rPr>
        <w:sectPr>
          <w:pgSz w:w="11900" w:h="16838" w:orient="portrait"/>
          <w:cols w:equalWidth="0" w:num="1">
            <w:col w:w="11400"/>
          </w:cols>
          <w:pgMar w:left="24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4" w:name="page135"/>
    <w:bookmarkEnd w:id="134"/>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Supplemental Agreement No. 8 to Purchase Agreement No. 2484, dated June 17, 2013 (filed as Exhibit 10.4 to UAL’s Form</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10-Q for the quarter ended June 30, 2013,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9 to Purchase Agreement No. 2484, dated June 6, 2014 (filed as Exhibit 10.4 to UAL’s Form</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10-Q for the quarter ended June 30, 2014,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10 to Purchase Agreement No. 2484, dated January 14, 2015 (filed as Exhibit 10.4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March 31, 2015,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2"/>
              </w:rPr>
              <w:t>Supplemental Agreement No. 11 to Purchase Agreement No. 2484, dated April 30, 2015 (filed as Exhibit 10.3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June 30, 2015,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Amended and Restated Letter Agreement No. 11, dated August 8, 2005, by and among Continental and General Electric</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2"/>
              </w:rPr>
              <w:t>Company (filed as Exhibit 10.3 to Continental’s Form 10-Q for the quarter ended September 30, 2005, Commission file</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7"/>
              </w:rPr>
              <w:t>Agreement, dated May 7, 2003, by and among Continental and the United States of America, acting through the</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2"/>
              </w:rPr>
              <w:t>Transportation Security Administration (filed as Exhibit 10.1 to Continental’s Form 10-Q for the quarter ended June 30,</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2003,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Purchase Agreement No. PA-03784, dated July 12, 2012, between The Boeing Company and United Air Lines, Inc. (filed as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6"/>
              </w:rPr>
              <w:t>Exhibit 10.1 to UAL’s Form 10-Q for the quarter ended September 30, 2012, Commission file number 1-6033, and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8"/>
              </w:rPr>
              <w:t>Supplemental Agreement No. 01 to Purchase Agreement No. PA-03784, dated September 27, 2012 (filed as Exhibit 10.1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UAL’s Form 10-Q for the quarter ended September 30, 2012, Commission file number 1-6033,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02 to Purchase Agreement Number PA-03784, dated March 1, 2013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4"/>
              </w:rPr>
              <w:t>UAL’s Form 10-Q for the quarter ended June 30, 2013, Commission file number 1-6033,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*^10.159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03 to Purchase Agreement Number PA-03784, dated June 27, 2013 (filed as Exhibit 10.7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4"/>
              </w:rPr>
              <w:t>UAL’s Form 10-Q for the quarter ended June 30, 2013, Commission file number 1-6033,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90"/>
              </w:rPr>
              <w:t>Supplemental Agreement No. 04 to Purchase Agreement Number PA-03784, dated September 11, 2013 (filed as Exhibit</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1"/>
              </w:rPr>
              <w:t>10.2 to UAL’s Form 10-Q for the quarter ended September 30, 2013, Commission file number 1-6033, and incorporated</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40" w:type="dxa"/>
            <w:vAlign w:val="bottom"/>
          </w:tcPr>
          <w:p>
            <w:pPr>
              <w:ind w:left="500"/>
              <w:spacing w:after="0"/>
              <w:rPr>
                <w:sz w:val="20"/>
                <w:szCs w:val="20"/>
                <w:color w:val="auto"/>
              </w:rPr>
            </w:pPr>
            <w:r>
              <w:rPr>
                <w:rFonts w:ascii="Arial" w:cs="Arial" w:eastAsia="Arial" w:hAnsi="Arial"/>
                <w:sz w:val="18"/>
                <w:szCs w:val="18"/>
                <w:color w:val="auto"/>
                <w:w w:val="89"/>
              </w:rPr>
              <w:t>Supplemental Agreement No. 05 to Purchase Agreement Number PA-03784, dated March 3, 2014 (filed as Exhibit 10.2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40" w:type="dxa"/>
            <w:vAlign w:val="bottom"/>
          </w:tcPr>
          <w:p>
            <w:pPr>
              <w:ind w:left="500"/>
              <w:spacing w:after="0"/>
              <w:rPr>
                <w:sz w:val="20"/>
                <w:szCs w:val="20"/>
                <w:color w:val="auto"/>
              </w:rPr>
            </w:pPr>
            <w:r>
              <w:rPr>
                <w:rFonts w:ascii="Arial" w:cs="Arial" w:eastAsia="Arial" w:hAnsi="Arial"/>
                <w:sz w:val="18"/>
                <w:szCs w:val="18"/>
                <w:color w:val="auto"/>
                <w:w w:val="95"/>
              </w:rPr>
              <w:t>UAL’s Form 10-Q for the quarter ended June 30, 2014, Commission file number 1-6033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4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65"/>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135</w:t>
            </w:r>
          </w:p>
        </w:tc>
      </w:tr>
    </w:tbl>
    <w:p>
      <w:pPr>
        <w:ind w:left="344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5" w:name="page136"/>
    <w:bookmarkEnd w:id="135"/>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Supplemental Agreement No. 06 to Purchase Agreement Number PA-03784, dated June 6, 2014 (filed as Exhibit 10.3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4"/>
              </w:rPr>
              <w:t>UAL’s Form 10-Q for the quarter ended June 30, 2014, Commission file number 1-6033,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*^10.163</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Supplemental Agreement No. 07 to Purchase Agreement Number PA-03784, dated May 26, 2015 (filed as Exhibit 10.6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4"/>
              </w:rPr>
              <w:t>UAL’s Form 10-Q for the quarter ended June 30, 2015,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*^10.164</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89"/>
              </w:rPr>
              <w:t>Supplemental Agreement No. 08 to Purchase Agreement Number PA-03784, dated June 12, 2015 (filed as Exhibit 10.7 to</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4"/>
              </w:rPr>
              <w:t>UAL’s Form 10-Q for the quarter ended June 30, 2015, Commission file number 1-10323 and incorporated herein by</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*^10.165</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88"/>
              </w:rPr>
              <w:t>Purchase Agreement No. PA-03776, dated July 12, 2012, between The Boeing Company and United Continental Holdings,</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89"/>
              </w:rPr>
              <w:t>Inc. (filed as Exhibit 10.3 to UAL’s Form 10-Q for the quarter ended September 30, 2012, Commission file number 1-6033,</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*^10.166</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Supplemental Agreement No. 01 to Purchase Agreement No. 03776, dated June 17, 2013 (filed as Exhibit 10.5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1"/>
              </w:rPr>
              <w:t>Form 10-Q for the quarter ended June 30, 2013,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*^10.167</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88"/>
              </w:rPr>
              <w:t>Purchase Agreement Assignment to Purchase Agreement No. 03776, dated October 23, 2013, between United Continental</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3"/>
              </w:rPr>
              <w:t>Holdings, Inc. and United Airlines, Inc. (filed as Exhibit 10.3 to UAL’s Form 10-Q for the quarter ended September 30,</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2013,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*^10.168</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88"/>
              </w:rPr>
              <w:t>Supplemental Agreement No. 02 to Purchase Agreement No. 03776, dated January 14, 2015 (filed as Exhibit 10.5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March 31, 2015,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*^10.169</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91"/>
              </w:rPr>
              <w:t>Supplemental Agreement No. 03 to Purchase Agreement No. 03776, dated May 26, 2015 (filed as Exhibit 10.4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June 30, 2015,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*^10.170</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Supplemental Agreement No. 04 to Purchase Agreement No. 03776, dated June 12, 2015 (filed as Exhibit 10.5 to UAL’s</w:t>
            </w:r>
          </w:p>
        </w:tc>
      </w:tr>
      <w:tr>
        <w:trPr>
          <w:trHeight w:val="236"/>
        </w:trPr>
        <w:tc>
          <w:tcPr>
            <w:tcW w:w="92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Form 10-Q for the quarter ended June 30, 2015, Commission file number 1-10323,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*^10.171</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Letter Agreement No. 6-1162-KKT-080, dated July 12, 2012, among Boeing, United Continental Holdings, Inc., United Air</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1"/>
              </w:rPr>
              <w:t>Lines, Inc., and Continental Airlines, Inc. (filed as Exhibit 10.4 to UAL’s Form 10-Q for the quarter ended September 30,</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2012, Commission file number 1-6033, and incorporated herein by reference)</w:t>
            </w:r>
          </w:p>
        </w:tc>
      </w:tr>
      <w:tr>
        <w:trPr>
          <w:trHeight w:val="318"/>
        </w:trPr>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*^10.172</w:t>
            </w:r>
          </w:p>
        </w:tc>
        <w:tc>
          <w:tcPr>
            <w:tcW w:w="1220" w:type="dxa"/>
            <w:vAlign w:val="bottom"/>
          </w:tcPr>
          <w:p>
            <w:pPr>
              <w:ind w:left="240"/>
              <w:spacing w:after="0"/>
              <w:rPr>
                <w:sz w:val="20"/>
                <w:szCs w:val="20"/>
                <w:color w:val="auto"/>
              </w:rPr>
            </w:pPr>
            <w:r>
              <w:rPr>
                <w:rFonts w:ascii="Arial" w:cs="Arial" w:eastAsia="Arial" w:hAnsi="Arial"/>
                <w:sz w:val="18"/>
                <w:szCs w:val="18"/>
                <w:color w:val="auto"/>
              </w:rPr>
              <w:t>UAL</w:t>
            </w:r>
          </w:p>
        </w:tc>
        <w:tc>
          <w:tcPr>
            <w:tcW w:w="9220" w:type="dxa"/>
            <w:vAlign w:val="bottom"/>
          </w:tcPr>
          <w:p>
            <w:pPr>
              <w:ind w:left="500"/>
              <w:spacing w:after="0"/>
              <w:rPr>
                <w:sz w:val="20"/>
                <w:szCs w:val="20"/>
                <w:color w:val="auto"/>
              </w:rPr>
            </w:pPr>
            <w:r>
              <w:rPr>
                <w:rFonts w:ascii="Arial" w:cs="Arial" w:eastAsia="Arial" w:hAnsi="Arial"/>
                <w:sz w:val="18"/>
                <w:szCs w:val="18"/>
                <w:color w:val="auto"/>
                <w:w w:val="88"/>
              </w:rPr>
              <w:t>Purchase Agreement No. 3860, dated September 27, 2012, between Boeing and United Air Lines, Inc. (filed as Exhibit 10.6</w:t>
            </w:r>
          </w:p>
        </w:tc>
      </w:tr>
      <w:tr>
        <w:trPr>
          <w:trHeight w:val="216"/>
        </w:trPr>
        <w:tc>
          <w:tcPr>
            <w:tcW w:w="92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United</w:t>
            </w:r>
          </w:p>
        </w:tc>
        <w:tc>
          <w:tcPr>
            <w:tcW w:w="9220" w:type="dxa"/>
            <w:vAlign w:val="bottom"/>
          </w:tcPr>
          <w:p>
            <w:pPr>
              <w:ind w:left="500"/>
              <w:spacing w:after="0"/>
              <w:rPr>
                <w:sz w:val="20"/>
                <w:szCs w:val="20"/>
                <w:color w:val="auto"/>
              </w:rPr>
            </w:pPr>
            <w:r>
              <w:rPr>
                <w:rFonts w:ascii="Arial" w:cs="Arial" w:eastAsia="Arial" w:hAnsi="Arial"/>
                <w:sz w:val="18"/>
                <w:szCs w:val="18"/>
                <w:color w:val="auto"/>
                <w:w w:val="90"/>
              </w:rPr>
              <w:t>to UAL’s Form 10-Q for the quarter ended September 30, 2012, Commission file number 1-6033, and incorporated herein</w:t>
            </w:r>
          </w:p>
        </w:tc>
      </w:tr>
      <w:tr>
        <w:trPr>
          <w:trHeight w:val="222"/>
        </w:trPr>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220" w:type="dxa"/>
            <w:vAlign w:val="bottom"/>
          </w:tcPr>
          <w:p>
            <w:pPr>
              <w:ind w:left="500"/>
              <w:spacing w:after="0"/>
              <w:rPr>
                <w:sz w:val="20"/>
                <w:szCs w:val="20"/>
                <w:color w:val="auto"/>
              </w:rPr>
            </w:pPr>
            <w:r>
              <w:rPr>
                <w:rFonts w:ascii="Arial" w:cs="Arial" w:eastAsia="Arial" w:hAnsi="Arial"/>
                <w:sz w:val="18"/>
                <w:szCs w:val="18"/>
                <w:color w:val="auto"/>
              </w:rPr>
              <w:t>by reference)</w:t>
            </w:r>
          </w:p>
        </w:tc>
      </w:tr>
    </w:tbl>
    <w:p>
      <w:pPr>
        <w:ind w:left="50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2" w:lineRule="exact"/>
        <w:rPr>
          <w:sz w:val="20"/>
          <w:szCs w:val="20"/>
          <w:color w:val="auto"/>
        </w:rPr>
      </w:pPr>
    </w:p>
    <w:p>
      <w:pPr>
        <w:ind w:left="1160" w:right="280" w:hanging="1159"/>
        <w:spacing w:after="0" w:line="332" w:lineRule="auto"/>
        <w:tabs>
          <w:tab w:leader="none" w:pos="1140" w:val="left"/>
        </w:tabs>
        <w:rPr>
          <w:sz w:val="20"/>
          <w:szCs w:val="20"/>
          <w:color w:val="auto"/>
        </w:rPr>
      </w:pPr>
      <w:r>
        <w:rPr>
          <w:rFonts w:ascii="Arial" w:cs="Arial" w:eastAsia="Arial" w:hAnsi="Arial"/>
          <w:sz w:val="16"/>
          <w:szCs w:val="16"/>
          <w:color w:val="auto"/>
        </w:rPr>
        <w:t>*^10.173</w:t>
      </w:r>
      <w:r>
        <w:rPr>
          <w:sz w:val="20"/>
          <w:szCs w:val="20"/>
          <w:color w:val="auto"/>
        </w:rPr>
        <w:tab/>
      </w:r>
      <w:r>
        <w:rPr>
          <w:rFonts w:ascii="Arial" w:cs="Arial" w:eastAsia="Arial" w:hAnsi="Arial"/>
          <w:sz w:val="16"/>
          <w:szCs w:val="16"/>
          <w:color w:val="auto"/>
        </w:rPr>
        <w:t>UAL United</w:t>
      </w:r>
    </w:p>
    <w:p>
      <w:pPr>
        <w:spacing w:after="0" w:line="45" w:lineRule="exact"/>
        <w:rPr>
          <w:sz w:val="20"/>
          <w:szCs w:val="20"/>
          <w:color w:val="auto"/>
        </w:rPr>
      </w:pPr>
    </w:p>
    <w:p>
      <w:pPr>
        <w:ind w:left="1160" w:right="280" w:hanging="1159"/>
        <w:spacing w:after="0" w:line="332" w:lineRule="auto"/>
        <w:tabs>
          <w:tab w:leader="none" w:pos="1140" w:val="left"/>
        </w:tabs>
        <w:rPr>
          <w:sz w:val="20"/>
          <w:szCs w:val="20"/>
          <w:color w:val="auto"/>
        </w:rPr>
      </w:pPr>
      <w:r>
        <w:rPr>
          <w:rFonts w:ascii="Arial" w:cs="Arial" w:eastAsia="Arial" w:hAnsi="Arial"/>
          <w:sz w:val="16"/>
          <w:szCs w:val="16"/>
          <w:color w:val="auto"/>
        </w:rPr>
        <w:t>*^10.174</w:t>
      </w:r>
      <w:r>
        <w:rPr>
          <w:sz w:val="20"/>
          <w:szCs w:val="20"/>
          <w:color w:val="auto"/>
        </w:rPr>
        <w:tab/>
      </w:r>
      <w:r>
        <w:rPr>
          <w:rFonts w:ascii="Arial" w:cs="Arial" w:eastAsia="Arial" w:hAnsi="Arial"/>
          <w:sz w:val="16"/>
          <w:szCs w:val="16"/>
          <w:color w:val="auto"/>
        </w:rPr>
        <w:t>UAL United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Supplemental Agreement No. 1 to Purchase Agreement No. 3860, dated June 17, 2013 (filed as Exhibit 10.6 to UAL’s Form 10-Q for the quarter ended June 30, 2013, Commission file number 1-6033, and incorporated herein by reference)</w:t>
      </w:r>
    </w:p>
    <w:p>
      <w:pPr>
        <w:spacing w:after="0" w:line="4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Supplemental Agreement No. 2 to Purchase Agreement No. 3860, dated December 16, 2013 (filed as Exhibit 10.1 to UAL’s Form 10-Q for the quarter ended June 30, 2014, Commission file number 1-6033, and incorporated by reference)</w:t>
      </w:r>
    </w:p>
    <w:p>
      <w:pPr>
        <w:spacing w:after="0" w:line="7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136</w:t>
      </w:r>
    </w:p>
    <w:p>
      <w:pPr>
        <w:sectPr>
          <w:pgSz w:w="11900" w:h="16838" w:orient="portrait"/>
          <w:cols w:equalWidth="0" w:num="2">
            <w:col w:w="1920" w:space="720"/>
            <w:col w:w="8740"/>
          </w:cols>
          <w:pgMar w:left="240" w:top="388" w:right="279" w:bottom="1440" w:gutter="0" w:footer="0" w:header="0"/>
          <w:type w:val="continuous"/>
        </w:sectPr>
      </w:pPr>
    </w:p>
    <w:bookmarkStart w:id="136" w:name="page137"/>
    <w:bookmarkEnd w:id="136"/>
    <w:p>
      <w:pPr>
        <w:spacing w:after="0"/>
        <w:tabs>
          <w:tab w:leader="none" w:pos="860" w:val="left"/>
        </w:tabs>
        <w:rPr>
          <w:sz w:val="20"/>
          <w:szCs w:val="20"/>
          <w:color w:val="auto"/>
        </w:rPr>
      </w:pPr>
      <w:r>
        <w:rPr>
          <w:rFonts w:ascii="Arial" w:cs="Arial" w:eastAsia="Arial" w:hAnsi="Arial"/>
          <w:sz w:val="18"/>
          <w:szCs w:val="18"/>
          <w:color w:val="auto"/>
        </w:rPr>
        <w:t>*^10.175</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35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*^10.176</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*^10.177</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^10.178</w:t>
      </w:r>
      <w:r>
        <w:rPr>
          <w:sz w:val="20"/>
          <w:szCs w:val="20"/>
          <w:color w:val="auto"/>
        </w:rPr>
        <w:tab/>
      </w:r>
      <w:r>
        <w:rPr>
          <w:rFonts w:ascii="Arial" w:cs="Arial" w:eastAsia="Arial" w:hAnsi="Arial"/>
          <w:sz w:val="18"/>
          <w:szCs w:val="18"/>
          <w:color w:val="auto"/>
        </w:rPr>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14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*10.179</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*10.180</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14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*10.181</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14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*10.182</w:t>
        <w:tab/>
        <w:t>UAL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United</w:t>
      </w:r>
    </w:p>
    <w:p>
      <w:pPr>
        <w:spacing w:after="0" w:line="200" w:lineRule="exact"/>
        <w:rPr>
          <w:sz w:val="20"/>
          <w:szCs w:val="20"/>
          <w:color w:val="auto"/>
        </w:rPr>
      </w:pPr>
    </w:p>
    <w:p>
      <w:pPr>
        <w:spacing w:after="0" w:line="28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UAL</w:t>
      </w:r>
    </w:p>
    <w:p>
      <w:pPr>
        <w:spacing w:after="0" w:line="117" w:lineRule="exact"/>
        <w:rPr>
          <w:sz w:val="20"/>
          <w:szCs w:val="20"/>
          <w:color w:val="auto"/>
        </w:rPr>
      </w:pPr>
    </w:p>
    <w:p>
      <w:pPr>
        <w:jc w:val="right"/>
        <w:ind w:right="720"/>
        <w:spacing w:after="0"/>
        <w:tabs>
          <w:tab w:leader="none" w:pos="11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United</w:t>
      </w:r>
    </w:p>
    <w:p>
      <w:pPr>
        <w:spacing w:after="0" w:line="20" w:lineRule="exact"/>
        <w:rPr>
          <w:sz w:val="20"/>
          <w:szCs w:val="20"/>
          <w:color w:val="auto"/>
        </w:rPr>
      </w:pPr>
      <w:r>
        <w:rPr>
          <w:sz w:val="20"/>
          <w:szCs w:val="20"/>
          <w:color w:val="auto"/>
        </w:rPr>
        <w:br w:type="column"/>
      </w:r>
    </w:p>
    <w:p>
      <w:pPr>
        <w:jc w:val="both"/>
        <w:ind w:right="440"/>
        <w:spacing w:after="0" w:line="259" w:lineRule="auto"/>
        <w:rPr>
          <w:sz w:val="20"/>
          <w:szCs w:val="20"/>
          <w:color w:val="auto"/>
        </w:rPr>
      </w:pPr>
      <w:r>
        <w:rPr>
          <w:rFonts w:ascii="Arial" w:cs="Arial" w:eastAsia="Arial" w:hAnsi="Arial"/>
          <w:sz w:val="18"/>
          <w:szCs w:val="18"/>
          <w:color w:val="auto"/>
        </w:rPr>
        <w:t>Supplemental Agreement No. 3 to Purchase Agreement No. 3860, dated as of July 22, 2014 (filed as Exhibit 10.3 to UAL’s Form 10-Q for the quarter ended September 30, 2014, Commission file number 1-6033, and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-582295</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Supplemental Agreement No. 4 to Purchase Agreement No. 3860, dated as of January 14, 2015 (filed as Exhibit 10.6 to UAL’s Form 10-Q for the quarter ended March 31, 2015, Commission file number 1-6033, and incorporated by reference)</w:t>
      </w:r>
    </w:p>
    <w:p>
      <w:pPr>
        <w:spacing w:after="0" w:line="45"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Supplemental Agreement No. 5 to Purchase Agreement No. 3860, dated as of April 30, 2015 (filed as Exhibit 10.8 to UAL’s Form 10-Q for the quarter ended June 30, 2015, Commission file number 1-10323, and incorporated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Supplemental Agreement No. 6 to Purchase Agreement No. 3860, dated as of December 31, 2015</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Credit and Guaranty Agreement, dated as of March 27, 2013, among Continental Airlines, Inc. and United Air Lines, Inc., as co-borrowers, United Continental Holdings, Inc., as parent and a guarantor, the subsidiaries of United Continental Holdings, Inc. other than the co-borrowers party thereto from time to time, as guarantors, the lenders party thereto from time to time, and JPMorgan Chase Bank, N.A., as administrative agent (filed as Exhibit 10.1 to UAL’s Form 8-K filed March 28, 2013, Commission file number 1-6033, and incorporated herein by reference)</w:t>
      </w:r>
    </w:p>
    <w:p>
      <w:pPr>
        <w:spacing w:after="0" w:line="7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First Amendment to Credit and Guaranty Agreement, dated as of March 27, 2014 (filed as Exhibit 10.1 to UAL’s Form 10-Q for the quarter ended March 31, 2014, Commission file number 1-6033, and incorporated herein by reference)</w:t>
      </w:r>
    </w:p>
    <w:p>
      <w:pPr>
        <w:spacing w:after="0" w:line="4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Second Amendment to Credit and Guaranty Agreement, dated as of July 25, 2014 (filed as Exhibit 10.1 to UAL’s Form 8-K filed September 19, 2014, Commission file number 1-6033, and incorporated herein by reference)</w:t>
      </w:r>
    </w:p>
    <w:p>
      <w:pPr>
        <w:spacing w:after="0" w:line="4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Third Amendment to Credit and Guaranty Agreement, dated as of September 15, 2014 (filed as Exhibit 10.2 to UAL’s Form 8-K filed September 19, 2014, Commission file number 1-6033, and incorporated herein by reference)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Ratios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United Continental Holdings, Inc. and Subsidiary Companies Computation of Ratio of Earnings to Fixed Charges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United Airlines, Inc. and Subsidiary Companies Computation of Ratio of Earnings to Fixed Charges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Subsidiaries</w:t>
      </w:r>
    </w:p>
    <w:p>
      <w:pPr>
        <w:spacing w:after="0" w:line="137" w:lineRule="exact"/>
        <w:rPr>
          <w:sz w:val="20"/>
          <w:szCs w:val="20"/>
          <w:color w:val="auto"/>
        </w:rPr>
      </w:pPr>
    </w:p>
    <w:p>
      <w:pPr>
        <w:sectPr>
          <w:pgSz w:w="11900" w:h="16838" w:orient="portrait"/>
          <w:cols w:equalWidth="0" w:num="2">
            <w:col w:w="2080" w:space="720"/>
            <w:col w:w="8580"/>
          </w:cols>
          <w:pgMar w:left="240" w:top="388" w:right="279" w:bottom="1440" w:gutter="0" w:footer="0" w:header="0"/>
        </w:sectPr>
      </w:pPr>
    </w:p>
    <w:tbl>
      <w:tblPr>
        <w:tblLayout w:type="fixed"/>
        <w:tblInd w:w="18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2120" w:type="dxa"/>
            <w:vAlign w:val="bottom"/>
          </w:tcPr>
          <w:p>
            <w:pPr>
              <w:ind w:left="200"/>
              <w:spacing w:after="0"/>
              <w:rPr>
                <w:sz w:val="20"/>
                <w:szCs w:val="20"/>
                <w:color w:val="auto"/>
              </w:rPr>
            </w:pPr>
            <w:r>
              <w:rPr>
                <w:rFonts w:ascii="Arial" w:cs="Arial" w:eastAsia="Arial" w:hAnsi="Arial"/>
                <w:sz w:val="18"/>
                <w:szCs w:val="18"/>
                <w:color w:val="auto"/>
              </w:rPr>
              <w:t>UAL</w:t>
            </w:r>
          </w:p>
        </w:tc>
        <w:tc>
          <w:tcPr>
            <w:tcW w:w="8460" w:type="dxa"/>
            <w:vAlign w:val="bottom"/>
            <w:gridSpan w:val="2"/>
          </w:tcPr>
          <w:p>
            <w:pPr>
              <w:spacing w:after="0"/>
              <w:rPr>
                <w:sz w:val="20"/>
                <w:szCs w:val="20"/>
                <w:color w:val="auto"/>
              </w:rPr>
            </w:pPr>
            <w:r>
              <w:rPr>
                <w:rFonts w:ascii="Arial" w:cs="Arial" w:eastAsia="Arial" w:hAnsi="Arial"/>
                <w:sz w:val="18"/>
                <w:szCs w:val="18"/>
                <w:color w:val="auto"/>
              </w:rPr>
              <w:t>List of United Continental Holdings, Inc. and United Airlines, Inc. Subsidiaries</w:t>
            </w:r>
          </w:p>
        </w:tc>
      </w:tr>
      <w:tr>
        <w:trPr>
          <w:trHeight w:val="222"/>
        </w:trPr>
        <w:tc>
          <w:tcPr>
            <w:tcW w:w="500" w:type="dxa"/>
            <w:vAlign w:val="bottom"/>
          </w:tcPr>
          <w:p>
            <w:pPr>
              <w:spacing w:after="0"/>
              <w:rPr>
                <w:sz w:val="19"/>
                <w:szCs w:val="19"/>
                <w:color w:val="auto"/>
              </w:rPr>
            </w:pPr>
          </w:p>
        </w:tc>
        <w:tc>
          <w:tcPr>
            <w:tcW w:w="2120" w:type="dxa"/>
            <w:vAlign w:val="bottom"/>
          </w:tcPr>
          <w:p>
            <w:pPr>
              <w:ind w:left="200"/>
              <w:spacing w:after="0"/>
              <w:rPr>
                <w:sz w:val="20"/>
                <w:szCs w:val="20"/>
                <w:color w:val="auto"/>
              </w:rPr>
            </w:pPr>
            <w:r>
              <w:rPr>
                <w:rFonts w:ascii="Arial" w:cs="Arial" w:eastAsia="Arial" w:hAnsi="Arial"/>
                <w:sz w:val="18"/>
                <w:szCs w:val="18"/>
                <w:color w:val="auto"/>
              </w:rPr>
              <w:t>United</w:t>
            </w:r>
          </w:p>
        </w:tc>
        <w:tc>
          <w:tcPr>
            <w:tcW w:w="2520" w:type="dxa"/>
            <w:vAlign w:val="bottom"/>
          </w:tcPr>
          <w:p>
            <w:pPr>
              <w:spacing w:after="0"/>
              <w:rPr>
                <w:sz w:val="19"/>
                <w:szCs w:val="19"/>
                <w:color w:val="auto"/>
              </w:rPr>
            </w:pPr>
          </w:p>
        </w:tc>
        <w:tc>
          <w:tcPr>
            <w:tcW w:w="5940" w:type="dxa"/>
            <w:vAlign w:val="bottom"/>
          </w:tcPr>
          <w:p>
            <w:pPr>
              <w:spacing w:after="0"/>
              <w:rPr>
                <w:sz w:val="19"/>
                <w:szCs w:val="19"/>
                <w:color w:val="auto"/>
              </w:rPr>
            </w:pPr>
          </w:p>
        </w:tc>
      </w:tr>
      <w:tr>
        <w:trPr>
          <w:trHeight w:val="339"/>
        </w:trPr>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Consents of Experts and Counsel</w:t>
            </w:r>
          </w:p>
        </w:tc>
        <w:tc>
          <w:tcPr>
            <w:tcW w:w="5940" w:type="dxa"/>
            <w:vAlign w:val="bottom"/>
          </w:tcPr>
          <w:p>
            <w:pPr>
              <w:spacing w:after="0"/>
              <w:rPr>
                <w:sz w:val="24"/>
                <w:szCs w:val="24"/>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2120" w:type="dxa"/>
            <w:vAlign w:val="bottom"/>
          </w:tcPr>
          <w:p>
            <w:pPr>
              <w:ind w:left="200"/>
              <w:spacing w:after="0"/>
              <w:rPr>
                <w:sz w:val="20"/>
                <w:szCs w:val="20"/>
                <w:color w:val="auto"/>
              </w:rPr>
            </w:pPr>
            <w:r>
              <w:rPr>
                <w:rFonts w:ascii="Arial" w:cs="Arial" w:eastAsia="Arial" w:hAnsi="Arial"/>
                <w:sz w:val="18"/>
                <w:szCs w:val="18"/>
                <w:color w:val="auto"/>
              </w:rPr>
              <w:t>UAL</w:t>
            </w:r>
          </w:p>
        </w:tc>
        <w:tc>
          <w:tcPr>
            <w:tcW w:w="8460" w:type="dxa"/>
            <w:vAlign w:val="bottom"/>
            <w:gridSpan w:val="2"/>
          </w:tcPr>
          <w:p>
            <w:pPr>
              <w:spacing w:after="0"/>
              <w:rPr>
                <w:sz w:val="20"/>
                <w:szCs w:val="20"/>
                <w:color w:val="auto"/>
              </w:rPr>
            </w:pPr>
            <w:r>
              <w:rPr>
                <w:rFonts w:ascii="Arial" w:cs="Arial" w:eastAsia="Arial" w:hAnsi="Arial"/>
                <w:sz w:val="18"/>
                <w:szCs w:val="18"/>
                <w:color w:val="auto"/>
                <w:w w:val="90"/>
              </w:rPr>
              <w:t>Consent of Independent Registered Public Accounting Firm (Ernst &amp; Young LLP) for United Continental Holdings,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2120" w:type="dxa"/>
            <w:vAlign w:val="bottom"/>
          </w:tcPr>
          <w:p>
            <w:pPr>
              <w:ind w:left="200"/>
              <w:spacing w:after="0"/>
              <w:rPr>
                <w:sz w:val="20"/>
                <w:szCs w:val="20"/>
                <w:color w:val="auto"/>
              </w:rPr>
            </w:pPr>
            <w:r>
              <w:rPr>
                <w:rFonts w:ascii="Arial" w:cs="Arial" w:eastAsia="Arial" w:hAnsi="Arial"/>
                <w:sz w:val="18"/>
                <w:szCs w:val="18"/>
                <w:color w:val="auto"/>
              </w:rPr>
              <w:t>United</w:t>
            </w:r>
          </w:p>
        </w:tc>
        <w:tc>
          <w:tcPr>
            <w:tcW w:w="846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 (Ernst &amp; Young LLP) for United Airlines, Inc.</w:t>
            </w:r>
          </w:p>
        </w:tc>
      </w:tr>
      <w:tr>
        <w:trPr>
          <w:trHeight w:val="365"/>
        </w:trPr>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60" w:type="dxa"/>
            <w:vAlign w:val="bottom"/>
            <w:gridSpan w:val="2"/>
          </w:tcPr>
          <w:p>
            <w:pPr>
              <w:ind w:left="2780"/>
              <w:spacing w:after="0"/>
              <w:rPr>
                <w:sz w:val="20"/>
                <w:szCs w:val="20"/>
                <w:color w:val="auto"/>
              </w:rPr>
            </w:pPr>
            <w:r>
              <w:rPr>
                <w:rFonts w:ascii="Arial" w:cs="Arial" w:eastAsia="Arial" w:hAnsi="Arial"/>
                <w:sz w:val="18"/>
                <w:szCs w:val="18"/>
                <w:color w:val="auto"/>
              </w:rPr>
              <w:t>137</w:t>
            </w:r>
          </w:p>
        </w:tc>
      </w:tr>
    </w:tbl>
    <w:p>
      <w:pPr>
        <w:sectPr>
          <w:pgSz w:w="11900" w:h="16838" w:orient="portrait"/>
          <w:cols w:equalWidth="0" w:num="1">
            <w:col w:w="11380"/>
          </w:cols>
          <w:pgMar w:left="240" w:top="388" w:right="279" w:bottom="1440" w:gutter="0" w:footer="0" w:header="0"/>
          <w:type w:val="continuous"/>
        </w:sectPr>
      </w:pPr>
    </w:p>
    <w:bookmarkStart w:id="137" w:name="page138"/>
    <w:bookmarkEnd w:id="1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 w:type="dxa"/>
        <w:tblCellMar>
          <w:top w:w="0" w:type="dxa"/>
          <w:left w:w="0" w:type="dxa"/>
          <w:bottom w:w="0" w:type="dxa"/>
          <w:right w:w="0" w:type="dxa"/>
        </w:tblCellMar>
      </w:tblPr>
      <w:tr>
        <w:trPr>
          <w:trHeight w:val="229"/>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Rule 13a-14(a)/15d-14(a) Certifications</w:t>
            </w:r>
          </w:p>
        </w:tc>
        <w:tc>
          <w:tcPr>
            <w:tcW w:w="5760" w:type="dxa"/>
            <w:vAlign w:val="bottom"/>
          </w:tcPr>
          <w:p>
            <w:pPr>
              <w:spacing w:after="0"/>
              <w:rPr>
                <w:sz w:val="19"/>
                <w:szCs w:val="19"/>
                <w:color w:val="auto"/>
              </w:rPr>
            </w:pPr>
          </w:p>
        </w:tc>
      </w:tr>
      <w:tr>
        <w:trPr>
          <w:trHeight w:val="310"/>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740" w:type="dxa"/>
            <w:vAlign w:val="bottom"/>
            <w:gridSpan w:val="4"/>
          </w:tcPr>
          <w:p>
            <w:pPr>
              <w:spacing w:after="0"/>
              <w:rPr>
                <w:sz w:val="20"/>
                <w:szCs w:val="20"/>
                <w:color w:val="auto"/>
              </w:rPr>
            </w:pPr>
            <w:r>
              <w:rPr>
                <w:rFonts w:ascii="Arial" w:cs="Arial" w:eastAsia="Arial" w:hAnsi="Arial"/>
                <w:sz w:val="18"/>
                <w:szCs w:val="18"/>
                <w:color w:val="auto"/>
                <w:w w:val="90"/>
              </w:rPr>
              <w:t>Certification of the Principal Executive Officer of United Continental Holdings, Inc. pursuant to 15 U.S.C. 78m(a) or 78o(d)</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740" w:type="dxa"/>
            <w:vAlign w:val="bottom"/>
            <w:gridSpan w:val="4"/>
          </w:tcPr>
          <w:p>
            <w:pPr>
              <w:spacing w:after="0"/>
              <w:rPr>
                <w:sz w:val="20"/>
                <w:szCs w:val="20"/>
                <w:color w:val="auto"/>
              </w:rPr>
            </w:pPr>
            <w:r>
              <w:rPr>
                <w:rFonts w:ascii="Arial" w:cs="Arial" w:eastAsia="Arial" w:hAnsi="Arial"/>
                <w:sz w:val="18"/>
                <w:szCs w:val="18"/>
                <w:color w:val="auto"/>
                <w:w w:val="90"/>
              </w:rPr>
              <w:t>Certification of the Principal Financial Officer of United Continental Holdings, Inc. pursuant to 15 U.S.C. 78m(a) or 78o(d)</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31.3</w:t>
            </w: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740" w:type="dxa"/>
            <w:vAlign w:val="bottom"/>
            <w:gridSpan w:val="4"/>
          </w:tcPr>
          <w:p>
            <w:pPr>
              <w:spacing w:after="0"/>
              <w:rPr>
                <w:sz w:val="20"/>
                <w:szCs w:val="20"/>
                <w:color w:val="auto"/>
              </w:rPr>
            </w:pPr>
            <w:r>
              <w:rPr>
                <w:rFonts w:ascii="Arial" w:cs="Arial" w:eastAsia="Arial" w:hAnsi="Arial"/>
                <w:sz w:val="18"/>
                <w:szCs w:val="18"/>
                <w:color w:val="auto"/>
                <w:w w:val="90"/>
              </w:rPr>
              <w:t>Certification of the Principal Executive Officer of United Airlines, Inc. pursuant to 15 U.S.C. 78m(a) or 78o(d) (Section 302</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31.4</w:t>
            </w: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740" w:type="dxa"/>
            <w:vAlign w:val="bottom"/>
            <w:gridSpan w:val="4"/>
          </w:tcPr>
          <w:p>
            <w:pPr>
              <w:spacing w:after="0"/>
              <w:rPr>
                <w:sz w:val="20"/>
                <w:szCs w:val="20"/>
                <w:color w:val="auto"/>
              </w:rPr>
            </w:pPr>
            <w:r>
              <w:rPr>
                <w:rFonts w:ascii="Arial" w:cs="Arial" w:eastAsia="Arial" w:hAnsi="Arial"/>
                <w:sz w:val="18"/>
                <w:szCs w:val="18"/>
                <w:color w:val="auto"/>
                <w:w w:val="90"/>
              </w:rPr>
              <w:t>Certification of the Principal Financial Officer of United Airlines, Inc. pursuant to 15 U.S.C. 78m(a) or 78o(d) (Section 302</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of the Sarbanes-Oxley Act of 2002)</w:t>
            </w:r>
          </w:p>
        </w:tc>
      </w:tr>
      <w:tr>
        <w:trPr>
          <w:trHeight w:val="325"/>
        </w:trPr>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Section 1350 Certifications</w:t>
            </w:r>
          </w:p>
        </w:tc>
        <w:tc>
          <w:tcPr>
            <w:tcW w:w="6680" w:type="dxa"/>
            <w:vAlign w:val="bottom"/>
            <w:gridSpan w:val="2"/>
          </w:tcPr>
          <w:p>
            <w:pPr>
              <w:spacing w:after="0"/>
              <w:rPr>
                <w:sz w:val="24"/>
                <w:szCs w:val="24"/>
                <w:color w:val="auto"/>
              </w:rPr>
            </w:pPr>
          </w:p>
        </w:tc>
      </w:tr>
      <w:tr>
        <w:trPr>
          <w:trHeight w:val="310"/>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740" w:type="dxa"/>
            <w:vAlign w:val="bottom"/>
            <w:gridSpan w:val="4"/>
          </w:tcPr>
          <w:p>
            <w:pPr>
              <w:spacing w:after="0"/>
              <w:rPr>
                <w:sz w:val="20"/>
                <w:szCs w:val="20"/>
                <w:color w:val="auto"/>
              </w:rPr>
            </w:pPr>
            <w:r>
              <w:rPr>
                <w:rFonts w:ascii="Arial" w:cs="Arial" w:eastAsia="Arial" w:hAnsi="Arial"/>
                <w:sz w:val="18"/>
                <w:szCs w:val="18"/>
                <w:color w:val="auto"/>
                <w:w w:val="91"/>
              </w:rPr>
              <w:t>Certification of the Chief Executive Officer and Chief Financial Officer of United Continental Holdings, Inc. pursuant to 18</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U.S.C. 1350 (Section 906 of the Sarbanes-Oxley Act of 2002)</w:t>
            </w:r>
          </w:p>
        </w:tc>
      </w:tr>
      <w:tr>
        <w:trPr>
          <w:trHeight w:val="318"/>
        </w:trPr>
        <w:tc>
          <w:tcPr>
            <w:tcW w:w="68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740" w:type="dxa"/>
            <w:vAlign w:val="bottom"/>
            <w:gridSpan w:val="4"/>
          </w:tcPr>
          <w:p>
            <w:pPr>
              <w:spacing w:after="0"/>
              <w:rPr>
                <w:sz w:val="20"/>
                <w:szCs w:val="20"/>
                <w:color w:val="auto"/>
              </w:rPr>
            </w:pPr>
            <w:r>
              <w:rPr>
                <w:rFonts w:ascii="Arial" w:cs="Arial" w:eastAsia="Arial" w:hAnsi="Arial"/>
                <w:sz w:val="18"/>
                <w:szCs w:val="18"/>
                <w:color w:val="auto"/>
                <w:w w:val="91"/>
              </w:rPr>
              <w:t>Certification of the Chief Executive Officer and Chief Financial Officer of United Airlines, Inc. pursuant to 18 U.S.C. 1350</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325"/>
        </w:trPr>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Interactive Data File</w:t>
            </w:r>
          </w:p>
        </w:tc>
        <w:tc>
          <w:tcPr>
            <w:tcW w:w="7160" w:type="dxa"/>
            <w:vAlign w:val="bottom"/>
            <w:gridSpan w:val="3"/>
          </w:tcPr>
          <w:p>
            <w:pPr>
              <w:spacing w:after="0"/>
              <w:rPr>
                <w:sz w:val="24"/>
                <w:szCs w:val="24"/>
                <w:color w:val="auto"/>
              </w:rPr>
            </w:pPr>
          </w:p>
        </w:tc>
      </w:tr>
      <w:tr>
        <w:trPr>
          <w:trHeight w:val="310"/>
        </w:trPr>
        <w:tc>
          <w:tcPr>
            <w:tcW w:w="680" w:type="dxa"/>
            <w:vAlign w:val="bottom"/>
          </w:tcPr>
          <w:p>
            <w:pPr>
              <w:jc w:val="right"/>
              <w:ind w:right="332"/>
              <w:spacing w:after="0"/>
              <w:rPr>
                <w:sz w:val="20"/>
                <w:szCs w:val="20"/>
                <w:color w:val="auto"/>
              </w:rPr>
            </w:pPr>
            <w:r>
              <w:rPr>
                <w:rFonts w:ascii="Arial" w:cs="Arial" w:eastAsia="Arial" w:hAnsi="Arial"/>
                <w:sz w:val="18"/>
                <w:szCs w:val="18"/>
                <w:color w:val="auto"/>
                <w:w w:val="79"/>
              </w:rPr>
              <w:t>101</w:t>
            </w:r>
          </w:p>
        </w:tc>
        <w:tc>
          <w:tcPr>
            <w:tcW w:w="1860" w:type="dxa"/>
            <w:vAlign w:val="bottom"/>
          </w:tcPr>
          <w:p>
            <w:pPr>
              <w:ind w:left="280"/>
              <w:spacing w:after="0"/>
              <w:rPr>
                <w:sz w:val="20"/>
                <w:szCs w:val="20"/>
                <w:color w:val="auto"/>
              </w:rPr>
            </w:pPr>
            <w:r>
              <w:rPr>
                <w:rFonts w:ascii="Arial" w:cs="Arial" w:eastAsia="Arial" w:hAnsi="Arial"/>
                <w:sz w:val="18"/>
                <w:szCs w:val="18"/>
                <w:color w:val="auto"/>
              </w:rPr>
              <w:t>UAL</w:t>
            </w:r>
          </w:p>
        </w:tc>
        <w:tc>
          <w:tcPr>
            <w:tcW w:w="8740" w:type="dxa"/>
            <w:vAlign w:val="bottom"/>
            <w:gridSpan w:val="4"/>
          </w:tcPr>
          <w:p>
            <w:pPr>
              <w:spacing w:after="0"/>
              <w:rPr>
                <w:sz w:val="20"/>
                <w:szCs w:val="20"/>
                <w:color w:val="auto"/>
              </w:rPr>
            </w:pPr>
            <w:r>
              <w:rPr>
                <w:rFonts w:ascii="Arial" w:cs="Arial" w:eastAsia="Arial" w:hAnsi="Arial"/>
                <w:sz w:val="18"/>
                <w:szCs w:val="18"/>
                <w:color w:val="auto"/>
                <w:w w:val="93"/>
              </w:rPr>
              <w:t>The following materials from each of United Continental Holdings, Inc.’s and United Airlines, Inc.’s Annual Reports on</w:t>
            </w:r>
          </w:p>
        </w:tc>
      </w:tr>
      <w:tr>
        <w:trPr>
          <w:trHeight w:val="216"/>
        </w:trPr>
        <w:tc>
          <w:tcPr>
            <w:tcW w:w="68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United</w:t>
            </w:r>
          </w:p>
        </w:tc>
        <w:tc>
          <w:tcPr>
            <w:tcW w:w="8740" w:type="dxa"/>
            <w:vAlign w:val="bottom"/>
            <w:gridSpan w:val="4"/>
          </w:tcPr>
          <w:p>
            <w:pPr>
              <w:spacing w:after="0"/>
              <w:rPr>
                <w:sz w:val="20"/>
                <w:szCs w:val="20"/>
                <w:color w:val="auto"/>
              </w:rPr>
            </w:pPr>
            <w:r>
              <w:rPr>
                <w:rFonts w:ascii="Arial" w:cs="Arial" w:eastAsia="Arial" w:hAnsi="Arial"/>
                <w:sz w:val="18"/>
                <w:szCs w:val="18"/>
                <w:color w:val="auto"/>
              </w:rPr>
              <w:t>Form 10-K for the year ended</w:t>
            </w:r>
          </w:p>
        </w:tc>
      </w:tr>
      <w:tr>
        <w:trPr>
          <w:trHeight w:val="222"/>
        </w:trPr>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740" w:type="dxa"/>
            <w:vAlign w:val="bottom"/>
            <w:gridSpan w:val="4"/>
          </w:tcPr>
          <w:p>
            <w:pPr>
              <w:spacing w:after="0"/>
              <w:rPr>
                <w:sz w:val="20"/>
                <w:szCs w:val="20"/>
                <w:color w:val="auto"/>
              </w:rPr>
            </w:pPr>
            <w:r>
              <w:rPr>
                <w:rFonts w:ascii="Arial" w:cs="Arial" w:eastAsia="Arial" w:hAnsi="Arial"/>
                <w:sz w:val="18"/>
                <w:szCs w:val="18"/>
                <w:color w:val="auto"/>
                <w:w w:val="92"/>
              </w:rPr>
              <w:t>December 31, 2015, formatted in XBRL (Extensible Business Reporting Language): (i) the Statements of Consolidated</w:t>
            </w:r>
          </w:p>
        </w:tc>
      </w:tr>
    </w:tbl>
    <w:p>
      <w:pPr>
        <w:jc w:val="both"/>
        <w:ind w:left="2632" w:right="120"/>
        <w:spacing w:after="0" w:line="255" w:lineRule="auto"/>
        <w:rPr>
          <w:sz w:val="20"/>
          <w:szCs w:val="20"/>
          <w:color w:val="auto"/>
        </w:rPr>
      </w:pPr>
      <w:r>
        <w:rPr>
          <w:rFonts w:ascii="Arial" w:cs="Arial" w:eastAsia="Arial" w:hAnsi="Arial"/>
          <w:sz w:val="18"/>
          <w:szCs w:val="18"/>
          <w:color w:val="auto"/>
        </w:rPr>
        <w:t>Operations, (ii) the Statements of Consolidated Comprehensive Income (Loss), (iii) the Consolidated Balance Sheets, (iv) the Statements of Consolidated Cash Flows, (v) the Statements of Consolidated Stockholders’ Equity (Deficit) and (vi) the Combined Notes to Consolidated Financial Statements.</w:t>
      </w:r>
    </w:p>
    <w:p>
      <w:pPr>
        <w:spacing w:after="0" w:line="114" w:lineRule="exact"/>
        <w:rPr>
          <w:sz w:val="20"/>
          <w:szCs w:val="20"/>
          <w:color w:val="auto"/>
        </w:rPr>
      </w:pPr>
    </w:p>
    <w:p>
      <w:pPr>
        <w:ind w:left="572" w:hanging="572"/>
        <w:spacing w:after="0"/>
        <w:tabs>
          <w:tab w:leader="none" w:pos="5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Previously filed.</w:t>
      </w:r>
    </w:p>
    <w:p>
      <w:pPr>
        <w:ind w:left="572" w:right="40" w:hanging="572"/>
        <w:spacing w:after="0" w:line="221" w:lineRule="auto"/>
        <w:tabs>
          <w:tab w:leader="none" w:pos="57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Pursuant to Item 601(b)(10), United and Continental are permitted to omit certain compensation-related exhibits from this report and therefore only UAL is identified as the registrant for purposes of those items.</w:t>
      </w:r>
    </w:p>
    <w:p>
      <w:pPr>
        <w:ind w:left="572" w:hanging="572"/>
        <w:spacing w:after="0"/>
        <w:tabs>
          <w:tab w:leader="none" w:pos="572"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Confidential portion of this exhibit has been omitted and filed separately with the SEC pursuant to a request for confidential treatment.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72"/>
          </w:cols>
          <w:pgMar w:left="248" w:top="382" w:right="2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PROFIT SHARING PLAN</w:t>
      </w:r>
    </w:p>
    <w:p>
      <w:pPr>
        <w:spacing w:after="0" w:line="21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WHEREAS, United Continental Holdings, Inc. (the “Company”) sponsors the United Continental Holdings, Inc. Profit Sharing Plan (as amended and restated effective January 1, 2014, except as otherwise provided therein, and as previously amended by the First Amendment thereto) (the “Plan”);</w:t>
      </w:r>
    </w:p>
    <w:p>
      <w:pPr>
        <w:spacing w:after="0" w:line="12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WHEREAS, Appendix B of the Plan sets forth the Factors to be used for each Participating Employee Group to determine Awards under Section III.B.3 of the Plan;</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the First Amendment was previously adopted to amend the Factors to implement certain requirements of collective bargaining agreements with certain of the Company’s union represented Participating Employee Groups;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the Company desires to amend the Plan to modify the Factors used for each of the non-union Participating Employee Groups (referred to collectively in the Plan as the “Management and Administrative Employee Group,” but in some cases separately listed in Appendix B) to provide terms similar to those provided to certain of the union represented Participating Employee Groups;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Section V.A reserves to the Company the right to amend the Plan in its sole discretion;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Board of Directors has approved the following amendment;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NOW, THEREFORE, the Plan is hereby amended effective January 1, 2015, for the 2015 Plan year and thereafter by changing the Non-Union portion of Appendix B to read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Non-Union</w:t>
            </w:r>
          </w:p>
        </w:tc>
        <w:tc>
          <w:tcPr>
            <w:tcW w:w="6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color w:val="auto"/>
                <w:w w:val="98"/>
              </w:rPr>
              <w:t>Union</w:t>
            </w: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color w:val="auto"/>
                <w:w w:val="91"/>
              </w:rPr>
              <w:t>Factor for Base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Factor for Base</w:t>
            </w:r>
          </w:p>
        </w:tc>
        <w:tc>
          <w:tcPr>
            <w:tcW w:w="0" w:type="dxa"/>
            <w:vAlign w:val="bottom"/>
          </w:tcPr>
          <w:p>
            <w:pPr>
              <w:spacing w:after="0"/>
              <w:rPr>
                <w:sz w:val="1"/>
                <w:szCs w:val="1"/>
                <w:color w:val="auto"/>
              </w:rPr>
            </w:pPr>
          </w:p>
        </w:tc>
      </w:tr>
      <w:tr>
        <w:trPr>
          <w:trHeight w:val="154"/>
        </w:trPr>
        <w:tc>
          <w:tcPr>
            <w:tcW w:w="530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gridSpan w:val="2"/>
          </w:tcPr>
          <w:p>
            <w:pPr>
              <w:jc w:val="center"/>
              <w:ind w:right="500"/>
              <w:spacing w:after="0" w:line="154" w:lineRule="exact"/>
              <w:rPr>
                <w:sz w:val="20"/>
                <w:szCs w:val="20"/>
                <w:color w:val="auto"/>
              </w:rPr>
            </w:pPr>
            <w:r>
              <w:rPr>
                <w:rFonts w:ascii="Arial" w:cs="Arial" w:eastAsia="Arial" w:hAnsi="Arial"/>
                <w:sz w:val="14"/>
                <w:szCs w:val="14"/>
                <w:color w:val="auto"/>
                <w:w w:val="90"/>
              </w:rPr>
              <w:t>Representation</w:t>
            </w:r>
          </w:p>
        </w:tc>
        <w:tc>
          <w:tcPr>
            <w:tcW w:w="1620" w:type="dxa"/>
            <w:vAlign w:val="bottom"/>
            <w:gridSpan w:val="2"/>
          </w:tcPr>
          <w:p>
            <w:pPr>
              <w:jc w:val="center"/>
              <w:ind w:right="520"/>
              <w:spacing w:after="0" w:line="154" w:lineRule="exact"/>
              <w:rPr>
                <w:sz w:val="20"/>
                <w:szCs w:val="20"/>
                <w:color w:val="auto"/>
              </w:rPr>
            </w:pPr>
            <w:r>
              <w:rPr>
                <w:rFonts w:ascii="Arial" w:cs="Arial" w:eastAsia="Arial" w:hAnsi="Arial"/>
                <w:sz w:val="14"/>
                <w:szCs w:val="14"/>
                <w:color w:val="auto"/>
                <w:w w:val="91"/>
              </w:rPr>
              <w:t>Group Code</w:t>
            </w:r>
          </w:p>
        </w:tc>
        <w:tc>
          <w:tcPr>
            <w:tcW w:w="152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Percentage A</w:t>
            </w:r>
          </w:p>
        </w:tc>
        <w:tc>
          <w:tcPr>
            <w:tcW w:w="980" w:type="dxa"/>
            <w:vAlign w:val="bottom"/>
            <w:gridSpan w:val="2"/>
          </w:tcPr>
          <w:p>
            <w:pPr>
              <w:jc w:val="right"/>
              <w:ind w:right="160"/>
              <w:spacing w:after="0" w:line="154" w:lineRule="exact"/>
              <w:rPr>
                <w:sz w:val="20"/>
                <w:szCs w:val="20"/>
                <w:color w:val="auto"/>
              </w:rPr>
            </w:pPr>
            <w:r>
              <w:rPr>
                <w:rFonts w:ascii="Arial" w:cs="Arial" w:eastAsia="Arial" w:hAnsi="Arial"/>
                <w:sz w:val="14"/>
                <w:szCs w:val="14"/>
                <w:color w:val="auto"/>
                <w:w w:val="94"/>
              </w:rPr>
              <w:t>Percentage B</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FQM (Flight Qualified Management)</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None</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FMT</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Chelsea Food Service</w:t>
            </w:r>
          </w:p>
        </w:tc>
        <w:tc>
          <w:tcPr>
            <w:tcW w:w="60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None</w:t>
            </w: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FS</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Management &amp; Administrative</w:t>
            </w:r>
          </w:p>
        </w:tc>
        <w:tc>
          <w:tcPr>
            <w:tcW w:w="6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center"/>
              <w:ind w:right="520"/>
              <w:spacing w:after="0"/>
              <w:rPr>
                <w:sz w:val="20"/>
                <w:szCs w:val="20"/>
                <w:color w:val="auto"/>
              </w:rPr>
            </w:pPr>
            <w:r>
              <w:rPr>
                <w:rFonts w:ascii="Arial" w:cs="Arial" w:eastAsia="Arial" w:hAnsi="Arial"/>
                <w:sz w:val="18"/>
                <w:szCs w:val="18"/>
                <w:color w:val="auto"/>
                <w:w w:val="92"/>
              </w:rPr>
              <w:t>None</w:t>
            </w:r>
          </w:p>
        </w:tc>
        <w:tc>
          <w:tcPr>
            <w:tcW w:w="162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6"/>
              </w:rPr>
              <w:t>SAL, MGT,</w:t>
            </w:r>
          </w:p>
        </w:tc>
        <w:tc>
          <w:tcPr>
            <w:tcW w:w="1520" w:type="dxa"/>
            <w:vAlign w:val="bottom"/>
            <w:gridSpan w:val="2"/>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300" w:type="dxa"/>
            <w:vAlign w:val="bottom"/>
            <w:gridSpan w:val="2"/>
            <w:vMerge w:val="continue"/>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1620" w:type="dxa"/>
            <w:vAlign w:val="bottom"/>
            <w:gridSpan w:val="2"/>
            <w:vMerge w:val="restart"/>
            <w:shd w:val="clear" w:color="auto" w:fill="CCEEFF"/>
          </w:tcPr>
          <w:p>
            <w:pPr>
              <w:jc w:val="center"/>
              <w:ind w:right="520"/>
              <w:spacing w:after="0"/>
              <w:rPr>
                <w:sz w:val="20"/>
                <w:szCs w:val="20"/>
                <w:color w:val="auto"/>
              </w:rPr>
            </w:pPr>
            <w:r>
              <w:rPr>
                <w:rFonts w:ascii="Arial" w:cs="Arial" w:eastAsia="Arial" w:hAnsi="Arial"/>
                <w:sz w:val="18"/>
                <w:szCs w:val="18"/>
                <w:color w:val="auto"/>
                <w:w w:val="94"/>
              </w:rPr>
              <w:t>OFC,SIA, SLS</w:t>
            </w:r>
          </w:p>
        </w:tc>
        <w:tc>
          <w:tcPr>
            <w:tcW w:w="152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shd w:val="clear" w:color="auto" w:fill="CCEEFF"/>
          </w:tcPr>
          <w:p>
            <w:pPr>
              <w:spacing w:after="0"/>
              <w:rPr>
                <w:sz w:val="9"/>
                <w:szCs w:val="9"/>
                <w:color w:val="auto"/>
              </w:rPr>
            </w:pPr>
          </w:p>
        </w:tc>
        <w:tc>
          <w:tcPr>
            <w:tcW w:w="4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20" w:type="dxa"/>
            <w:vAlign w:val="bottom"/>
            <w:gridSpan w:val="2"/>
            <w:vMerge w:val="continue"/>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Test Pilots</w:t>
            </w:r>
          </w:p>
        </w:tc>
        <w:tc>
          <w:tcPr>
            <w:tcW w:w="60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None</w:t>
            </w:r>
          </w:p>
        </w:tc>
        <w:tc>
          <w:tcPr>
            <w:tcW w:w="16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TPT</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00" w:type="dxa"/>
            <w:vAlign w:val="bottom"/>
            <w:gridSpan w:val="2"/>
          </w:tcPr>
          <w:p>
            <w:pPr>
              <w:ind w:left="5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96"/>
              <w:spacing w:after="0"/>
              <w:rPr>
                <w:sz w:val="20"/>
                <w:szCs w:val="20"/>
                <w:color w:val="auto"/>
              </w:rPr>
            </w:pPr>
            <w:r>
              <w:rPr>
                <w:rFonts w:ascii="Arial" w:cs="Arial" w:eastAsia="Arial" w:hAnsi="Arial"/>
                <w:sz w:val="18"/>
                <w:szCs w:val="18"/>
                <w:color w:val="auto"/>
              </w:rPr>
              <w:t>*  *  *  *</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amendment to be executed on its behalf this 30th day of December, 2015.</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UNITED CONTINENTAL HOLDINGS, INC.</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P.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Michael P. Bonds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Human Resources and Labor Relations</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80"/>
          </w:cols>
          <w:pgMar w:left="700" w:top="274" w:right="14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Benefits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Officers of United Continental Holdings, Inc. (“UCH”) and United Airlines, Inc. receive certain miscellaneous benefits in addition to those set forth in the applicable severance plan or employment agreement. The following is a summary of such benefits, which have been approved by the Compensation Committee of UCH:</w:t>
      </w:r>
    </w:p>
    <w:p>
      <w:pPr>
        <w:spacing w:after="0" w:line="177"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 xml:space="preserve">Executive Life Insurance. </w:t>
      </w:r>
      <w:r>
        <w:rPr>
          <w:rFonts w:ascii="Arial" w:cs="Arial" w:eastAsia="Arial" w:hAnsi="Arial"/>
          <w:sz w:val="16"/>
          <w:szCs w:val="16"/>
          <w:color w:val="auto"/>
        </w:rPr>
        <w:t>All officers receive company-paid basic life insurance in an amount equal to one times their base salary (up to a $500,000</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and group variable universal life insurance in an amount equal to three times their base salary (up to a $3,000,000 maximum).</w:t>
      </w:r>
    </w:p>
    <w:p>
      <w:pPr>
        <w:spacing w:after="0" w:line="11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Annual Executive Physical. </w:t>
      </w:r>
      <w:r>
        <w:rPr>
          <w:rFonts w:ascii="Arial" w:cs="Arial" w:eastAsia="Arial" w:hAnsi="Arial"/>
          <w:sz w:val="18"/>
          <w:szCs w:val="18"/>
          <w:color w:val="auto"/>
        </w:rPr>
        <w:t>The company has made arrangements with certain providers to provide officers a company-paid annual comprehensive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 Club Fees. </w:t>
      </w:r>
      <w:r>
        <w:rPr>
          <w:rFonts w:ascii="Arial" w:cs="Arial" w:eastAsia="Arial" w:hAnsi="Arial"/>
          <w:sz w:val="18"/>
          <w:szCs w:val="18"/>
          <w:color w:val="auto"/>
        </w:rPr>
        <w:t>Officers are eligible for reimbursement of certain limited health club membership fees (up to an annual limit of $2,500).</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Tax Preparation, Financial Services and Estate/Trust Planning. </w:t>
      </w:r>
      <w:r>
        <w:rPr>
          <w:rFonts w:ascii="Arial" w:cs="Arial" w:eastAsia="Arial" w:hAnsi="Arial"/>
          <w:sz w:val="18"/>
          <w:szCs w:val="18"/>
          <w:color w:val="auto"/>
        </w:rPr>
        <w:t>Officers are eligible for reimbursement for certain services provided by their choice of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financial planner, estate planner or tax attorney/certified tax accountant.</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Relocation Assistance. </w:t>
      </w:r>
      <w:r>
        <w:rPr>
          <w:rFonts w:ascii="Arial" w:cs="Arial" w:eastAsia="Arial" w:hAnsi="Arial"/>
          <w:sz w:val="17"/>
          <w:szCs w:val="17"/>
          <w:color w:val="auto"/>
        </w:rPr>
        <w:t>The company maintains a relocation program to provide for a successful and smooth transition for officers who relocate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joining the company. The program includes the following primary elements: temporary living assistance; reimbursement of normal and customary closing costs associated with a home sale; movement of household goods; assistance with a new home purchase and closing costs; a miscellaneous allowance to cover house hunting, travel and other expenses; and protection for a loss on sale of a home, if needed. In addition, officers are eligible for a tax-gross-up with respect to home sales and new home purchases resulting from such relocation.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The company provides paid parking at the officers’ headquarters location, as well as ORD, IAH and SFO (if applicable).</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Community Support Travel Program. </w:t>
      </w:r>
      <w:r>
        <w:rPr>
          <w:rFonts w:ascii="Arial" w:cs="Arial" w:eastAsia="Arial" w:hAnsi="Arial"/>
          <w:sz w:val="18"/>
          <w:szCs w:val="18"/>
          <w:color w:val="auto"/>
        </w:rPr>
        <w:t>Officers are able to nominate one or more qualified organizations to receive a donation of up to four domestic coach</w:t>
      </w:r>
      <w:r>
        <w:rPr>
          <w:rFonts w:ascii="Arial" w:cs="Arial" w:eastAsia="Arial" w:hAnsi="Arial"/>
          <w:sz w:val="18"/>
          <w:szCs w:val="18"/>
          <w:b w:val="1"/>
          <w:bCs w:val="1"/>
          <w:color w:val="auto"/>
        </w:rPr>
        <w:t xml:space="preserve"> </w:t>
      </w:r>
      <w:r>
        <w:rPr>
          <w:rFonts w:ascii="Arial" w:cs="Arial" w:eastAsia="Arial" w:hAnsi="Arial"/>
          <w:sz w:val="18"/>
          <w:szCs w:val="18"/>
          <w:color w:val="auto"/>
        </w:rPr>
        <w:t>tickets (or two first class domestic tickets) each year.</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CONTINENTAL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PROGRAM</w:t>
      </w:r>
    </w:p>
    <w:p>
      <w:pPr>
        <w:spacing w:after="0" w:line="20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United Continental Holdings, Inc. Performance-Based RSU Program, as amended (the “Program”), has heretofore been adopted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(the “Committee”) of the Board of Directors of United Continental Holdings, Inc. to implement in part the “RSU” and “Performance Compensation Award” provisions of the United Continental Holdings, Inc. 2008 Incentive Compensation Plan, as amended from time to time; and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is authorized to amend the Program;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desires to amend the Program in certain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the Program shall be amended as follows, effective with respect to Performance Periods (as such term is defined 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Program) beginning on or after January 1, 2016: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Section 2.1(bb) of the Program shall be deleted and the following shall be substituted therefor:</w:t>
      </w:r>
    </w:p>
    <w:p>
      <w:pPr>
        <w:spacing w:after="0" w:line="22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“(bb) “ROIC” means, with respect to each Performance Period and determined based on the regularly prepared and publicly available statements of operations of the Company prepared in accordance with applicable accounting rules and as established by the Committee within 90 days after the commencement of the Performance Period (but in no event after the date required for a performance goal to be considered pre-established under section 162(m) of the Code), </w:t>
      </w:r>
      <w:r>
        <w:rPr>
          <w:rFonts w:ascii="Arial" w:cs="Arial" w:eastAsia="Arial" w:hAnsi="Arial"/>
          <w:sz w:val="18"/>
          <w:szCs w:val="18"/>
          <w:i w:val="1"/>
          <w:iCs w:val="1"/>
          <w:color w:val="auto"/>
        </w:rPr>
        <w:t>either:</w:t>
      </w:r>
    </w:p>
    <w:p>
      <w:pPr>
        <w:spacing w:after="0" w:line="79" w:lineRule="exact"/>
        <w:rPr>
          <w:sz w:val="20"/>
          <w:szCs w:val="20"/>
          <w:color w:val="auto"/>
        </w:rPr>
      </w:pPr>
    </w:p>
    <w:p>
      <w:pPr>
        <w:ind w:left="460" w:right="180" w:firstLine="4"/>
        <w:spacing w:after="0" w:line="277"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“Net Operating Profit After Tax” for such Performance Period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“Average Invested Capital” for such Performance Period (expressed as a percentage carried to two decimal points), where:</w:t>
      </w:r>
    </w:p>
    <w:p>
      <w:pPr>
        <w:spacing w:after="0" w:line="62" w:lineRule="exact"/>
        <w:rPr>
          <w:sz w:val="20"/>
          <w:szCs w:val="20"/>
          <w:color w:val="auto"/>
        </w:rPr>
      </w:pPr>
    </w:p>
    <w:p>
      <w:pPr>
        <w:ind w:left="920" w:right="60"/>
        <w:spacing w:after="0" w:line="269" w:lineRule="auto"/>
        <w:rPr>
          <w:sz w:val="20"/>
          <w:szCs w:val="20"/>
          <w:color w:val="auto"/>
        </w:rPr>
      </w:pPr>
      <w:r>
        <w:rPr>
          <w:rFonts w:ascii="Arial" w:cs="Arial" w:eastAsia="Arial" w:hAnsi="Arial"/>
          <w:sz w:val="17"/>
          <w:szCs w:val="17"/>
          <w:color w:val="auto"/>
        </w:rPr>
        <w:t>“Net Operating Profit After Tax” means the difference between (i) the sum of (A) the aggregate consolidated net income of the Company for such Performance Period (adjusted to exclude any item that is special, extraordinary or unusual in nature or infrequent in occurrence (as determined in according with applicable accounting rules) and any unrealized gains or losses from hedging activities), (B) the aggregate consolidated interest expense and income taxes incurred by the Company for such Performance Period, (C) the portion of the aggregate capitalized aircraft rent for all aircraft where the Company is the named lessor for such Performance Period that represents interest (which shall be calculated as the sum of such amounts for each calendar year within such Performance Period based on the long term average interest rate incurred by the Company on book debt), and (D) the aggregate consolidated interest expense for such Performance Period on pension and post-retirement obligations less the aggregate consolidated expected returns for such Performance Period on pension assets, and (ii) the aggregate consolidated income taxes that would have been paid for such Performance Period with respect to the sum described in clause (i) above based on the income tax rate implied by actual taxes paid as a percentage of consolidated net income determined in accordance with U.S. generally accepted accounting principles; and</w:t>
      </w:r>
    </w:p>
    <w:p>
      <w:pPr>
        <w:sectPr>
          <w:pgSz w:w="11900" w:h="16838" w:orient="portrait"/>
          <w:cols w:equalWidth="0" w:num="1">
            <w:col w:w="11420"/>
          </w:cols>
          <w:pgMar w:left="240" w:top="121" w:right="239" w:bottom="1440" w:gutter="0" w:footer="0" w:header="0"/>
        </w:sectPr>
      </w:pPr>
    </w:p>
    <w:bookmarkStart w:id="142" w:name="page143"/>
    <w:bookmarkEnd w:id="142"/>
    <w:p>
      <w:pPr>
        <w:ind w:left="92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 Invested Capital” means the average “Invested Capital” for the years included in such Performance Period, where “Invested Capital” means the following:</w:t>
      </w:r>
    </w:p>
    <w:p>
      <w:pPr>
        <w:spacing w:after="0" w:line="62" w:lineRule="exact"/>
        <w:rPr>
          <w:sz w:val="20"/>
          <w:szCs w:val="20"/>
          <w:color w:val="auto"/>
        </w:rPr>
      </w:pPr>
    </w:p>
    <w:p>
      <w:pPr>
        <w:ind w:left="1500" w:right="100"/>
        <w:spacing w:after="0" w:line="277" w:lineRule="auto"/>
        <w:rPr>
          <w:sz w:val="20"/>
          <w:szCs w:val="20"/>
          <w:color w:val="auto"/>
        </w:rPr>
      </w:pPr>
      <w:r>
        <w:rPr>
          <w:rFonts w:ascii="Arial" w:cs="Arial" w:eastAsia="Arial" w:hAnsi="Arial"/>
          <w:sz w:val="18"/>
          <w:szCs w:val="18"/>
          <w:color w:val="auto"/>
        </w:rPr>
        <w:t xml:space="preserve">With respect to each such year, the average of an amount equal to </w:t>
      </w:r>
      <w:r>
        <w:rPr>
          <w:rFonts w:ascii="Arial" w:cs="Arial" w:eastAsia="Arial" w:hAnsi="Arial"/>
          <w:sz w:val="18"/>
          <w:szCs w:val="18"/>
          <w:b w:val="1"/>
          <w:bCs w:val="1"/>
          <w:i w:val="1"/>
          <w:iCs w:val="1"/>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w:t>
      </w:r>
      <w:r>
        <w:rPr>
          <w:rFonts w:ascii="Arial" w:cs="Arial" w:eastAsia="Arial" w:hAnsi="Arial"/>
          <w:sz w:val="18"/>
          <w:szCs w:val="18"/>
          <w:color w:val="auto"/>
        </w:rPr>
        <w:t xml:space="preserve"> for each of (i) the fiscal quarter immediately preceding such year and (ii) the four fiscal quarters within such year, where:</w:t>
      </w:r>
    </w:p>
    <w:p>
      <w:pPr>
        <w:spacing w:after="0" w:line="76"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color w:val="auto"/>
        </w:rPr>
        <w:t>equals the aggregate consolidated total assets of the Company as of the last day of such fiscal quarter;</w:t>
      </w:r>
    </w:p>
    <w:p>
      <w:pPr>
        <w:spacing w:after="0" w:line="131" w:lineRule="exact"/>
        <w:rPr>
          <w:sz w:val="20"/>
          <w:szCs w:val="20"/>
          <w:color w:val="auto"/>
        </w:rPr>
      </w:pPr>
    </w:p>
    <w:p>
      <w:pPr>
        <w:jc w:val="both"/>
        <w:ind w:left="1920" w:right="60" w:hanging="439"/>
        <w:spacing w:after="0" w:line="264" w:lineRule="auto"/>
        <w:tabs>
          <w:tab w:leader="none" w:pos="190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8"/>
          <w:szCs w:val="18"/>
          <w:color w:val="auto"/>
        </w:rPr>
        <w:t>equals the aggregate consolidated capitalized aircraft rent for aircraft leases where the Company is the named lessor for such fiscal quarter, which is measured by multiplying the aircraft rent expense (mainline and regional) for the trailing 12-month period ending in such fiscal quarter by 7.0; and</w:t>
      </w:r>
    </w:p>
    <w:p>
      <w:pPr>
        <w:spacing w:after="0" w:line="87" w:lineRule="exact"/>
        <w:rPr>
          <w:sz w:val="20"/>
          <w:szCs w:val="20"/>
          <w:color w:val="auto"/>
        </w:rPr>
      </w:pPr>
    </w:p>
    <w:p>
      <w:pPr>
        <w:ind w:left="1920" w:right="120" w:hanging="439"/>
        <w:spacing w:after="0" w:line="277" w:lineRule="auto"/>
        <w:tabs>
          <w:tab w:leader="none" w:pos="190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8"/>
          <w:szCs w:val="18"/>
          <w:color w:val="auto"/>
        </w:rPr>
        <w:t>equals the aggregate consolidated non-interest bearing liabilities of the Company (both current and long term) as of the last day of such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right="340" w:firstLine="8"/>
        <w:spacing w:after="0" w:line="277"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“Net Operating Profit Before Tax” for such Performance Period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“Average Invested Capital” (as defined above in section 2(bb)(I)) for such Performance Period (expressed as a percentage carried to two decimal points), where:</w:t>
      </w:r>
    </w:p>
    <w:p>
      <w:pPr>
        <w:spacing w:after="0" w:line="62"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“Net Operating Profit Before Tax” means the sum of (A) the aggregate consolidated pre-tax income of the Company for such Performance Period (adjusted to exclude any item that is special, extraordinary or unusual in nature or infrequent in occurrence (as determined in according with applicable accounting rules) and any unrealized gains or losses from hedging activities), (B) the aggregate consolidated interest expense incurred by the Company for such Performance Period, (C) the portion of the aggregate capitalized aircraft rent for all aircraft where the Company is the named lessor for such Performance Period that represents interest (which shall be calculated as the sum of such amounts for each calendar year within such Performance Period based on the long-term average interest rate incurred by the Company on book debt), and (D) the aggregate consolidated interest expense for such Performance Period on pension and post-retirement obligations less the aggregate consolidated expected returns for such Performance Period on pension assets.”</w:t>
      </w:r>
    </w:p>
    <w:p>
      <w:pPr>
        <w:spacing w:after="0" w:line="179" w:lineRule="exact"/>
        <w:rPr>
          <w:sz w:val="20"/>
          <w:szCs w:val="20"/>
          <w:color w:val="auto"/>
        </w:rPr>
      </w:pPr>
    </w:p>
    <w:p>
      <w:pPr>
        <w:jc w:val="right"/>
        <w:ind w:left="5600" w:right="5600" w:hanging="5136"/>
        <w:spacing w:after="0" w:line="536" w:lineRule="auto"/>
        <w:tabs>
          <w:tab w:leader="none" w:pos="6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amended hereby, the Program is specifically ratified and reaffirmed. -2-</w:t>
      </w:r>
    </w:p>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[Name]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RSU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ROIC</w:t>
      </w:r>
    </w:p>
    <w:p>
      <w:pPr>
        <w:spacing w:after="0" w:line="207"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Performance Period January 1, 20[</w:t>
        <w:tab/>
        <w:t>] to December 31, 20[</w:t>
        <w:tab/>
        <w:t>]</w:t>
      </w:r>
    </w:p>
    <w:p>
      <w:pPr>
        <w:spacing w:after="0" w:line="229" w:lineRule="exact"/>
        <w:rPr>
          <w:sz w:val="20"/>
          <w:szCs w:val="20"/>
          <w:color w:val="auto"/>
        </w:rPr>
      </w:pPr>
    </w:p>
    <w:p>
      <w:pPr>
        <w:jc w:val="both"/>
        <w:ind w:right="120" w:firstLine="464"/>
        <w:spacing w:after="0" w:line="288" w:lineRule="auto"/>
        <w:tabs>
          <w:tab w:leader="none" w:pos="63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The Program</w:t>
      </w:r>
      <w:r>
        <w:rPr>
          <w:rFonts w:ascii="Arial" w:cs="Arial" w:eastAsia="Arial" w:hAnsi="Arial"/>
          <w:sz w:val="16"/>
          <w:szCs w:val="16"/>
          <w:color w:val="auto"/>
        </w:rPr>
        <w:t>. This document constitutes your formal Award Notice with respect to an Award of RSUs as a Participant under the United Continental Holdings, Inc. Performance-Based RSU Program (as amended from time to time, the “</w:t>
      </w:r>
      <w:r>
        <w:rPr>
          <w:rFonts w:ascii="Arial" w:cs="Arial" w:eastAsia="Arial" w:hAnsi="Arial"/>
          <w:sz w:val="16"/>
          <w:szCs w:val="16"/>
          <w:u w:val="single" w:color="auto"/>
          <w:color w:val="auto"/>
        </w:rPr>
        <w:t>Program</w:t>
      </w:r>
      <w:r>
        <w:rPr>
          <w:rFonts w:ascii="Arial" w:cs="Arial" w:eastAsia="Arial" w:hAnsi="Arial"/>
          <w:sz w:val="16"/>
          <w:szCs w:val="16"/>
          <w:color w:val="auto"/>
        </w:rPr>
        <w:t>”) adopted under the United Continental Holdings, Inc. 2008 Incentive Compensation Plan (as amended from time to time, the “</w:t>
      </w:r>
      <w:r>
        <w:rPr>
          <w:rFonts w:ascii="Arial" w:cs="Arial" w:eastAsia="Arial" w:hAnsi="Arial"/>
          <w:sz w:val="16"/>
          <w:szCs w:val="16"/>
          <w:u w:val="single" w:color="auto"/>
          <w:color w:val="auto"/>
        </w:rPr>
        <w:t>ICP</w:t>
      </w:r>
      <w:r>
        <w:rPr>
          <w:rFonts w:ascii="Arial" w:cs="Arial" w:eastAsia="Arial" w:hAnsi="Arial"/>
          <w:sz w:val="16"/>
          <w:szCs w:val="16"/>
          <w:color w:val="auto"/>
        </w:rPr>
        <w:t>”). This Award Notice evidences your receipt of an award of RSUs under the Program</w:t>
      </w:r>
    </w:p>
    <w:p>
      <w:pPr>
        <w:spacing w:after="0"/>
        <w:tabs>
          <w:tab w:leader="none" w:pos="5220" w:val="left"/>
          <w:tab w:leader="none" w:pos="7860" w:val="left"/>
        </w:tabs>
        <w:rPr>
          <w:sz w:val="20"/>
          <w:szCs w:val="20"/>
          <w:color w:val="auto"/>
        </w:rPr>
      </w:pPr>
      <w:r>
        <w:rPr>
          <w:rFonts w:ascii="Arial" w:cs="Arial" w:eastAsia="Arial" w:hAnsi="Arial"/>
          <w:sz w:val="18"/>
          <w:szCs w:val="18"/>
          <w:color w:val="auto"/>
        </w:rPr>
        <w:t>with respect to the performance period commencing on January 1, 20[</w:t>
        <w:tab/>
        <w:t>] and ending on December 31, 20[</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subject to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w w:val="93"/>
              </w:rPr>
              <w:t>terms of the Program and the ICP. The effective date of your commencement in the Program with respect to this Award is [</w:t>
            </w:r>
          </w:p>
        </w:tc>
        <w:tc>
          <w:tcPr>
            <w:tcW w:w="82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87" w:lineRule="exact"/>
        <w:rPr>
          <w:sz w:val="20"/>
          <w:szCs w:val="20"/>
          <w:color w:val="auto"/>
        </w:rPr>
      </w:pPr>
    </w:p>
    <w:p>
      <w:pPr>
        <w:ind w:right="340" w:firstLine="464"/>
        <w:spacing w:after="0" w:line="342" w:lineRule="auto"/>
        <w:tabs>
          <w:tab w:leader="none" w:pos="63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Number of RSUs; The Goal</w:t>
      </w:r>
      <w:r>
        <w:rPr>
          <w:rFonts w:ascii="Arial" w:cs="Arial" w:eastAsia="Arial" w:hAnsi="Arial"/>
          <w:sz w:val="16"/>
          <w:szCs w:val="16"/>
          <w:color w:val="auto"/>
        </w:rPr>
        <w:t>. The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has established certain performance goals for RSUs under the Program. The Committee has established the following terms and performance goals with respect to your Award:</w:t>
      </w:r>
    </w:p>
    <w:p>
      <w:pPr>
        <w:spacing w:after="0" w:line="124" w:lineRule="exact"/>
        <w:rPr>
          <w:sz w:val="20"/>
          <w:szCs w:val="20"/>
          <w:color w:val="auto"/>
        </w:rPr>
      </w:pPr>
    </w:p>
    <w:p>
      <w:pPr>
        <w:ind w:left="920"/>
        <w:spacing w:after="0"/>
        <w:tabs>
          <w:tab w:leader="none" w:pos="7780" w:val="left"/>
        </w:tabs>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The number of RSUs subject to this Award as of the effective date of grant is</w:t>
      </w:r>
      <w:r>
        <w:rPr>
          <w:sz w:val="20"/>
          <w:szCs w:val="20"/>
          <w:color w:val="auto"/>
        </w:rPr>
        <w:tab/>
      </w:r>
      <w:r>
        <w:rPr>
          <w:rFonts w:ascii="Arial" w:cs="Arial" w:eastAsia="Arial" w:hAnsi="Arial"/>
          <w:sz w:val="14"/>
          <w:szCs w:val="14"/>
          <w:color w:val="auto"/>
        </w:rPr>
        <w:t>.</w:t>
      </w:r>
    </w:p>
    <w:p>
      <w:pPr>
        <w:spacing w:after="0" w:line="233" w:lineRule="exact"/>
        <w:rPr>
          <w:sz w:val="20"/>
          <w:szCs w:val="20"/>
          <w:color w:val="auto"/>
        </w:rPr>
      </w:pPr>
    </w:p>
    <w:p>
      <w:pPr>
        <w:ind w:right="120" w:firstLine="921"/>
        <w:spacing w:after="0" w:line="261"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Target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of the Performance Target for the Performance Period means that the Company’s return on invested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capital (“ROIC”) for the Performance Period equals or exceeds the Entry Level ROIC for the Performance Period. ROIC (which is more specifically defined in the Program) is calculated as the Company’s [Net Operating Profit After Tax][Net Operating Profit Before Tax]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Average Invested Capital. The entry, target, and stretch ROIC performance levels for the Performance Period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1480"/>
              <w:spacing w:after="0"/>
              <w:rPr>
                <w:sz w:val="20"/>
                <w:szCs w:val="20"/>
                <w:color w:val="auto"/>
              </w:rPr>
            </w:pPr>
            <w:r>
              <w:rPr>
                <w:rFonts w:ascii="Arial" w:cs="Arial" w:eastAsia="Arial" w:hAnsi="Arial"/>
                <w:sz w:val="18"/>
                <w:szCs w:val="18"/>
                <w:color w:val="auto"/>
              </w:rPr>
              <w:t>i.</w:t>
            </w:r>
          </w:p>
        </w:tc>
        <w:tc>
          <w:tcPr>
            <w:tcW w:w="1860" w:type="dxa"/>
            <w:vAlign w:val="bottom"/>
          </w:tcPr>
          <w:p>
            <w:pPr>
              <w:ind w:left="120"/>
              <w:spacing w:after="0"/>
              <w:rPr>
                <w:sz w:val="20"/>
                <w:szCs w:val="20"/>
                <w:color w:val="auto"/>
              </w:rPr>
            </w:pPr>
            <w:r>
              <w:rPr>
                <w:rFonts w:ascii="Arial" w:cs="Arial" w:eastAsia="Arial" w:hAnsi="Arial"/>
                <w:sz w:val="18"/>
                <w:szCs w:val="18"/>
                <w:color w:val="auto"/>
              </w:rPr>
              <w:t>Entry Level ROIC:</w:t>
            </w:r>
          </w:p>
        </w:tc>
        <w:tc>
          <w:tcPr>
            <w:tcW w:w="6340" w:type="dxa"/>
            <w:vAlign w:val="bottom"/>
          </w:tcPr>
          <w:p>
            <w:pPr>
              <w:jc w:val="right"/>
              <w:ind w:right="58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r>
      <w:tr>
        <w:trPr>
          <w:trHeight w:val="338"/>
        </w:trPr>
        <w:tc>
          <w:tcPr>
            <w:tcW w:w="1800" w:type="dxa"/>
            <w:vAlign w:val="bottom"/>
          </w:tcPr>
          <w:p>
            <w:pPr>
              <w:ind w:left="1480"/>
              <w:spacing w:after="0"/>
              <w:rPr>
                <w:sz w:val="20"/>
                <w:szCs w:val="20"/>
                <w:color w:val="auto"/>
              </w:rPr>
            </w:pPr>
            <w:r>
              <w:rPr>
                <w:rFonts w:ascii="Arial" w:cs="Arial" w:eastAsia="Arial" w:hAnsi="Arial"/>
                <w:sz w:val="18"/>
                <w:szCs w:val="18"/>
                <w:color w:val="auto"/>
              </w:rPr>
              <w:t>ii.</w:t>
            </w:r>
          </w:p>
        </w:tc>
        <w:tc>
          <w:tcPr>
            <w:tcW w:w="1860" w:type="dxa"/>
            <w:vAlign w:val="bottom"/>
          </w:tcPr>
          <w:p>
            <w:pPr>
              <w:ind w:left="120"/>
              <w:spacing w:after="0"/>
              <w:rPr>
                <w:sz w:val="20"/>
                <w:szCs w:val="20"/>
                <w:color w:val="auto"/>
              </w:rPr>
            </w:pPr>
            <w:r>
              <w:rPr>
                <w:rFonts w:ascii="Arial" w:cs="Arial" w:eastAsia="Arial" w:hAnsi="Arial"/>
                <w:sz w:val="18"/>
                <w:szCs w:val="18"/>
                <w:color w:val="auto"/>
              </w:rPr>
              <w:t>Target Level ROIC:</w:t>
            </w:r>
          </w:p>
        </w:tc>
        <w:tc>
          <w:tcPr>
            <w:tcW w:w="6340" w:type="dxa"/>
            <w:vAlign w:val="bottom"/>
          </w:tcPr>
          <w:p>
            <w:pPr>
              <w:jc w:val="right"/>
              <w:ind w:right="5470"/>
              <w:spacing w:after="0"/>
              <w:rPr>
                <w:sz w:val="20"/>
                <w:szCs w:val="20"/>
                <w:color w:val="auto"/>
              </w:rPr>
            </w:pPr>
            <w:r>
              <w:rPr>
                <w:rFonts w:ascii="Arial" w:cs="Arial" w:eastAsia="Arial" w:hAnsi="Arial"/>
                <w:sz w:val="18"/>
                <w:szCs w:val="18"/>
                <w:color w:val="auto"/>
              </w:rPr>
              <w:t>%; and</w:t>
            </w:r>
          </w:p>
        </w:tc>
        <w:tc>
          <w:tcPr>
            <w:tcW w:w="340" w:type="dxa"/>
            <w:vAlign w:val="bottom"/>
          </w:tcPr>
          <w:p>
            <w:pPr>
              <w:spacing w:after="0"/>
              <w:rPr>
                <w:sz w:val="24"/>
                <w:szCs w:val="24"/>
                <w:color w:val="auto"/>
              </w:rPr>
            </w:pPr>
          </w:p>
        </w:tc>
      </w:tr>
      <w:tr>
        <w:trPr>
          <w:trHeight w:val="338"/>
        </w:trPr>
        <w:tc>
          <w:tcPr>
            <w:tcW w:w="1800" w:type="dxa"/>
            <w:vAlign w:val="bottom"/>
          </w:tcPr>
          <w:p>
            <w:pPr>
              <w:ind w:left="1480"/>
              <w:spacing w:after="0"/>
              <w:rPr>
                <w:sz w:val="20"/>
                <w:szCs w:val="20"/>
                <w:color w:val="auto"/>
              </w:rPr>
            </w:pPr>
            <w:r>
              <w:rPr>
                <w:rFonts w:ascii="Arial" w:cs="Arial" w:eastAsia="Arial" w:hAnsi="Arial"/>
                <w:sz w:val="18"/>
                <w:szCs w:val="18"/>
                <w:color w:val="auto"/>
              </w:rPr>
              <w:t>iii.</w:t>
            </w:r>
          </w:p>
        </w:tc>
        <w:tc>
          <w:tcPr>
            <w:tcW w:w="1860" w:type="dxa"/>
            <w:vAlign w:val="bottom"/>
          </w:tcPr>
          <w:p>
            <w:pPr>
              <w:ind w:left="120"/>
              <w:spacing w:after="0"/>
              <w:rPr>
                <w:sz w:val="20"/>
                <w:szCs w:val="20"/>
                <w:color w:val="auto"/>
              </w:rPr>
            </w:pPr>
            <w:r>
              <w:rPr>
                <w:rFonts w:ascii="Arial" w:cs="Arial" w:eastAsia="Arial" w:hAnsi="Arial"/>
                <w:sz w:val="18"/>
                <w:szCs w:val="18"/>
                <w:color w:val="auto"/>
              </w:rPr>
              <w:t>Stretch Level ROIC:</w:t>
            </w:r>
          </w:p>
        </w:tc>
        <w:tc>
          <w:tcPr>
            <w:tcW w:w="6340" w:type="dxa"/>
            <w:vAlign w:val="bottom"/>
          </w:tcPr>
          <w:p>
            <w:pPr>
              <w:jc w:val="right"/>
              <w:ind w:right="57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r>
      <w:tr>
        <w:trPr>
          <w:trHeight w:val="432"/>
        </w:trPr>
        <w:tc>
          <w:tcPr>
            <w:tcW w:w="10000" w:type="dxa"/>
            <w:vAlign w:val="bottom"/>
            <w:gridSpan w:val="3"/>
          </w:tcPr>
          <w:p>
            <w:pPr>
              <w:spacing w:after="0"/>
              <w:rPr>
                <w:sz w:val="20"/>
                <w:szCs w:val="20"/>
                <w:color w:val="auto"/>
              </w:rPr>
            </w:pPr>
            <w:r>
              <w:rPr>
                <w:rFonts w:ascii="Arial" w:cs="Arial" w:eastAsia="Arial" w:hAnsi="Arial"/>
                <w:sz w:val="18"/>
                <w:szCs w:val="18"/>
                <w:color w:val="auto"/>
                <w:w w:val="93"/>
              </w:rPr>
              <w:t>If a Change of Control occurs during the Performance Period, then the ROIC for the Performance Period will be deemed to be equal to</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Payout upon Achievement of Goal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64" w:lineRule="auto"/>
        <w:tabs>
          <w:tab w:leader="none" w:pos="1157"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Payment Amount</w:t>
      </w:r>
      <w:r>
        <w:rPr>
          <w:rFonts w:ascii="Arial" w:cs="Arial" w:eastAsia="Arial" w:hAnsi="Arial"/>
          <w:sz w:val="18"/>
          <w:szCs w:val="18"/>
          <w:color w:val="auto"/>
        </w:rPr>
        <w:t>. If the ROIC for the Performance Period equals or exceeds the Entry Level ROIC for the Performance Period and you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remained continuously employed by the Company or a subsidiary through the end of the Performance Period, then the Payment Amount with respect to this Award will be an amount equal to (i) the number of RSUs subject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44" w:name="page145"/>
    <w:bookmarkEnd w:id="14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Award for the Performance Period, multiplied by (ii) your Vested Percentage for the Performance Period, multiplied by (iii) the Fair Market Value (which is the average closing sales price over 20 consecutive Trading Days) of the Company’s stock as of the Payment Computation Date for the Performance Period (which is generally the last day of the Performance Period, subject to limited exceptions). [Notwithstanding the foregoing, in no event will the</w:t>
      </w:r>
    </w:p>
    <w:p>
      <w:pPr>
        <w:ind w:right="340"/>
        <w:spacing w:after="0" w:line="261" w:lineRule="auto"/>
        <w:rPr>
          <w:sz w:val="20"/>
          <w:szCs w:val="20"/>
          <w:color w:val="auto"/>
        </w:rPr>
      </w:pPr>
      <w:r>
        <w:rPr>
          <w:rFonts w:ascii="Arial" w:cs="Arial" w:eastAsia="Arial" w:hAnsi="Arial"/>
          <w:sz w:val="18"/>
          <w:szCs w:val="18"/>
          <w:color w:val="auto"/>
        </w:rPr>
        <w:t>payment under the Program with respect to an RSU subject to this Award exceed an amount equal to $ (the “</w:t>
      </w:r>
      <w:r>
        <w:rPr>
          <w:rFonts w:ascii="Arial" w:cs="Arial" w:eastAsia="Arial" w:hAnsi="Arial"/>
          <w:sz w:val="18"/>
          <w:szCs w:val="18"/>
          <w:u w:val="single" w:color="auto"/>
          <w:color w:val="auto"/>
        </w:rPr>
        <w:t>Maximum Payment Amount</w:t>
      </w:r>
      <w:r>
        <w:rPr>
          <w:rFonts w:ascii="Arial" w:cs="Arial" w:eastAsia="Arial" w:hAnsi="Arial"/>
          <w:sz w:val="18"/>
          <w:szCs w:val="18"/>
          <w:color w:val="auto"/>
        </w:rPr>
        <w:t>”), which amount is subject to adjustment as provided in the Program.]</w:t>
      </w:r>
      <w:r>
        <w:rPr>
          <w:rFonts w:ascii="Arial" w:cs="Arial" w:eastAsia="Arial" w:hAnsi="Arial"/>
          <w:sz w:val="15"/>
          <w:szCs w:val="15"/>
          <w:color w:val="auto"/>
        </w:rPr>
        <w:t>1</w:t>
      </w:r>
    </w:p>
    <w:p>
      <w:pPr>
        <w:spacing w:after="0" w:line="184" w:lineRule="exact"/>
        <w:rPr>
          <w:sz w:val="20"/>
          <w:szCs w:val="20"/>
          <w:color w:val="auto"/>
        </w:rPr>
      </w:pPr>
    </w:p>
    <w:p>
      <w:pPr>
        <w:ind w:right="20" w:firstLine="921"/>
        <w:spacing w:after="0" w:line="277"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Vested Percentage</w:t>
      </w:r>
      <w:r>
        <w:rPr>
          <w:rFonts w:ascii="Arial" w:cs="Arial" w:eastAsia="Arial" w:hAnsi="Arial"/>
          <w:sz w:val="18"/>
          <w:szCs w:val="18"/>
          <w:color w:val="auto"/>
        </w:rPr>
        <w:t>. Your Vested Percentage with respect to the Performance Period will be determined in accordance with the following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 line interpolation will be used between levels)]:</w:t>
      </w:r>
    </w:p>
    <w:p>
      <w:pPr>
        <w:spacing w:after="0" w:line="189" w:lineRule="exact"/>
        <w:rPr>
          <w:sz w:val="20"/>
          <w:szCs w:val="20"/>
          <w:color w:val="auto"/>
        </w:rPr>
      </w:pPr>
    </w:p>
    <w:tbl>
      <w:tblPr>
        <w:tblLayout w:type="fixed"/>
        <w:tblInd w:w="2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86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4"/>
              </w:rPr>
              <w:t>Level of ROIC Achieved</w:t>
            </w:r>
          </w:p>
        </w:tc>
        <w:tc>
          <w:tcPr>
            <w:tcW w:w="1780" w:type="dxa"/>
            <w:vAlign w:val="bottom"/>
          </w:tcPr>
          <w:p>
            <w:pPr>
              <w:spacing w:after="0"/>
              <w:rPr>
                <w:sz w:val="14"/>
                <w:szCs w:val="14"/>
                <w:color w:val="auto"/>
              </w:rPr>
            </w:pPr>
          </w:p>
        </w:tc>
        <w:tc>
          <w:tcPr>
            <w:tcW w:w="1960" w:type="dxa"/>
            <w:vAlign w:val="bottom"/>
            <w:gridSpan w:val="2"/>
          </w:tcPr>
          <w:p>
            <w:pPr>
              <w:jc w:val="center"/>
              <w:ind w:right="710"/>
              <w:spacing w:after="0"/>
              <w:rPr>
                <w:sz w:val="20"/>
                <w:szCs w:val="20"/>
                <w:color w:val="auto"/>
              </w:rPr>
            </w:pPr>
            <w:r>
              <w:rPr>
                <w:rFonts w:ascii="Arial" w:cs="Arial" w:eastAsia="Arial" w:hAnsi="Arial"/>
                <w:sz w:val="14"/>
                <w:szCs w:val="14"/>
                <w:b w:val="1"/>
                <w:bCs w:val="1"/>
                <w:color w:val="auto"/>
                <w:w w:val="89"/>
              </w:rPr>
              <w:t>Vested Percentage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auto"/>
                <w:w w:val="81"/>
              </w:rPr>
              <w:t>Percentage)</w:t>
            </w: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rPr>
                <w:sz w:val="16"/>
                <w:szCs w:val="16"/>
                <w:color w:val="auto"/>
              </w:rPr>
            </w:pPr>
          </w:p>
        </w:tc>
        <w:tc>
          <w:tcPr>
            <w:tcW w:w="1500" w:type="dxa"/>
            <w:vAlign w:val="bottom"/>
          </w:tcPr>
          <w:p>
            <w:pPr>
              <w:jc w:val="center"/>
              <w:spacing w:after="0" w:line="195" w:lineRule="exact"/>
              <w:rPr>
                <w:sz w:val="20"/>
                <w:szCs w:val="20"/>
                <w:color w:val="auto"/>
              </w:rPr>
            </w:pPr>
            <w:r>
              <w:rPr>
                <w:rFonts w:ascii="Arial" w:cs="Arial" w:eastAsia="Arial" w:hAnsi="Arial"/>
                <w:sz w:val="18"/>
                <w:szCs w:val="18"/>
                <w:color w:val="auto"/>
                <w:w w:val="95"/>
              </w:rPr>
              <w:t>Entry Level ROIC</w:t>
            </w:r>
          </w:p>
        </w:tc>
        <w:tc>
          <w:tcPr>
            <w:tcW w:w="1360" w:type="dxa"/>
            <w:vAlign w:val="bottom"/>
            <w:vMerge w:val="continue"/>
          </w:tcPr>
          <w:p>
            <w:pPr>
              <w:spacing w:after="0"/>
              <w:rPr>
                <w:sz w:val="16"/>
                <w:szCs w:val="16"/>
                <w:color w:val="auto"/>
              </w:rPr>
            </w:pPr>
          </w:p>
        </w:tc>
        <w:tc>
          <w:tcPr>
            <w:tcW w:w="2920" w:type="dxa"/>
            <w:vAlign w:val="bottom"/>
            <w:gridSpan w:val="2"/>
          </w:tcPr>
          <w:p>
            <w:pPr>
              <w:ind w:left="1280"/>
              <w:spacing w:after="0" w:line="195" w:lineRule="exact"/>
              <w:rPr>
                <w:sz w:val="20"/>
                <w:szCs w:val="20"/>
                <w:color w:val="auto"/>
              </w:rPr>
            </w:pPr>
            <w:r>
              <w:rPr>
                <w:rFonts w:ascii="Arial" w:cs="Arial" w:eastAsia="Arial" w:hAnsi="Arial"/>
                <w:sz w:val="18"/>
                <w:szCs w:val="18"/>
                <w:color w:val="auto"/>
              </w:rPr>
              <w:t>% (Entry Level RSU</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60" w:type="dxa"/>
            <w:vAlign w:val="bottom"/>
            <w:gridSpan w:val="2"/>
          </w:tcPr>
          <w:p>
            <w:pPr>
              <w:jc w:val="center"/>
              <w:ind w:right="1360"/>
              <w:spacing w:after="0"/>
              <w:rPr>
                <w:sz w:val="20"/>
                <w:szCs w:val="20"/>
                <w:color w:val="auto"/>
              </w:rPr>
            </w:pPr>
            <w:r>
              <w:rPr>
                <w:rFonts w:ascii="Arial" w:cs="Arial" w:eastAsia="Arial" w:hAnsi="Arial"/>
                <w:sz w:val="18"/>
                <w:szCs w:val="18"/>
                <w:color w:val="auto"/>
                <w:w w:val="91"/>
              </w:rPr>
              <w:t>Target Level ROIC</w:t>
            </w:r>
          </w:p>
        </w:tc>
        <w:tc>
          <w:tcPr>
            <w:tcW w:w="3740" w:type="dxa"/>
            <w:vAlign w:val="bottom"/>
            <w:gridSpan w:val="3"/>
          </w:tcPr>
          <w:p>
            <w:pPr>
              <w:ind w:left="1240"/>
              <w:spacing w:after="0"/>
              <w:rPr>
                <w:sz w:val="20"/>
                <w:szCs w:val="20"/>
                <w:color w:val="auto"/>
              </w:rPr>
            </w:pPr>
            <w:r>
              <w:rPr>
                <w:rFonts w:ascii="Arial" w:cs="Arial" w:eastAsia="Arial" w:hAnsi="Arial"/>
                <w:sz w:val="18"/>
                <w:szCs w:val="18"/>
                <w:color w:val="auto"/>
                <w:w w:val="90"/>
              </w:rPr>
              <w:t>% (Target Level RSU Percentage)</w:t>
            </w:r>
          </w:p>
        </w:tc>
        <w:tc>
          <w:tcPr>
            <w:tcW w:w="0" w:type="dxa"/>
            <w:vAlign w:val="bottom"/>
          </w:tcPr>
          <w:p>
            <w:pPr>
              <w:spacing w:after="0"/>
              <w:rPr>
                <w:sz w:val="1"/>
                <w:szCs w:val="1"/>
                <w:color w:val="auto"/>
              </w:rPr>
            </w:pPr>
          </w:p>
        </w:tc>
      </w:tr>
      <w:tr>
        <w:trPr>
          <w:trHeight w:val="230"/>
        </w:trPr>
        <w:tc>
          <w:tcPr>
            <w:tcW w:w="3240" w:type="dxa"/>
            <w:vAlign w:val="bottom"/>
            <w:gridSpan w:val="3"/>
          </w:tcPr>
          <w:p>
            <w:pPr>
              <w:jc w:val="center"/>
              <w:ind w:right="980"/>
              <w:spacing w:after="0"/>
              <w:rPr>
                <w:sz w:val="20"/>
                <w:szCs w:val="20"/>
                <w:color w:val="auto"/>
              </w:rPr>
            </w:pPr>
            <w:r>
              <w:rPr>
                <w:rFonts w:ascii="Arial" w:cs="Arial" w:eastAsia="Arial" w:hAnsi="Arial"/>
                <w:sz w:val="18"/>
                <w:szCs w:val="18"/>
                <w:color w:val="auto"/>
                <w:w w:val="92"/>
              </w:rPr>
              <w:t>Stretch Level ROIC (or higher)</w:t>
            </w:r>
          </w:p>
        </w:tc>
        <w:tc>
          <w:tcPr>
            <w:tcW w:w="374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100% (Stretch Level RSU Percentage)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firstLine="464"/>
        <w:spacing w:after="0" w:line="277" w:lineRule="auto"/>
        <w:tabs>
          <w:tab w:leader="none" w:pos="6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Continuous Employment Required</w:t>
      </w:r>
      <w:r>
        <w:rPr>
          <w:rFonts w:ascii="Arial" w:cs="Arial" w:eastAsia="Arial" w:hAnsi="Arial"/>
          <w:sz w:val="18"/>
          <w:szCs w:val="18"/>
          <w:color w:val="auto"/>
        </w:rPr>
        <w:t>. Receipt of a Payment Amount is conditioned on your continuous employment with the Company or its subsidiaries through the last day of the Performance Period (with limited exceptions, as described in the Program).</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Pro-Rated Payment</w:t>
      </w:r>
      <w:r>
        <w:rPr>
          <w:rFonts w:ascii="Arial" w:cs="Arial" w:eastAsia="Arial" w:hAnsi="Arial"/>
          <w:sz w:val="18"/>
          <w:szCs w:val="18"/>
          <w:color w:val="auto"/>
        </w:rPr>
        <w:t>. Your Payment Amount may be prorated as provided in the Program under certain circumstances.</w:t>
      </w:r>
    </w:p>
    <w:p>
      <w:pPr>
        <w:spacing w:after="0" w:line="225" w:lineRule="exact"/>
        <w:rPr>
          <w:rFonts w:ascii="Arial" w:cs="Arial" w:eastAsia="Arial" w:hAnsi="Arial"/>
          <w:sz w:val="18"/>
          <w:szCs w:val="18"/>
          <w:color w:val="auto"/>
        </w:rPr>
      </w:pPr>
    </w:p>
    <w:p>
      <w:pPr>
        <w:ind w:firstLine="464"/>
        <w:spacing w:after="0" w:line="255" w:lineRule="auto"/>
        <w:tabs>
          <w:tab w:leader="none" w:pos="6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Negative Discretion</w:t>
      </w:r>
      <w:r>
        <w:rPr>
          <w:rFonts w:ascii="Arial" w:cs="Arial" w:eastAsia="Arial" w:hAnsi="Arial"/>
          <w:sz w:val="18"/>
          <w:szCs w:val="18"/>
          <w:color w:val="auto"/>
        </w:rPr>
        <w:t>. In general, and subject to limited exceptions (as described in the Program), the Committee will have the right to reduce or eliminate the Payment Amount that would otherwise be payable for the Performance Period if the Committee determines in its discretion that such reduction or elimination is appropriate and in the best interest of the Company based on the Company’s unrestricted cash, cash equivalents, and short term investments and cash readily accessible under the Company’s unused lines of credit as of the end of the Performance Period; provided, however, that any such reduction or elimination shall apply in a uniform and nondiscriminatory manner to all Participants who are otherwise entitled to receive a Payment Amount with respect to the Performance Period.</w:t>
      </w:r>
    </w:p>
    <w:p>
      <w:pPr>
        <w:spacing w:after="0" w:line="193" w:lineRule="exact"/>
        <w:rPr>
          <w:rFonts w:ascii="Arial" w:cs="Arial" w:eastAsia="Arial" w:hAnsi="Arial"/>
          <w:sz w:val="18"/>
          <w:szCs w:val="18"/>
          <w:color w:val="auto"/>
        </w:rPr>
      </w:pPr>
    </w:p>
    <w:p>
      <w:pPr>
        <w:ind w:firstLine="464"/>
        <w:spacing w:after="0" w:line="291" w:lineRule="auto"/>
        <w:tabs>
          <w:tab w:leader="none" w:pos="6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Program and ICP Control</w:t>
      </w:r>
      <w:r>
        <w:rPr>
          <w:rFonts w:ascii="Arial" w:cs="Arial" w:eastAsia="Arial" w:hAnsi="Arial"/>
          <w:sz w:val="16"/>
          <w:szCs w:val="16"/>
          <w:color w:val="auto"/>
        </w:rPr>
        <w:t>. Capitalized terms used in this Award Notice are defined in the Program. The Program and the ICP are hereby incorporated into this Award Notice by reference. All statements in this Award Notice are qualified in their entirety by reference to the Program and the ICP. If you have</w:t>
      </w:r>
    </w:p>
    <w:p>
      <w:pPr>
        <w:spacing w:after="0"/>
        <w:tabs>
          <w:tab w:leader="none" w:pos="6380" w:val="left"/>
        </w:tabs>
        <w:rPr>
          <w:sz w:val="20"/>
          <w:szCs w:val="20"/>
          <w:color w:val="auto"/>
        </w:rPr>
      </w:pPr>
      <w:r>
        <w:rPr>
          <w:rFonts w:ascii="Arial" w:cs="Arial" w:eastAsia="Arial" w:hAnsi="Arial"/>
          <w:sz w:val="17"/>
          <w:szCs w:val="17"/>
          <w:color w:val="auto"/>
        </w:rPr>
        <w:t>any questions, or wish to obtain a copy of the Program or the ICP, please contact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p>
      <w:pPr>
        <w:ind w:left="460" w:right="140" w:hanging="452"/>
        <w:spacing w:after="0" w:line="27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[The Maximum Payment Amount will be included if established by the Committee in accordance with the terms of the Program at the time the Award is granted.]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5" w:name="page146"/>
    <w:bookmarkEnd w:id="145"/>
    <w:p>
      <w:pPr>
        <w:ind w:left="10300"/>
        <w:spacing w:after="0"/>
        <w:rPr>
          <w:sz w:val="20"/>
          <w:szCs w:val="20"/>
          <w:color w:val="auto"/>
        </w:rPr>
      </w:pPr>
      <w:r>
        <w:rPr>
          <w:rFonts w:ascii="Arial" w:cs="Arial" w:eastAsia="Arial" w:hAnsi="Arial"/>
          <w:sz w:val="16"/>
          <w:szCs w:val="16"/>
          <w:b w:val="1"/>
          <w:bCs w:val="1"/>
          <w:color w:val="auto"/>
        </w:rPr>
        <w:t>Exhibit 10.178</w:t>
      </w:r>
    </w:p>
    <w:p>
      <w:pPr>
        <w:spacing w:after="0" w:line="248"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CONFIDENTIAL MATERIAL APPEARING IN THIS DOCUMENT HAS BEEN OMITTED AND FILED SEPARATELY WITH THE SECURITIES AND EXCHANGE COMMISSION IN ACCORDANCE WITH THE SECURITIES ACT OF 1933, AS AMENDED, AND RULE 24B-2 PROMULGATED THEREUNDER. OMITTED INFORMATION HAS BEEN REPLACED WITH ASTERISKS.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Agreement No.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No. 3860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Boeing Model 787 Aircraft</w:t>
      </w:r>
    </w:p>
    <w:p>
      <w:pPr>
        <w:spacing w:after="0" w:line="221" w:lineRule="exact"/>
        <w:rPr>
          <w:sz w:val="20"/>
          <w:szCs w:val="20"/>
          <w:color w:val="auto"/>
        </w:rPr>
      </w:pPr>
    </w:p>
    <w:p>
      <w:pPr>
        <w:jc w:val="both"/>
        <w:ind w:firstLine="456"/>
        <w:spacing w:after="0" w:line="313" w:lineRule="auto"/>
        <w:rPr>
          <w:sz w:val="20"/>
          <w:szCs w:val="20"/>
          <w:color w:val="auto"/>
        </w:rPr>
      </w:pPr>
      <w:r>
        <w:rPr>
          <w:rFonts w:ascii="Arial" w:cs="Arial" w:eastAsia="Arial" w:hAnsi="Arial"/>
          <w:sz w:val="17"/>
          <w:szCs w:val="17"/>
          <w:color w:val="auto"/>
        </w:rPr>
        <w:t>THIS SUPPLEMENTAL AGREEMENT, entered into as of December 31, 2015, by and between THE BOEING COMPANY (</w:t>
      </w:r>
      <w:r>
        <w:rPr>
          <w:rFonts w:ascii="Arial" w:cs="Arial" w:eastAsia="Arial" w:hAnsi="Arial"/>
          <w:sz w:val="17"/>
          <w:szCs w:val="17"/>
          <w:b w:val="1"/>
          <w:bCs w:val="1"/>
          <w:color w:val="auto"/>
        </w:rPr>
        <w:t>Boeing</w:t>
      </w:r>
      <w:r>
        <w:rPr>
          <w:rFonts w:ascii="Arial" w:cs="Arial" w:eastAsia="Arial" w:hAnsi="Arial"/>
          <w:sz w:val="17"/>
          <w:szCs w:val="17"/>
          <w:color w:val="auto"/>
        </w:rPr>
        <w:t>) and UNITED AIRLINES, INC. (a Delaware corporation formerly known as Continental Airlines, Inc. and successor by merger to United Air Lines, Inc.) (</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138"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WHEREAS, the parties hereto entered into Purchase Agreement No. 3860 dated September 27, 2012, as amended and supplemented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relating to the purchase and sale of Boeing model 787 aircraft (</w:t>
      </w:r>
      <w:r>
        <w:rPr>
          <w:rFonts w:ascii="Arial" w:cs="Arial" w:eastAsia="Arial" w:hAnsi="Arial"/>
          <w:sz w:val="18"/>
          <w:szCs w:val="18"/>
          <w:b w:val="1"/>
          <w:bCs w:val="1"/>
          <w:color w:val="auto"/>
        </w:rPr>
        <w:t>Aircraft</w:t>
      </w:r>
      <w:r>
        <w:rPr>
          <w:rFonts w:ascii="Arial" w:cs="Arial" w:eastAsia="Arial" w:hAnsi="Arial"/>
          <w:sz w:val="18"/>
          <w:szCs w:val="18"/>
          <w:color w:val="auto"/>
        </w:rPr>
        <w:t>). This Supplemental Agreement is an amendment to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through *** Supplemental Agreement Number 5 to the Purchase Agreement, *** dated May 12, 2015, Boeing and Customer agreed to *** firm 787-*** aircraft for *** 787-*** aircraft and to *** 787-*** firm aircraft with *** 787-***;</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consistent with such prior transactions Boeing and Customer now agree to a *** of *** firm 787-*** aircraft for *** firm 787-*** aircraft and to the *** of these *** 787-*** firm aircraft with *** 787-*** as follows:</w:t>
      </w:r>
    </w:p>
    <w:p>
      <w:pPr>
        <w:spacing w:after="0" w:line="170" w:lineRule="exact"/>
        <w:rPr>
          <w:sz w:val="20"/>
          <w:szCs w:val="20"/>
          <w:color w:val="auto"/>
        </w:rPr>
      </w:pPr>
    </w:p>
    <w:p>
      <w:pPr>
        <w:ind w:firstLine="464"/>
        <w:spacing w:after="0" w:line="277" w:lineRule="auto"/>
        <w:tabs>
          <w:tab w:leader="none" w:pos="6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Boeing and Customer agree to *** Firm 787-*** Aircraft to the Purchase Agreement as Block C Aircraft as such terms are defined in *** and are further identified in Figure 1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Figure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Delivery Month</w:t>
      </w:r>
    </w:p>
    <w:p>
      <w:pPr>
        <w:spacing w:after="0" w:line="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UAL-PA-3860</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SA-6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Page 1</w:t>
      </w:r>
    </w:p>
    <w:p>
      <w:pPr>
        <w:sectPr>
          <w:pgSz w:w="11900" w:h="16838" w:orient="portrait"/>
          <w:cols w:equalWidth="0" w:num="3">
            <w:col w:w="2860" w:space="720"/>
            <w:col w:w="6640" w:space="720"/>
            <w:col w:w="480"/>
          </w:cols>
          <w:pgMar w:left="240" w:top="121" w:right="239" w:bottom="1440" w:gutter="0" w:footer="0" w:header="0"/>
          <w:type w:val="continuous"/>
        </w:sectPr>
      </w:pPr>
    </w:p>
    <w:bookmarkStart w:id="146" w:name="page147"/>
    <w:bookmarkEnd w:id="146"/>
    <w:p>
      <w:pPr>
        <w:ind w:firstLine="464"/>
        <w:spacing w:after="0" w:line="277"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Boeing and Customer agree to *** the following *** 787-*** Firm Aircraft and *** them with *** 787-*** Aircraft in the delivery months with option exercise expiry dates as specified below:</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Firm Aircraft</w:t>
            </w:r>
          </w:p>
        </w:tc>
        <w:tc>
          <w:tcPr>
            <w:tcW w:w="14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Aircraft Delivery</w:t>
            </w:r>
          </w:p>
        </w:tc>
        <w:tc>
          <w:tcPr>
            <w:tcW w:w="1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4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8"/>
              </w:rPr>
              <w:t>Model</w:t>
            </w:r>
          </w:p>
        </w:tc>
        <w:tc>
          <w:tcPr>
            <w:tcW w:w="192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5"/>
              </w:rPr>
              <w:t>Delivery Month</w:t>
            </w:r>
          </w:p>
        </w:tc>
        <w:tc>
          <w:tcPr>
            <w:tcW w:w="1440" w:type="dxa"/>
            <w:vAlign w:val="bottom"/>
          </w:tcPr>
          <w:p>
            <w:pPr>
              <w:spacing w:after="0"/>
              <w:rPr>
                <w:sz w:val="14"/>
                <w:szCs w:val="14"/>
                <w:color w:val="auto"/>
              </w:rPr>
            </w:pPr>
          </w:p>
        </w:tc>
        <w:tc>
          <w:tcPr>
            <w:tcW w:w="13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Month**</w:t>
            </w:r>
          </w:p>
        </w:tc>
        <w:tc>
          <w:tcPr>
            <w:tcW w:w="162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6"/>
              </w:rPr>
              <w:t>Expiry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20" w:type="dxa"/>
            <w:vAlign w:val="bottom"/>
            <w:gridSpan w:val="2"/>
            <w:vMerge w:val="restart"/>
          </w:tcPr>
          <w:p>
            <w:pPr>
              <w:jc w:val="center"/>
              <w:ind w:left="1810"/>
              <w:spacing w:after="0"/>
              <w:rPr>
                <w:sz w:val="20"/>
                <w:szCs w:val="20"/>
                <w:color w:val="auto"/>
              </w:rPr>
            </w:pPr>
            <w:r>
              <w:rPr>
                <w:rFonts w:ascii="Arial" w:cs="Arial" w:eastAsia="Arial" w:hAnsi="Arial"/>
                <w:sz w:val="18"/>
                <w:szCs w:val="18"/>
                <w:color w:val="auto"/>
              </w:rPr>
              <w:t>***</w:t>
            </w:r>
          </w:p>
        </w:tc>
        <w:tc>
          <w:tcPr>
            <w:tcW w:w="2760" w:type="dxa"/>
            <w:vAlign w:val="bottom"/>
            <w:gridSpan w:val="2"/>
            <w:vMerge w:val="restart"/>
          </w:tcPr>
          <w:p>
            <w:pPr>
              <w:jc w:val="center"/>
              <w:ind w:left="1350"/>
              <w:spacing w:after="0"/>
              <w:rPr>
                <w:sz w:val="20"/>
                <w:szCs w:val="20"/>
                <w:color w:val="auto"/>
              </w:rPr>
            </w:pPr>
            <w:r>
              <w:rPr>
                <w:rFonts w:ascii="Arial" w:cs="Arial" w:eastAsia="Arial" w:hAnsi="Arial"/>
                <w:sz w:val="18"/>
                <w:szCs w:val="18"/>
                <w:color w:val="auto"/>
              </w:rPr>
              <w:t>***</w:t>
            </w:r>
          </w:p>
        </w:tc>
        <w:tc>
          <w:tcPr>
            <w:tcW w:w="2380" w:type="dxa"/>
            <w:vAlign w:val="bottom"/>
            <w:gridSpan w:val="2"/>
            <w:vMerge w:val="restart"/>
          </w:tcPr>
          <w:p>
            <w:pPr>
              <w:jc w:val="center"/>
              <w:ind w:left="153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rPr>
              <w:t>***</w:t>
            </w:r>
          </w:p>
        </w:tc>
        <w:tc>
          <w:tcPr>
            <w:tcW w:w="3020" w:type="dxa"/>
            <w:vAlign w:val="bottom"/>
            <w:gridSpan w:val="2"/>
            <w:vMerge w:val="continue"/>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20" w:type="dxa"/>
            <w:vAlign w:val="bottom"/>
            <w:gridSpan w:val="2"/>
          </w:tcPr>
          <w:p>
            <w:pPr>
              <w:jc w:val="center"/>
              <w:ind w:left="1810"/>
              <w:spacing w:after="0"/>
              <w:rPr>
                <w:sz w:val="20"/>
                <w:szCs w:val="20"/>
                <w:color w:val="auto"/>
              </w:rPr>
            </w:pPr>
            <w:r>
              <w:rPr>
                <w:rFonts w:ascii="Arial" w:cs="Arial" w:eastAsia="Arial" w:hAnsi="Arial"/>
                <w:sz w:val="18"/>
                <w:szCs w:val="18"/>
                <w:color w:val="auto"/>
              </w:rPr>
              <w:t>***</w:t>
            </w:r>
          </w:p>
        </w:tc>
        <w:tc>
          <w:tcPr>
            <w:tcW w:w="2760" w:type="dxa"/>
            <w:vAlign w:val="bottom"/>
            <w:gridSpan w:val="2"/>
          </w:tcPr>
          <w:p>
            <w:pPr>
              <w:jc w:val="center"/>
              <w:ind w:left="135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center"/>
              <w:ind w:left="1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64"/>
        <w:spacing w:after="0" w:line="277" w:lineRule="auto"/>
        <w:tabs>
          <w:tab w:leader="none" w:pos="7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The nominal delivery month above is subject to revision by plus or minus one month. Boeing will advise Customer of the scheduled delivery month at the time of Customer’s exercise of its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Boeing and Customer agree to apply *** 787-*** previously Firm Aircraft *** under this Supplemental Agreement No. 6 *** for the ***</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new model 787-*** Aircraft added under this Supplemental Agreement No. 6; and *** Customer’s *** of Supplemental Agreement No. 6 after application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(as that term is defined in Letter Agreement No. *** entitled “Option Aircraft” ***) received by Boeing from Customer.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mutual covenants herein contained, the parties agree to amend the Purchase Agreement as follows:</w:t>
      </w:r>
    </w:p>
    <w:p>
      <w:pPr>
        <w:spacing w:after="0" w:line="38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“Table of Contents” is deleted in its entirety and replaced with the attached “Table of Contents” (identified by “SA-6”).</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Tables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2.1. “Table 1”, </w:t>
      </w:r>
      <w:r>
        <w:rPr>
          <w:rFonts w:ascii="Arial" w:cs="Arial" w:eastAsia="Arial" w:hAnsi="Arial"/>
          <w:sz w:val="18"/>
          <w:szCs w:val="18"/>
          <w:i w:val="1"/>
          <w:iCs w:val="1"/>
          <w:color w:val="auto"/>
        </w:rPr>
        <w:t>787-10 Aircraft with GENX-1B*** Engines Delivery, Description, Price and Advance Payments,</w:t>
      </w:r>
      <w:r>
        <w:rPr>
          <w:rFonts w:ascii="Arial" w:cs="Arial" w:eastAsia="Arial" w:hAnsi="Arial"/>
          <w:sz w:val="18"/>
          <w:szCs w:val="18"/>
          <w:color w:val="auto"/>
        </w:rPr>
        <w:t xml:space="preserve"> is deleted in its entirety and replaced with the attached similarly titled “Table 1” (identified by “SA-6”).</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2.2. “Table 1, 787-9 Aircraft Delivery, Description, Price and Advance Payments for *** Firm 787-9 Aircraft” (identified by “SA-6”) is added to the Purchase Agreement.</w:t>
      </w:r>
    </w:p>
    <w:p>
      <w:pPr>
        <w:spacing w:after="0" w:line="3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Letter Agreements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3.1. Attachment B-1 to Letter Agreement UAL-PA-03860-LA-1209265R1 entitled “</w:t>
      </w:r>
      <w:r>
        <w:rPr>
          <w:rFonts w:ascii="Arial" w:cs="Arial" w:eastAsia="Arial" w:hAnsi="Arial"/>
          <w:sz w:val="17"/>
          <w:szCs w:val="17"/>
          <w:i w:val="1"/>
          <w:iCs w:val="1"/>
          <w:color w:val="auto"/>
        </w:rPr>
        <w:t>787-10 with GENX-1B*** Engines: Option Aircraft Delivery,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Description, Price and Advance Payments” </w:t>
      </w:r>
      <w:r>
        <w:rPr>
          <w:rFonts w:ascii="Arial" w:cs="Arial" w:eastAsia="Arial" w:hAnsi="Arial"/>
          <w:sz w:val="17"/>
          <w:szCs w:val="17"/>
          <w:color w:val="auto"/>
        </w:rPr>
        <w:t>is deleted in its entirety and replaced with the attached Attachment B-1 (identified by “SA-6”).</w:t>
      </w:r>
    </w:p>
    <w:p>
      <w:pPr>
        <w:sectPr>
          <w:pgSz w:w="11900" w:h="16838" w:orient="portrait"/>
          <w:cols w:equalWidth="0" w:num="1">
            <w:col w:w="11420"/>
          </w:cols>
          <w:pgMar w:left="240" w:top="274" w:right="2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UAL-PA-3860</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SA-6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ectPr>
          <w:pgSz w:w="11900" w:h="16838" w:orient="portrait"/>
          <w:cols w:equalWidth="0" w:num="3">
            <w:col w:w="2860" w:space="720"/>
            <w:col w:w="6640" w:space="720"/>
            <w:col w:w="480"/>
          </w:cols>
          <w:pgMar w:left="240" w:top="274" w:right="239" w:bottom="1440" w:gutter="0" w:footer="0" w:header="0"/>
          <w:type w:val="continuous"/>
        </w:sectPr>
      </w:pPr>
    </w:p>
    <w:bookmarkStart w:id="147" w:name="page148"/>
    <w:bookmarkEnd w:id="147"/>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Letter Agreement UAL-PA-03860-LA-1209413A1R1 entitled “</w:t>
      </w:r>
      <w:r>
        <w:rPr>
          <w:rFonts w:ascii="Arial" w:cs="Arial" w:eastAsia="Arial" w:hAnsi="Arial"/>
          <w:sz w:val="18"/>
          <w:szCs w:val="18"/>
          <w:i w:val="1"/>
          <w:iCs w:val="1"/>
          <w:color w:val="auto"/>
        </w:rPr>
        <w:t>Special Matters — Amendment 1”</w:t>
      </w:r>
      <w:r>
        <w:rPr>
          <w:rFonts w:ascii="Arial" w:cs="Arial" w:eastAsia="Arial" w:hAnsi="Arial"/>
          <w:sz w:val="18"/>
          <w:szCs w:val="18"/>
          <w:color w:val="auto"/>
        </w:rPr>
        <w:t xml:space="preserve"> is deleted in its entirety and replaced with the attached similarly titled Letter Agreement UAL-PA-03860-LA-1209413A1R2 (identified by “SA-6”).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Agreement will be deemed to be supplemented to the extent herein provided as of the date hereof and as so supplemented will continue in full force and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rest of this page is left intentionally blank.</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UAL-PA-3860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SA-6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BOEING / UNITED AIRLINES, INC. PROPRIETARY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ectPr>
          <w:pgSz w:w="11900" w:h="16838" w:orient="portrait"/>
          <w:cols w:equalWidth="0" w:num="3">
            <w:col w:w="2860" w:space="720"/>
            <w:col w:w="6640" w:space="720"/>
            <w:col w:w="480"/>
          </w:cols>
          <w:pgMar w:left="240" w:top="274" w:right="2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IN DUPLICATE as of the day and year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THE BOEING COMPANY</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UNITED AIRLINES, INC.</w:t>
            </w:r>
          </w:p>
        </w:tc>
        <w:tc>
          <w:tcPr>
            <w:tcW w:w="1000" w:type="dxa"/>
            <w:vAlign w:val="bottom"/>
          </w:tcPr>
          <w:p>
            <w:pPr>
              <w:spacing w:after="0"/>
              <w:rPr>
                <w:sz w:val="20"/>
                <w:szCs w:val="20"/>
                <w:color w:val="auto"/>
              </w:rPr>
            </w:pPr>
          </w:p>
        </w:tc>
      </w:tr>
      <w:tr>
        <w:trPr>
          <w:trHeight w:val="473"/>
        </w:trPr>
        <w:tc>
          <w:tcPr>
            <w:tcW w:w="35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4"/>
        </w:trPr>
        <w:tc>
          <w:tcPr>
            <w:tcW w:w="3520" w:type="dxa"/>
            <w:vAlign w:val="bottom"/>
          </w:tcPr>
          <w:p>
            <w:pPr>
              <w:jc w:val="center"/>
              <w:ind w:left="2110"/>
              <w:spacing w:after="0"/>
              <w:rPr>
                <w:sz w:val="20"/>
                <w:szCs w:val="20"/>
                <w:color w:val="auto"/>
              </w:rPr>
            </w:pPr>
            <w:r>
              <w:rPr>
                <w:rFonts w:ascii="Arial" w:cs="Arial" w:eastAsia="Arial" w:hAnsi="Arial"/>
                <w:sz w:val="18"/>
                <w:szCs w:val="18"/>
                <w:color w:val="auto"/>
                <w:w w:val="88"/>
              </w:rPr>
              <w:t>Signature</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tcPr>
          <w:p>
            <w:pPr>
              <w:jc w:val="center"/>
              <w:ind w:left="910"/>
              <w:spacing w:after="0"/>
              <w:rPr>
                <w:sz w:val="20"/>
                <w:szCs w:val="20"/>
                <w:color w:val="auto"/>
              </w:rPr>
            </w:pPr>
            <w:r>
              <w:rPr>
                <w:rFonts w:ascii="Arial" w:cs="Arial" w:eastAsia="Arial" w:hAnsi="Arial"/>
                <w:sz w:val="18"/>
                <w:szCs w:val="18"/>
                <w:color w:val="auto"/>
                <w:w w:val="88"/>
              </w:rPr>
              <w:t>Signature</w:t>
            </w:r>
          </w:p>
        </w:tc>
        <w:tc>
          <w:tcPr>
            <w:tcW w:w="1000" w:type="dxa"/>
            <w:vAlign w:val="bottom"/>
          </w:tcPr>
          <w:p>
            <w:pPr>
              <w:spacing w:after="0"/>
              <w:rPr>
                <w:sz w:val="19"/>
                <w:szCs w:val="19"/>
                <w:color w:val="auto"/>
              </w:rPr>
            </w:pPr>
          </w:p>
        </w:tc>
      </w:tr>
      <w:tr>
        <w:trPr>
          <w:trHeight w:val="431"/>
        </w:trPr>
        <w:tc>
          <w:tcPr>
            <w:tcW w:w="3520" w:type="dxa"/>
            <w:vAlign w:val="bottom"/>
            <w:tcBorders>
              <w:bottom w:val="single" w:sz="8" w:color="auto"/>
            </w:tcBorders>
          </w:tcPr>
          <w:p>
            <w:pPr>
              <w:jc w:val="center"/>
              <w:ind w:left="2110"/>
              <w:spacing w:after="0"/>
              <w:rPr>
                <w:sz w:val="20"/>
                <w:szCs w:val="20"/>
                <w:color w:val="auto"/>
              </w:rPr>
            </w:pPr>
            <w:r>
              <w:rPr>
                <w:rFonts w:ascii="Arial" w:cs="Arial" w:eastAsia="Arial" w:hAnsi="Arial"/>
                <w:sz w:val="18"/>
                <w:szCs w:val="18"/>
                <w:color w:val="auto"/>
                <w:w w:val="94"/>
              </w:rPr>
              <w:t>/s/ I. L. Krueger</w:t>
            </w:r>
          </w:p>
        </w:tc>
        <w:tc>
          <w:tcPr>
            <w:tcW w:w="2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0"/>
              </w:rPr>
              <w:t>/s/ Gerald Laderman</w:t>
            </w:r>
          </w:p>
        </w:tc>
        <w:tc>
          <w:tcPr>
            <w:tcW w:w="1000" w:type="dxa"/>
            <w:vAlign w:val="bottom"/>
            <w:tcBorders>
              <w:bottom w:val="single" w:sz="8" w:color="auto"/>
            </w:tcBorders>
          </w:tcPr>
          <w:p>
            <w:pPr>
              <w:spacing w:after="0"/>
              <w:rPr>
                <w:sz w:val="24"/>
                <w:szCs w:val="24"/>
                <w:color w:val="auto"/>
              </w:rPr>
            </w:pPr>
          </w:p>
        </w:tc>
      </w:tr>
      <w:tr>
        <w:trPr>
          <w:trHeight w:val="224"/>
        </w:trPr>
        <w:tc>
          <w:tcPr>
            <w:tcW w:w="3520" w:type="dxa"/>
            <w:vAlign w:val="bottom"/>
          </w:tcPr>
          <w:p>
            <w:pPr>
              <w:jc w:val="center"/>
              <w:ind w:left="2110"/>
              <w:spacing w:after="0"/>
              <w:rPr>
                <w:sz w:val="20"/>
                <w:szCs w:val="20"/>
                <w:color w:val="auto"/>
              </w:rPr>
            </w:pPr>
            <w:r>
              <w:rPr>
                <w:rFonts w:ascii="Arial" w:cs="Arial" w:eastAsia="Arial" w:hAnsi="Arial"/>
                <w:sz w:val="18"/>
                <w:szCs w:val="18"/>
                <w:color w:val="auto"/>
                <w:w w:val="90"/>
              </w:rPr>
              <w:t>Printed Name</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tcPr>
          <w:p>
            <w:pPr>
              <w:jc w:val="center"/>
              <w:ind w:left="910"/>
              <w:spacing w:after="0"/>
              <w:rPr>
                <w:sz w:val="20"/>
                <w:szCs w:val="20"/>
                <w:color w:val="auto"/>
              </w:rPr>
            </w:pPr>
            <w:r>
              <w:rPr>
                <w:rFonts w:ascii="Arial" w:cs="Arial" w:eastAsia="Arial" w:hAnsi="Arial"/>
                <w:sz w:val="18"/>
                <w:szCs w:val="18"/>
                <w:color w:val="auto"/>
                <w:w w:val="90"/>
              </w:rPr>
              <w:t>Printed Name</w:t>
            </w:r>
          </w:p>
        </w:tc>
        <w:tc>
          <w:tcPr>
            <w:tcW w:w="1000" w:type="dxa"/>
            <w:vAlign w:val="bottom"/>
          </w:tcPr>
          <w:p>
            <w:pPr>
              <w:spacing w:after="0"/>
              <w:rPr>
                <w:sz w:val="19"/>
                <w:szCs w:val="19"/>
                <w:color w:val="auto"/>
              </w:rPr>
            </w:pPr>
          </w:p>
        </w:tc>
      </w:tr>
      <w:tr>
        <w:trPr>
          <w:trHeight w:val="417"/>
        </w:trPr>
        <w:tc>
          <w:tcPr>
            <w:tcW w:w="3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jc w:val="center"/>
              <w:ind w:left="930"/>
              <w:spacing w:after="0"/>
              <w:rPr>
                <w:sz w:val="20"/>
                <w:szCs w:val="20"/>
                <w:color w:val="auto"/>
              </w:rPr>
            </w:pPr>
            <w:r>
              <w:rPr>
                <w:rFonts w:ascii="Arial" w:cs="Arial" w:eastAsia="Arial" w:hAnsi="Arial"/>
                <w:sz w:val="18"/>
                <w:szCs w:val="18"/>
                <w:color w:val="auto"/>
                <w:w w:val="89"/>
              </w:rPr>
              <w:t>Senior Vice President - Finance and</w:t>
            </w:r>
          </w:p>
        </w:tc>
        <w:tc>
          <w:tcPr>
            <w:tcW w:w="1000" w:type="dxa"/>
            <w:vAlign w:val="bottom"/>
          </w:tcPr>
          <w:p>
            <w:pPr>
              <w:spacing w:after="0"/>
              <w:rPr>
                <w:sz w:val="24"/>
                <w:szCs w:val="24"/>
                <w:color w:val="auto"/>
              </w:rPr>
            </w:pPr>
          </w:p>
        </w:tc>
      </w:tr>
      <w:tr>
        <w:trPr>
          <w:trHeight w:val="230"/>
        </w:trPr>
        <w:tc>
          <w:tcPr>
            <w:tcW w:w="3520" w:type="dxa"/>
            <w:vAlign w:val="bottom"/>
            <w:tcBorders>
              <w:bottom w:val="single" w:sz="8" w:color="auto"/>
            </w:tcBorders>
          </w:tcPr>
          <w:p>
            <w:pPr>
              <w:jc w:val="center"/>
              <w:ind w:left="2110"/>
              <w:spacing w:after="0"/>
              <w:rPr>
                <w:sz w:val="20"/>
                <w:szCs w:val="20"/>
                <w:color w:val="auto"/>
              </w:rPr>
            </w:pPr>
            <w:r>
              <w:rPr>
                <w:rFonts w:ascii="Arial" w:cs="Arial" w:eastAsia="Arial" w:hAnsi="Arial"/>
                <w:sz w:val="18"/>
                <w:szCs w:val="18"/>
                <w:color w:val="auto"/>
                <w:w w:val="93"/>
              </w:rPr>
              <w:t>Attorney-in-Fact</w:t>
            </w:r>
          </w:p>
        </w:tc>
        <w:tc>
          <w:tcPr>
            <w:tcW w:w="2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3"/>
              </w:rPr>
              <w:t>acting Chief Financial Officer</w:t>
            </w:r>
          </w:p>
        </w:tc>
        <w:tc>
          <w:tcPr>
            <w:tcW w:w="1000" w:type="dxa"/>
            <w:vAlign w:val="bottom"/>
            <w:tcBorders>
              <w:bottom w:val="single" w:sz="8" w:color="auto"/>
            </w:tcBorders>
          </w:tcPr>
          <w:p>
            <w:pPr>
              <w:spacing w:after="0"/>
              <w:rPr>
                <w:sz w:val="20"/>
                <w:szCs w:val="20"/>
                <w:color w:val="auto"/>
              </w:rPr>
            </w:pPr>
          </w:p>
        </w:tc>
      </w:tr>
      <w:tr>
        <w:trPr>
          <w:trHeight w:val="224"/>
        </w:trPr>
        <w:tc>
          <w:tcPr>
            <w:tcW w:w="3520" w:type="dxa"/>
            <w:vAlign w:val="bottom"/>
          </w:tcPr>
          <w:p>
            <w:pPr>
              <w:jc w:val="center"/>
              <w:ind w:left="2130"/>
              <w:spacing w:after="0"/>
              <w:rPr>
                <w:sz w:val="20"/>
                <w:szCs w:val="20"/>
                <w:color w:val="auto"/>
              </w:rPr>
            </w:pPr>
            <w:r>
              <w:rPr>
                <w:rFonts w:ascii="Arial" w:cs="Arial" w:eastAsia="Arial" w:hAnsi="Arial"/>
                <w:sz w:val="18"/>
                <w:szCs w:val="18"/>
                <w:color w:val="auto"/>
                <w:w w:val="99"/>
              </w:rPr>
              <w:t>Title</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tcPr>
          <w:p>
            <w:pPr>
              <w:jc w:val="center"/>
              <w:ind w:left="930"/>
              <w:spacing w:after="0"/>
              <w:rPr>
                <w:sz w:val="20"/>
                <w:szCs w:val="20"/>
                <w:color w:val="auto"/>
              </w:rPr>
            </w:pPr>
            <w:r>
              <w:rPr>
                <w:rFonts w:ascii="Arial" w:cs="Arial" w:eastAsia="Arial" w:hAnsi="Arial"/>
                <w:sz w:val="18"/>
                <w:szCs w:val="18"/>
                <w:color w:val="auto"/>
                <w:w w:val="99"/>
              </w:rPr>
              <w:t>Title</w:t>
            </w:r>
          </w:p>
        </w:tc>
        <w:tc>
          <w:tcPr>
            <w:tcW w:w="1000" w:type="dxa"/>
            <w:vAlign w:val="bottom"/>
          </w:tcPr>
          <w:p>
            <w:pPr>
              <w:spacing w:after="0"/>
              <w:rPr>
                <w:sz w:val="19"/>
                <w:szCs w:val="19"/>
                <w:color w:val="auto"/>
              </w:rPr>
            </w:pPr>
          </w:p>
        </w:tc>
      </w:tr>
      <w:tr>
        <w:trPr>
          <w:trHeight w:val="345"/>
        </w:trPr>
        <w:tc>
          <w:tcPr>
            <w:tcW w:w="3520" w:type="dxa"/>
            <w:vAlign w:val="bottom"/>
          </w:tcPr>
          <w:p>
            <w:pPr>
              <w:spacing w:after="0"/>
              <w:rPr>
                <w:sz w:val="20"/>
                <w:szCs w:val="20"/>
                <w:color w:val="auto"/>
              </w:rPr>
            </w:pPr>
            <w:r>
              <w:rPr>
                <w:rFonts w:ascii="Arial" w:cs="Arial" w:eastAsia="Arial" w:hAnsi="Arial"/>
                <w:sz w:val="18"/>
                <w:szCs w:val="18"/>
                <w:color w:val="auto"/>
              </w:rPr>
              <w:t>UAL-PA-3860</w:t>
            </w:r>
          </w:p>
        </w:tc>
        <w:tc>
          <w:tcPr>
            <w:tcW w:w="6900" w:type="dxa"/>
            <w:vAlign w:val="bottom"/>
            <w:gridSpan w:val="3"/>
          </w:tcPr>
          <w:p>
            <w:pPr>
              <w:ind w:left="2140"/>
              <w:spacing w:after="0"/>
              <w:rPr>
                <w:sz w:val="20"/>
                <w:szCs w:val="20"/>
                <w:color w:val="auto"/>
              </w:rPr>
            </w:pPr>
            <w:r>
              <w:rPr>
                <w:rFonts w:ascii="Arial" w:cs="Arial" w:eastAsia="Arial" w:hAnsi="Arial"/>
                <w:sz w:val="18"/>
                <w:szCs w:val="18"/>
                <w:color w:val="auto"/>
              </w:rPr>
              <w:t>SA-6</w:t>
            </w:r>
          </w:p>
        </w:tc>
        <w:tc>
          <w:tcPr>
            <w:tcW w:w="1000" w:type="dxa"/>
            <w:vAlign w:val="bottom"/>
          </w:tcPr>
          <w:p>
            <w:pPr>
              <w:ind w:left="520"/>
              <w:spacing w:after="0"/>
              <w:rPr>
                <w:sz w:val="20"/>
                <w:szCs w:val="20"/>
                <w:color w:val="auto"/>
              </w:rPr>
            </w:pPr>
            <w:r>
              <w:rPr>
                <w:rFonts w:ascii="Arial" w:cs="Arial" w:eastAsia="Arial" w:hAnsi="Arial"/>
                <w:sz w:val="18"/>
                <w:szCs w:val="18"/>
                <w:color w:val="auto"/>
                <w:w w:val="80"/>
              </w:rPr>
              <w:t>Page 4</w:t>
            </w:r>
          </w:p>
        </w:tc>
      </w:tr>
      <w:tr>
        <w:trPr>
          <w:trHeight w:val="234"/>
        </w:trPr>
        <w:tc>
          <w:tcPr>
            <w:tcW w:w="3520" w:type="dxa"/>
            <w:vAlign w:val="bottom"/>
          </w:tcPr>
          <w:p>
            <w:pPr>
              <w:spacing w:after="0"/>
              <w:rPr>
                <w:sz w:val="20"/>
                <w:szCs w:val="20"/>
                <w:color w:val="auto"/>
              </w:rPr>
            </w:pPr>
          </w:p>
        </w:tc>
        <w:tc>
          <w:tcPr>
            <w:tcW w:w="6900" w:type="dxa"/>
            <w:vAlign w:val="bottom"/>
            <w:gridSpan w:val="3"/>
          </w:tcPr>
          <w:p>
            <w:pPr>
              <w:ind w:left="60"/>
              <w:spacing w:after="0"/>
              <w:rPr>
                <w:sz w:val="20"/>
                <w:szCs w:val="20"/>
                <w:color w:val="auto"/>
              </w:rPr>
            </w:pPr>
            <w:r>
              <w:rPr>
                <w:rFonts w:ascii="Arial" w:cs="Arial" w:eastAsia="Arial" w:hAnsi="Arial"/>
                <w:sz w:val="18"/>
                <w:szCs w:val="18"/>
                <w:b w:val="1"/>
                <w:bCs w:val="1"/>
                <w:color w:val="auto"/>
              </w:rPr>
              <w:t>BOEING / UNITED AIRLINES, INC. PROPRIETARY</w:t>
            </w:r>
          </w:p>
        </w:tc>
        <w:tc>
          <w:tcPr>
            <w:tcW w:w="100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49" w:name="page150"/>
    <w:bookmarkEnd w:id="1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9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ARTICLES</w:t>
            </w:r>
          </w:p>
        </w:tc>
        <w:tc>
          <w:tcPr>
            <w:tcW w:w="1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SA</w:t>
            </w:r>
          </w:p>
        </w:tc>
        <w:tc>
          <w:tcPr>
            <w:tcW w:w="0" w:type="dxa"/>
            <w:vAlign w:val="bottom"/>
          </w:tcPr>
          <w:p>
            <w:pPr>
              <w:spacing w:after="0"/>
              <w:rPr>
                <w:sz w:val="1"/>
                <w:szCs w:val="1"/>
                <w:color w:val="auto"/>
              </w:rPr>
            </w:pPr>
          </w:p>
        </w:tc>
      </w:tr>
      <w:tr>
        <w:trPr>
          <w:trHeight w:val="241"/>
        </w:trPr>
        <w:tc>
          <w:tcPr>
            <w:tcW w:w="920" w:type="dxa"/>
            <w:vAlign w:val="bottom"/>
            <w:tcBorders>
              <w:bottom w:val="single" w:sz="8" w:color="auto"/>
            </w:tcBorders>
            <w:gridSpan w:val="3"/>
            <w:vMerge w:val="continue"/>
          </w:tcPr>
          <w:p>
            <w:pPr>
              <w:spacing w:after="0"/>
              <w:rPr>
                <w:sz w:val="20"/>
                <w:szCs w:val="20"/>
                <w:color w:val="auto"/>
              </w:rPr>
            </w:pPr>
          </w:p>
        </w:tc>
        <w:tc>
          <w:tcPr>
            <w:tcW w:w="9680" w:type="dxa"/>
            <w:vAlign w:val="bottom"/>
            <w:gridSpan w:val="4"/>
            <w:vMerge w:val="restart"/>
          </w:tcPr>
          <w:p>
            <w:pPr>
              <w:ind w:left="740"/>
              <w:spacing w:after="0"/>
              <w:rPr>
                <w:sz w:val="20"/>
                <w:szCs w:val="20"/>
                <w:color w:val="auto"/>
              </w:rPr>
            </w:pPr>
            <w:r>
              <w:rPr>
                <w:rFonts w:ascii="Arial" w:cs="Arial" w:eastAsia="Arial" w:hAnsi="Arial"/>
                <w:sz w:val="18"/>
                <w:szCs w:val="18"/>
                <w:color w:val="auto"/>
              </w:rPr>
              <w:t>Quantity, Model and Description</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17"/>
        </w:trPr>
        <w:tc>
          <w:tcPr>
            <w:tcW w:w="920" w:type="dxa"/>
            <w:vAlign w:val="bottom"/>
            <w:gridSpan w:val="3"/>
          </w:tcPr>
          <w:p>
            <w:pPr>
              <w:spacing w:after="0"/>
              <w:rPr>
                <w:sz w:val="20"/>
                <w:szCs w:val="20"/>
                <w:color w:val="auto"/>
              </w:rPr>
            </w:pPr>
            <w:r>
              <w:rPr>
                <w:rFonts w:ascii="Arial" w:cs="Arial" w:eastAsia="Arial" w:hAnsi="Arial"/>
                <w:sz w:val="18"/>
                <w:szCs w:val="18"/>
                <w:color w:val="auto"/>
              </w:rPr>
              <w:t>Article 1.</w:t>
            </w:r>
          </w:p>
        </w:tc>
        <w:tc>
          <w:tcPr>
            <w:tcW w:w="9680" w:type="dxa"/>
            <w:vAlign w:val="bottom"/>
            <w:gridSpan w:val="4"/>
            <w:vMerge w:val="continue"/>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SA-1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0" w:type="dxa"/>
            <w:vAlign w:val="bottom"/>
            <w:gridSpan w:val="3"/>
          </w:tcPr>
          <w:p>
            <w:pPr>
              <w:spacing w:after="0"/>
              <w:rPr>
                <w:sz w:val="20"/>
                <w:szCs w:val="20"/>
                <w:color w:val="auto"/>
              </w:rPr>
            </w:pPr>
            <w:r>
              <w:rPr>
                <w:rFonts w:ascii="Arial" w:cs="Arial" w:eastAsia="Arial" w:hAnsi="Arial"/>
                <w:sz w:val="18"/>
                <w:szCs w:val="18"/>
                <w:color w:val="auto"/>
              </w:rPr>
              <w:t>Article 2.</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Delivery Schedule</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Article 3.</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Price</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Article 4.</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Payment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Article 5.</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Additional Terms</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92"/>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TABLE</w:t>
            </w:r>
          </w:p>
        </w:tc>
        <w:tc>
          <w:tcPr>
            <w:tcW w:w="1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787-8 with GENX-1B*** Engines Aircraft Information Table ***</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SA-3</w:t>
            </w:r>
          </w:p>
        </w:tc>
        <w:tc>
          <w:tcPr>
            <w:tcW w:w="0" w:type="dxa"/>
            <w:vAlign w:val="bottom"/>
          </w:tcPr>
          <w:p>
            <w:pPr>
              <w:spacing w:after="0"/>
              <w:rPr>
                <w:sz w:val="1"/>
                <w:szCs w:val="1"/>
                <w:color w:val="auto"/>
              </w:rPr>
            </w:pPr>
          </w:p>
        </w:tc>
      </w:tr>
      <w:tr>
        <w:trPr>
          <w:trHeight w:val="324"/>
        </w:trPr>
        <w:tc>
          <w:tcPr>
            <w:tcW w:w="600" w:type="dxa"/>
            <w:vAlign w:val="bottom"/>
          </w:tcPr>
          <w:p>
            <w:pPr>
              <w:ind w:lef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787-9 with GENX-1B*** Engines Aircraft Information Table ***</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SA-5</w:t>
            </w:r>
          </w:p>
        </w:tc>
        <w:tc>
          <w:tcPr>
            <w:tcW w:w="0" w:type="dxa"/>
            <w:vAlign w:val="bottom"/>
          </w:tcPr>
          <w:p>
            <w:pPr>
              <w:spacing w:after="0"/>
              <w:rPr>
                <w:sz w:val="1"/>
                <w:szCs w:val="1"/>
                <w:color w:val="auto"/>
              </w:rPr>
            </w:pPr>
          </w:p>
        </w:tc>
      </w:tr>
      <w:tr>
        <w:trPr>
          <w:trHeight w:val="324"/>
        </w:trPr>
        <w:tc>
          <w:tcPr>
            <w:tcW w:w="600" w:type="dxa"/>
            <w:vAlign w:val="bottom"/>
          </w:tcPr>
          <w:p>
            <w:pPr>
              <w:ind w:left="28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gridSpan w:val="4"/>
          </w:tcPr>
          <w:p>
            <w:pPr>
              <w:ind w:left="740"/>
              <w:spacing w:after="0"/>
              <w:rPr>
                <w:sz w:val="20"/>
                <w:szCs w:val="20"/>
                <w:color w:val="auto"/>
              </w:rPr>
            </w:pPr>
            <w:r>
              <w:rPr>
                <w:rFonts w:ascii="Arial" w:cs="Arial" w:eastAsia="Arial" w:hAnsi="Arial"/>
                <w:sz w:val="18"/>
                <w:szCs w:val="18"/>
                <w:b w:val="1"/>
                <w:bCs w:val="1"/>
                <w:color w:val="auto"/>
              </w:rPr>
              <w:t>Table 1, 787-*** Aircraft Delivery, Description, Price and Advance Payments for *** Firm 787-*** Aircraft</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SA-6</w:t>
            </w:r>
          </w:p>
        </w:tc>
        <w:tc>
          <w:tcPr>
            <w:tcW w:w="0" w:type="dxa"/>
            <w:vAlign w:val="bottom"/>
          </w:tcPr>
          <w:p>
            <w:pPr>
              <w:spacing w:after="0"/>
              <w:rPr>
                <w:sz w:val="1"/>
                <w:szCs w:val="1"/>
                <w:color w:val="auto"/>
              </w:rPr>
            </w:pPr>
          </w:p>
        </w:tc>
      </w:tr>
      <w:tr>
        <w:trPr>
          <w:trHeight w:val="324"/>
        </w:trPr>
        <w:tc>
          <w:tcPr>
            <w:tcW w:w="600" w:type="dxa"/>
            <w:vAlign w:val="bottom"/>
          </w:tcPr>
          <w:p>
            <w:pPr>
              <w:ind w:left="28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gridSpan w:val="4"/>
          </w:tcPr>
          <w:p>
            <w:pPr>
              <w:ind w:left="740"/>
              <w:spacing w:after="0"/>
              <w:rPr>
                <w:sz w:val="20"/>
                <w:szCs w:val="20"/>
                <w:color w:val="auto"/>
              </w:rPr>
            </w:pPr>
            <w:r>
              <w:rPr>
                <w:rFonts w:ascii="Arial" w:cs="Arial" w:eastAsia="Arial" w:hAnsi="Arial"/>
                <w:sz w:val="18"/>
                <w:szCs w:val="18"/>
                <w:b w:val="1"/>
                <w:bCs w:val="1"/>
                <w:color w:val="auto"/>
              </w:rPr>
              <w:t>787-10 with GENX-1B*** Engines Aircraft Information Table</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SA-6</w:t>
            </w:r>
          </w:p>
        </w:tc>
        <w:tc>
          <w:tcPr>
            <w:tcW w:w="0" w:type="dxa"/>
            <w:vAlign w:val="bottom"/>
          </w:tcPr>
          <w:p>
            <w:pPr>
              <w:spacing w:after="0"/>
              <w:rPr>
                <w:sz w:val="1"/>
                <w:szCs w:val="1"/>
                <w:color w:val="auto"/>
              </w:rPr>
            </w:pPr>
          </w:p>
        </w:tc>
      </w:tr>
      <w:tr>
        <w:trPr>
          <w:trHeight w:val="392"/>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sz w:val="20"/>
                <w:szCs w:val="20"/>
                <w:color w:val="auto"/>
              </w:rPr>
            </w:pPr>
            <w:r>
              <w:rPr>
                <w:rFonts w:ascii="Arial" w:cs="Arial" w:eastAsia="Arial" w:hAnsi="Arial"/>
                <w:sz w:val="18"/>
                <w:szCs w:val="18"/>
                <w:color w:val="auto"/>
              </w:rPr>
              <w:t>A1.</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787-8 Aircraft Configuration ***</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A2.</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787-9 Aircraft Configuration ***</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SA-4</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A3.</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787-10 Aircraft Configuration</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B.</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Aircraft Delivery Requirements and Responsibilities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SUPPLEMENTAL EXHIBITS</w:t>
            </w:r>
          </w:p>
        </w:tc>
        <w:tc>
          <w:tcPr>
            <w:tcW w:w="820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gridSpan w:val="3"/>
          </w:tcPr>
          <w:p>
            <w:pPr>
              <w:spacing w:after="0"/>
              <w:rPr>
                <w:sz w:val="20"/>
                <w:szCs w:val="20"/>
                <w:color w:val="auto"/>
              </w:rPr>
            </w:pPr>
            <w:r>
              <w:rPr>
                <w:rFonts w:ascii="Arial" w:cs="Arial" w:eastAsia="Arial" w:hAnsi="Arial"/>
                <w:sz w:val="18"/>
                <w:szCs w:val="18"/>
                <w:color w:val="auto"/>
              </w:rPr>
              <w:t>AE1.</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Escalation Adjustment/Airframe and Optional Features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BFE1.</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BFE Variables</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CS1.</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Customer Support Document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EE1.</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Engine Escalation/Engine Warranty ***</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SLP1.</w:t>
            </w:r>
          </w:p>
        </w:tc>
        <w:tc>
          <w:tcPr>
            <w:tcW w:w="9680" w:type="dxa"/>
            <w:vAlign w:val="bottom"/>
            <w:gridSpan w:val="4"/>
          </w:tcPr>
          <w:p>
            <w:pPr>
              <w:ind w:left="740"/>
              <w:spacing w:after="0"/>
              <w:rPr>
                <w:sz w:val="20"/>
                <w:szCs w:val="20"/>
                <w:color w:val="auto"/>
              </w:rPr>
            </w:pPr>
            <w:r>
              <w:rPr>
                <w:rFonts w:ascii="Arial" w:cs="Arial" w:eastAsia="Arial" w:hAnsi="Arial"/>
                <w:sz w:val="18"/>
                <w:szCs w:val="18"/>
                <w:color w:val="auto"/>
              </w:rPr>
              <w:t>Service Life Policy Components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920" w:type="dxa"/>
            <w:vAlign w:val="bottom"/>
            <w:gridSpan w:val="3"/>
          </w:tcPr>
          <w:p>
            <w:pPr>
              <w:spacing w:after="0"/>
              <w:rPr>
                <w:sz w:val="20"/>
                <w:szCs w:val="20"/>
                <w:color w:val="auto"/>
              </w:rPr>
            </w:pPr>
            <w:r>
              <w:rPr>
                <w:rFonts w:ascii="Arial" w:cs="Arial" w:eastAsia="Arial" w:hAnsi="Arial"/>
                <w:sz w:val="18"/>
                <w:szCs w:val="18"/>
                <w:color w:val="auto"/>
              </w:rPr>
              <w:t>P.A. 3860</w:t>
            </w:r>
          </w:p>
        </w:tc>
        <w:tc>
          <w:tcPr>
            <w:tcW w:w="1480" w:type="dxa"/>
            <w:vAlign w:val="bottom"/>
          </w:tcPr>
          <w:p>
            <w:pPr>
              <w:spacing w:after="0"/>
              <w:rPr>
                <w:sz w:val="24"/>
                <w:szCs w:val="24"/>
                <w:color w:val="auto"/>
              </w:rPr>
            </w:pPr>
          </w:p>
        </w:tc>
        <w:tc>
          <w:tcPr>
            <w:tcW w:w="8200" w:type="dxa"/>
            <w:vAlign w:val="bottom"/>
            <w:gridSpan w:val="3"/>
          </w:tcPr>
          <w:p>
            <w:pPr>
              <w:ind w:left="2080"/>
              <w:spacing w:after="0"/>
              <w:rPr>
                <w:sz w:val="20"/>
                <w:szCs w:val="20"/>
                <w:color w:val="auto"/>
              </w:rPr>
            </w:pPr>
            <w:r>
              <w:rPr>
                <w:rFonts w:ascii="Arial" w:cs="Arial" w:eastAsia="Arial" w:hAnsi="Arial"/>
                <w:sz w:val="18"/>
                <w:szCs w:val="18"/>
                <w:color w:val="auto"/>
              </w:rPr>
              <w:t>TABLE OF CONTENTS, Page 1 of 5</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w w:val="94"/>
              </w:rPr>
              <w:t>SA-6</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rPr>
              <w:t>BOEING/UNITED AIRLINES, INC. PROPRIETARY</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340"/>
        <w:spacing w:after="0" w:line="313" w:lineRule="auto"/>
        <w:rPr>
          <w:sz w:val="20"/>
          <w:szCs w:val="20"/>
          <w:color w:val="auto"/>
        </w:rPr>
      </w:pPr>
      <w:r>
        <w:rPr>
          <w:rFonts w:ascii="Arial" w:cs="Arial" w:eastAsia="Arial" w:hAnsi="Arial"/>
          <w:sz w:val="17"/>
          <w:szCs w:val="17"/>
          <w:b w:val="1"/>
          <w:bCs w:val="1"/>
          <w:u w:val="single" w:color="auto"/>
          <w:color w:val="auto"/>
        </w:rPr>
        <w:t xml:space="preserve">LETTER AGREEMENTS </w:t>
      </w:r>
      <w:r>
        <w:rPr>
          <w:rFonts w:ascii="Arial" w:cs="Arial" w:eastAsia="Arial" w:hAnsi="Arial"/>
          <w:sz w:val="17"/>
          <w:szCs w:val="17"/>
          <w:color w:val="auto"/>
        </w:rPr>
        <w:t>UAL-PA-03860-LA-1209247</w:t>
      </w:r>
    </w:p>
    <w:p>
      <w:pPr>
        <w:spacing w:after="0" w:line="34" w:lineRule="exact"/>
        <w:rPr>
          <w:sz w:val="20"/>
          <w:szCs w:val="20"/>
          <w:color w:val="auto"/>
        </w:rPr>
      </w:pPr>
    </w:p>
    <w:p>
      <w:pPr>
        <w:ind w:right="1140"/>
        <w:spacing w:after="0" w:line="440" w:lineRule="auto"/>
        <w:rPr>
          <w:sz w:val="20"/>
          <w:szCs w:val="20"/>
          <w:color w:val="auto"/>
        </w:rPr>
      </w:pPr>
      <w:r>
        <w:rPr>
          <w:rFonts w:ascii="Arial" w:cs="Arial" w:eastAsia="Arial" w:hAnsi="Arial"/>
          <w:sz w:val="17"/>
          <w:szCs w:val="17"/>
          <w:color w:val="auto"/>
        </w:rPr>
        <w:t>UAL-PA-03860-LA-1209264 UAL-PA-03860-LA-1209265R1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UAL-PA-03860-LA-1209409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UAL-PA-03860-LA-1209410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UAL-PA-03860-LA-1209411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UAL-PA-03860-LA-1209417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LETTER AGREEMENTS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 CONTINUED</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312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SA</w:t>
            </w:r>
          </w:p>
        </w:tc>
        <w:tc>
          <w:tcPr>
            <w:tcW w:w="0" w:type="dxa"/>
            <w:vAlign w:val="bottom"/>
          </w:tcPr>
          <w:p>
            <w:pPr>
              <w:spacing w:after="0"/>
              <w:rPr>
                <w:sz w:val="1"/>
                <w:szCs w:val="1"/>
                <w:color w:val="auto"/>
              </w:rPr>
            </w:pPr>
          </w:p>
        </w:tc>
      </w:tr>
      <w:tr>
        <w:trPr>
          <w:trHeight w:val="194"/>
        </w:trPr>
        <w:tc>
          <w:tcPr>
            <w:tcW w:w="4480" w:type="dxa"/>
            <w:vAlign w:val="bottom"/>
            <w:gridSpan w:val="2"/>
            <w:vMerge w:val="restart"/>
          </w:tcPr>
          <w:p>
            <w:pPr>
              <w:ind w:left="80"/>
              <w:spacing w:after="0"/>
              <w:rPr>
                <w:sz w:val="20"/>
                <w:szCs w:val="20"/>
                <w:color w:val="auto"/>
              </w:rPr>
            </w:pPr>
            <w:r>
              <w:rPr>
                <w:rFonts w:ascii="Arial" w:cs="Arial" w:eastAsia="Arial" w:hAnsi="Arial"/>
                <w:sz w:val="18"/>
                <w:szCs w:val="18"/>
                <w:color w:val="auto"/>
              </w:rPr>
              <w:t>787 e-Enabling</w:t>
            </w:r>
          </w:p>
        </w:tc>
        <w:tc>
          <w:tcPr>
            <w:tcW w:w="1500" w:type="dxa"/>
            <w:vAlign w:val="bottom"/>
            <w:gridSpan w:val="2"/>
          </w:tcPr>
          <w:p>
            <w:pPr>
              <w:jc w:val="center"/>
              <w:ind w:left="610"/>
              <w:spacing w:after="0" w:line="194" w:lineRule="exact"/>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50"/>
        </w:trPr>
        <w:tc>
          <w:tcPr>
            <w:tcW w:w="4480" w:type="dxa"/>
            <w:vAlign w:val="bottom"/>
            <w:gridSpan w:val="2"/>
            <w:vMerge w:val="continue"/>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480" w:type="dxa"/>
            <w:vAlign w:val="bottom"/>
            <w:gridSpan w:val="2"/>
          </w:tcPr>
          <w:p>
            <w:pPr>
              <w:ind w:left="80"/>
              <w:spacing w:after="0"/>
              <w:rPr>
                <w:sz w:val="20"/>
                <w:szCs w:val="20"/>
                <w:color w:val="auto"/>
              </w:rPr>
            </w:pPr>
            <w:r>
              <w:rPr>
                <w:rFonts w:ascii="Arial" w:cs="Arial" w:eastAsia="Arial" w:hAnsi="Arial"/>
                <w:sz w:val="18"/>
                <w:szCs w:val="18"/>
                <w:color w:val="auto"/>
              </w:rPr>
              <w:t>Open Configuration Matters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gridSpan w:val="2"/>
          </w:tcPr>
          <w:p>
            <w:pPr>
              <w:ind w:left="80"/>
              <w:spacing w:after="0"/>
              <w:rPr>
                <w:sz w:val="20"/>
                <w:szCs w:val="20"/>
                <w:color w:val="auto"/>
              </w:rPr>
            </w:pPr>
            <w:r>
              <w:rPr>
                <w:rFonts w:ascii="Arial" w:cs="Arial" w:eastAsia="Arial" w:hAnsi="Arial"/>
                <w:sz w:val="18"/>
                <w:szCs w:val="18"/>
                <w:color w:val="auto"/>
              </w:rPr>
              <w:t>Option Aircraft</w:t>
            </w:r>
          </w:p>
        </w:tc>
        <w:tc>
          <w:tcPr>
            <w:tcW w:w="7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10"/>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Attachment A, 787-*** Option Aircraft</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620"/>
              <w:spacing w:after="0"/>
              <w:rPr>
                <w:sz w:val="20"/>
                <w:szCs w:val="20"/>
                <w:color w:val="auto"/>
              </w:rPr>
            </w:pPr>
            <w:r>
              <w:rPr>
                <w:rFonts w:ascii="Arial" w:cs="Arial" w:eastAsia="Arial" w:hAnsi="Arial"/>
                <w:sz w:val="18"/>
                <w:szCs w:val="18"/>
                <w:color w:val="auto"/>
              </w:rPr>
              <w:t>Delivery, Description, Price and Advance</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620"/>
              <w:spacing w:after="0"/>
              <w:rPr>
                <w:sz w:val="20"/>
                <w:szCs w:val="20"/>
                <w:color w:val="auto"/>
              </w:rPr>
            </w:pPr>
            <w:r>
              <w:rPr>
                <w:rFonts w:ascii="Arial" w:cs="Arial" w:eastAsia="Arial" w:hAnsi="Arial"/>
                <w:sz w:val="18"/>
                <w:szCs w:val="18"/>
                <w:color w:val="auto"/>
              </w:rPr>
              <w:t>Payments (DELETED)</w:t>
            </w:r>
          </w:p>
        </w:tc>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06"/>
        </w:trPr>
        <w:tc>
          <w:tcPr>
            <w:tcW w:w="4480" w:type="dxa"/>
            <w:vAlign w:val="bottom"/>
            <w:gridSpan w:val="2"/>
          </w:tcPr>
          <w:p>
            <w:pPr>
              <w:ind w:left="440"/>
              <w:spacing w:after="0"/>
              <w:rPr>
                <w:sz w:val="20"/>
                <w:szCs w:val="20"/>
                <w:color w:val="auto"/>
              </w:rPr>
            </w:pPr>
            <w:r>
              <w:rPr>
                <w:rFonts w:ascii="Arial" w:cs="Arial" w:eastAsia="Arial" w:hAnsi="Arial"/>
                <w:sz w:val="18"/>
                <w:szCs w:val="18"/>
                <w:b w:val="1"/>
                <w:bCs w:val="1"/>
                <w:color w:val="auto"/>
              </w:rPr>
              <w:t>Attachment B-1, 787-*** with GENX-</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620"/>
              <w:spacing w:after="0"/>
              <w:rPr>
                <w:sz w:val="20"/>
                <w:szCs w:val="20"/>
                <w:color w:val="auto"/>
              </w:rPr>
            </w:pPr>
            <w:r>
              <w:rPr>
                <w:rFonts w:ascii="Arial" w:cs="Arial" w:eastAsia="Arial" w:hAnsi="Arial"/>
                <w:sz w:val="18"/>
                <w:szCs w:val="18"/>
                <w:b w:val="1"/>
                <w:bCs w:val="1"/>
                <w:color w:val="auto"/>
              </w:rPr>
              <w:t>1B*** Engines: Option Aircraft</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620"/>
              <w:spacing w:after="0"/>
              <w:rPr>
                <w:sz w:val="20"/>
                <w:szCs w:val="20"/>
                <w:color w:val="auto"/>
              </w:rPr>
            </w:pPr>
            <w:r>
              <w:rPr>
                <w:rFonts w:ascii="Arial" w:cs="Arial" w:eastAsia="Arial" w:hAnsi="Arial"/>
                <w:sz w:val="18"/>
                <w:szCs w:val="18"/>
                <w:b w:val="1"/>
                <w:bCs w:val="1"/>
                <w:color w:val="auto"/>
              </w:rPr>
              <w:t>Delivery, Description, Price and Advance</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620"/>
              <w:spacing w:after="0"/>
              <w:rPr>
                <w:sz w:val="20"/>
                <w:szCs w:val="20"/>
                <w:color w:val="auto"/>
              </w:rPr>
            </w:pPr>
            <w:r>
              <w:rPr>
                <w:rFonts w:ascii="Arial" w:cs="Arial" w:eastAsia="Arial" w:hAnsi="Arial"/>
                <w:sz w:val="18"/>
                <w:szCs w:val="18"/>
                <w:b w:val="1"/>
                <w:bCs w:val="1"/>
                <w:color w:val="auto"/>
              </w:rPr>
              <w:t>Payments</w:t>
            </w:r>
          </w:p>
        </w:tc>
        <w:tc>
          <w:tcPr>
            <w:tcW w:w="7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SA-6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-2409190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Attachment B-2, 787-*** with TRENT1000-</w:t>
      </w:r>
    </w:p>
    <w:p>
      <w:pPr>
        <w:spacing w:after="0" w:line="23" w:lineRule="exact"/>
        <w:rPr>
          <w:sz w:val="20"/>
          <w:szCs w:val="20"/>
          <w:color w:val="auto"/>
        </w:rPr>
      </w:pPr>
    </w:p>
    <w:p>
      <w:pPr>
        <w:ind w:left="620" w:right="3600" w:firstLine="9"/>
        <w:spacing w:after="0" w:line="281" w:lineRule="auto"/>
        <w:tabs>
          <w:tab w:leader="none" w:pos="9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Engines: Option Aircraft Delivery, Description, Price and Advance Payments</w:t>
      </w:r>
    </w:p>
    <w:p>
      <w:pPr>
        <w:spacing w:after="0" w:line="1" w:lineRule="exact"/>
        <w:rPr>
          <w:sz w:val="20"/>
          <w:szCs w:val="20"/>
          <w:color w:val="auto"/>
        </w:rPr>
      </w:pPr>
    </w:p>
    <w:p>
      <w:pPr>
        <w:ind w:left="620"/>
        <w:spacing w:after="0"/>
        <w:tabs>
          <w:tab w:leader="none" w:pos="5360" w:val="left"/>
        </w:tabs>
        <w:rPr>
          <w:sz w:val="20"/>
          <w:szCs w:val="20"/>
          <w:color w:val="auto"/>
        </w:rPr>
      </w:pPr>
      <w:r>
        <w:rPr>
          <w:rFonts w:ascii="Arial" w:cs="Arial" w:eastAsia="Arial" w:hAnsi="Arial"/>
          <w:sz w:val="18"/>
          <w:szCs w:val="18"/>
          <w:color w:val="auto"/>
        </w:rPr>
        <w:t>(DELETED)</w:t>
      </w:r>
      <w:r>
        <w:rPr>
          <w:sz w:val="20"/>
          <w:szCs w:val="20"/>
          <w:color w:val="auto"/>
        </w:rPr>
        <w:tab/>
      </w:r>
      <w:r>
        <w:rPr>
          <w:rFonts w:ascii="Arial" w:cs="Arial" w:eastAsia="Arial" w:hAnsi="Arial"/>
          <w:sz w:val="18"/>
          <w:szCs w:val="18"/>
          <w:color w:val="auto"/>
        </w:rPr>
        <w:t>SA-3</w:t>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Spare Parts Initial Provisioning</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Special Matters Relating to COTS Software and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End User License Agreements</w:t>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Special Terms – Seats and In-flight Entertainment</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Model 787 Post-Delivery Software &amp; Data</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Loading</w:t>
      </w:r>
    </w:p>
    <w:p>
      <w:pPr>
        <w:spacing w:after="0" w:line="534" w:lineRule="exact"/>
        <w:rPr>
          <w:sz w:val="20"/>
          <w:szCs w:val="20"/>
          <w:color w:val="auto"/>
        </w:rPr>
      </w:pPr>
    </w:p>
    <w:p>
      <w:pPr>
        <w:sectPr>
          <w:pgSz w:w="11900" w:h="16838" w:orient="portrait"/>
          <w:cols w:equalWidth="0" w:num="2">
            <w:col w:w="3500" w:space="660"/>
            <w:col w:w="7260"/>
          </w:cols>
          <w:pgMar w:left="240" w:top="257" w:right="239" w:bottom="1440" w:gutter="0" w:footer="0" w:header="0"/>
        </w:sectPr>
      </w:pPr>
    </w:p>
    <w:p>
      <w:pPr>
        <w:spacing w:after="0"/>
        <w:tabs>
          <w:tab w:leader="none" w:pos="4220" w:val="left"/>
          <w:tab w:leader="none" w:pos="9520" w:val="left"/>
        </w:tabs>
        <w:rPr>
          <w:sz w:val="20"/>
          <w:szCs w:val="20"/>
          <w:color w:val="auto"/>
        </w:rPr>
      </w:pPr>
      <w:r>
        <w:rPr>
          <w:rFonts w:ascii="Arial" w:cs="Arial" w:eastAsia="Arial" w:hAnsi="Arial"/>
          <w:sz w:val="18"/>
          <w:szCs w:val="18"/>
          <w:color w:val="auto"/>
        </w:rPr>
        <w:t>UAL-PA-03860-LA-1209236R1</w:t>
      </w:r>
      <w:r>
        <w:rPr>
          <w:sz w:val="20"/>
          <w:szCs w:val="20"/>
          <w:color w:val="auto"/>
        </w:rPr>
        <w:tab/>
      </w:r>
      <w:r>
        <w:rPr>
          <w:rFonts w:ascii="Arial" w:cs="Arial" w:eastAsia="Arial" w:hAnsi="Arial"/>
          <w:sz w:val="18"/>
          <w:szCs w:val="18"/>
          <w:color w:val="auto"/>
        </w:rPr>
        <w:t>Model Substitution</w:t>
      </w:r>
      <w:r>
        <w:rPr>
          <w:sz w:val="20"/>
          <w:szCs w:val="20"/>
          <w:color w:val="auto"/>
        </w:rPr>
        <w:tab/>
      </w:r>
      <w:r>
        <w:rPr>
          <w:rFonts w:ascii="Arial" w:cs="Arial" w:eastAsia="Arial" w:hAnsi="Arial"/>
          <w:sz w:val="17"/>
          <w:szCs w:val="17"/>
          <w:color w:val="auto"/>
        </w:rPr>
        <w:t>SA-1</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Attachment A, 787-9 Airframe Pricing of</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Substitution Aircraft with General Electric</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GEnx-1B*** and Rolls Royce Trent 1000-</w:t>
      </w:r>
    </w:p>
    <w:p>
      <w:pPr>
        <w:spacing w:after="0" w:line="9" w:lineRule="exact"/>
        <w:rPr>
          <w:sz w:val="20"/>
          <w:szCs w:val="20"/>
          <w:color w:val="auto"/>
        </w:rPr>
      </w:pPr>
    </w:p>
    <w:p>
      <w:pPr>
        <w:ind w:left="4780"/>
        <w:spacing w:after="0"/>
        <w:tabs>
          <w:tab w:leader="none" w:pos="9520" w:val="left"/>
        </w:tabs>
        <w:rPr>
          <w:sz w:val="20"/>
          <w:szCs w:val="20"/>
          <w:color w:val="auto"/>
        </w:rPr>
      </w:pPr>
      <w:r>
        <w:rPr>
          <w:rFonts w:ascii="Arial" w:cs="Arial" w:eastAsia="Arial" w:hAnsi="Arial"/>
          <w:sz w:val="18"/>
          <w:szCs w:val="18"/>
          <w:color w:val="auto"/>
        </w:rPr>
        <w:t>*** engines</w:t>
      </w:r>
      <w:r>
        <w:rPr>
          <w:sz w:val="20"/>
          <w:szCs w:val="20"/>
          <w:color w:val="auto"/>
        </w:rPr>
        <w:tab/>
      </w:r>
      <w:r>
        <w:rPr>
          <w:rFonts w:ascii="Arial" w:cs="Arial" w:eastAsia="Arial" w:hAnsi="Arial"/>
          <w:sz w:val="17"/>
          <w:szCs w:val="17"/>
          <w:color w:val="auto"/>
        </w:rPr>
        <w:t>SA-1</w:t>
      </w:r>
    </w:p>
    <w:p>
      <w:pPr>
        <w:spacing w:after="0" w:line="10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Attachment B, 787-10 with General Electric</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GEnx-1B*** and Rolls Royce TRENT</w:t>
      </w:r>
    </w:p>
    <w:p>
      <w:pPr>
        <w:spacing w:after="0" w:line="9" w:lineRule="exact"/>
        <w:rPr>
          <w:sz w:val="20"/>
          <w:szCs w:val="20"/>
          <w:color w:val="auto"/>
        </w:rPr>
      </w:pPr>
    </w:p>
    <w:p>
      <w:pPr>
        <w:ind w:left="4780"/>
        <w:spacing w:after="0"/>
        <w:tabs>
          <w:tab w:leader="none" w:pos="9520" w:val="left"/>
        </w:tabs>
        <w:rPr>
          <w:sz w:val="20"/>
          <w:szCs w:val="20"/>
          <w:color w:val="auto"/>
        </w:rPr>
      </w:pPr>
      <w:r>
        <w:rPr>
          <w:rFonts w:ascii="Arial" w:cs="Arial" w:eastAsia="Arial" w:hAnsi="Arial"/>
          <w:sz w:val="18"/>
          <w:szCs w:val="18"/>
          <w:color w:val="auto"/>
        </w:rPr>
        <w:t>1000-*** Engines</w:t>
      </w:r>
      <w:r>
        <w:rPr>
          <w:sz w:val="20"/>
          <w:szCs w:val="20"/>
          <w:color w:val="auto"/>
        </w:rPr>
        <w:tab/>
      </w:r>
      <w:r>
        <w:rPr>
          <w:rFonts w:ascii="Arial" w:cs="Arial" w:eastAsia="Arial" w:hAnsi="Arial"/>
          <w:sz w:val="17"/>
          <w:szCs w:val="17"/>
          <w:color w:val="auto"/>
        </w:rPr>
        <w:t>SA-1</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Attachment C, 787-8 with General Electric</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GEnx-1B*** and Rolls Royce TRENT</w:t>
      </w:r>
    </w:p>
    <w:p>
      <w:pPr>
        <w:spacing w:after="0" w:line="9" w:lineRule="exact"/>
        <w:rPr>
          <w:sz w:val="20"/>
          <w:szCs w:val="20"/>
          <w:color w:val="auto"/>
        </w:rPr>
      </w:pPr>
    </w:p>
    <w:p>
      <w:pPr>
        <w:ind w:left="4780"/>
        <w:spacing w:after="0"/>
        <w:tabs>
          <w:tab w:leader="none" w:pos="9520" w:val="left"/>
        </w:tabs>
        <w:rPr>
          <w:sz w:val="20"/>
          <w:szCs w:val="20"/>
          <w:color w:val="auto"/>
        </w:rPr>
      </w:pPr>
      <w:r>
        <w:rPr>
          <w:rFonts w:ascii="Arial" w:cs="Arial" w:eastAsia="Arial" w:hAnsi="Arial"/>
          <w:sz w:val="18"/>
          <w:szCs w:val="18"/>
          <w:color w:val="auto"/>
        </w:rPr>
        <w:t>1000-***</w:t>
      </w:r>
      <w:r>
        <w:rPr>
          <w:sz w:val="20"/>
          <w:szCs w:val="20"/>
          <w:color w:val="auto"/>
        </w:rPr>
        <w:tab/>
      </w:r>
      <w:r>
        <w:rPr>
          <w:rFonts w:ascii="Arial" w:cs="Arial" w:eastAsia="Arial" w:hAnsi="Arial"/>
          <w:sz w:val="17"/>
          <w:szCs w:val="17"/>
          <w:color w:val="auto"/>
        </w:rPr>
        <w:t>SA-1</w:t>
      </w:r>
    </w:p>
    <w:p>
      <w:pPr>
        <w:spacing w:after="0" w:line="143" w:lineRule="exact"/>
        <w:rPr>
          <w:sz w:val="20"/>
          <w:szCs w:val="20"/>
          <w:color w:val="auto"/>
        </w:rPr>
      </w:pPr>
    </w:p>
    <w:p>
      <w:pPr>
        <w:spacing w:after="0"/>
        <w:tabs>
          <w:tab w:leader="none" w:pos="4460" w:val="left"/>
          <w:tab w:leader="none" w:pos="11020" w:val="left"/>
        </w:tabs>
        <w:rPr>
          <w:sz w:val="20"/>
          <w:szCs w:val="20"/>
          <w:color w:val="auto"/>
        </w:rPr>
      </w:pPr>
      <w:r>
        <w:rPr>
          <w:rFonts w:ascii="Arial" w:cs="Arial" w:eastAsia="Arial" w:hAnsi="Arial"/>
          <w:sz w:val="18"/>
          <w:szCs w:val="18"/>
          <w:color w:val="auto"/>
        </w:rPr>
        <w:t>P.A. 3860</w:t>
      </w:r>
      <w:r>
        <w:rPr>
          <w:sz w:val="20"/>
          <w:szCs w:val="20"/>
          <w:color w:val="auto"/>
        </w:rPr>
        <w:tab/>
      </w:r>
      <w:r>
        <w:rPr>
          <w:rFonts w:ascii="Arial" w:cs="Arial" w:eastAsia="Arial" w:hAnsi="Arial"/>
          <w:sz w:val="18"/>
          <w:szCs w:val="18"/>
          <w:color w:val="auto"/>
        </w:rPr>
        <w:t>TABLE OF CONTENTS, Page 2 of 4</w:t>
      </w:r>
      <w:r>
        <w:rPr>
          <w:sz w:val="20"/>
          <w:szCs w:val="20"/>
          <w:color w:val="auto"/>
        </w:rPr>
        <w:tab/>
      </w:r>
      <w:r>
        <w:rPr>
          <w:rFonts w:ascii="Arial" w:cs="Arial" w:eastAsia="Arial" w:hAnsi="Arial"/>
          <w:sz w:val="17"/>
          <w:szCs w:val="17"/>
          <w:color w:val="auto"/>
        </w:rPr>
        <w:t>SA-6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 UNITED AIRLINES, INC. PROPRIETARY</w:t>
      </w:r>
    </w:p>
    <w:p>
      <w:pPr>
        <w:sectPr>
          <w:pgSz w:w="11900" w:h="16838" w:orient="portrait"/>
          <w:cols w:equalWidth="0" w:num="1">
            <w:col w:w="11420"/>
          </w:cols>
          <w:pgMar w:left="240" w:top="257" w:right="23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10600" w:type="dxa"/>
            <w:vAlign w:val="bottom"/>
            <w:gridSpan w:val="4"/>
          </w:tcPr>
          <w:p>
            <w:pPr>
              <w:ind w:left="4160"/>
              <w:spacing w:after="0"/>
              <w:rPr>
                <w:sz w:val="20"/>
                <w:szCs w:val="20"/>
                <w:color w:val="auto"/>
              </w:rPr>
            </w:pPr>
            <w:r>
              <w:rPr>
                <w:rFonts w:ascii="Arial" w:cs="Arial" w:eastAsia="Arial" w:hAnsi="Arial"/>
                <w:sz w:val="18"/>
                <w:szCs w:val="18"/>
                <w:b w:val="1"/>
                <w:bCs w:val="1"/>
                <w:color w:val="auto"/>
              </w:rPr>
              <w:t>TABLE OF CONTENTS, CONTINUED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SA</w:t>
            </w:r>
          </w:p>
        </w:tc>
        <w:tc>
          <w:tcPr>
            <w:tcW w:w="0" w:type="dxa"/>
            <w:vAlign w:val="bottom"/>
          </w:tcPr>
          <w:p>
            <w:pPr>
              <w:spacing w:after="0" w:line="20" w:lineRule="exact"/>
              <w:rPr>
                <w:sz w:val="1"/>
                <w:szCs w:val="1"/>
                <w:color w:val="auto"/>
              </w:rPr>
            </w:pPr>
          </w:p>
        </w:tc>
      </w:tr>
      <w:tr>
        <w:trPr>
          <w:trHeight w:val="610"/>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CONFIDENTIAL LETTER AGREEMENTS, continued</w:t>
            </w:r>
          </w:p>
        </w:tc>
        <w:tc>
          <w:tcPr>
            <w:tcW w:w="2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360" w:type="dxa"/>
            <w:vAlign w:val="bottom"/>
            <w:tcBorders>
              <w:bottom w:val="single" w:sz="8" w:color="auto"/>
            </w:tcBorders>
            <w:gridSpan w:val="2"/>
            <w:vMerge w:val="continue"/>
          </w:tcPr>
          <w:p>
            <w:pPr>
              <w:spacing w:after="0"/>
              <w:rPr>
                <w:sz w:val="20"/>
                <w:szCs w:val="20"/>
                <w:color w:val="auto"/>
              </w:rPr>
            </w:pPr>
          </w:p>
        </w:tc>
        <w:tc>
          <w:tcPr>
            <w:tcW w:w="29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98"/>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UAL-PA-03860-LA-1209412</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Spare Parts Commitment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UAL-PA-03860-LA-1209413R1</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Special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UAL-PA-03860-LA-1209413A1R2</w:t>
            </w:r>
          </w:p>
        </w:tc>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Special Matters – Amendment 1</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SA-6</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UAL-PA-03860-LA-1209414</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Other Special Matters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UAL-PA-03860-LA-1209413A1</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Other Special Matters - Amendment 1</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UAL-PA-03860-LA-1209416R1</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Promotional Support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SA-2</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UAL-PA-03860-LA-1209430</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Performance Guarantees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UAL-PA-03860-LA-1209455</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 – TERMINATED</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UAL-PA-03860-LA-1209429</w:t>
            </w:r>
          </w:p>
        </w:tc>
        <w:tc>
          <w:tcPr>
            <w:tcW w:w="2920" w:type="dxa"/>
            <w:vAlign w:val="bottom"/>
          </w:tcPr>
          <w:p>
            <w:pPr>
              <w:ind w:left="20"/>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UAL-PA-03860-LA-1209618R1</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Alternate Engine Selection</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6-1162-ELP-0794</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 Program- *** Aircraft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6-1162-ELP-0795</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 Program- *** Aircraft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UAL-PA-03860-LA-1301368</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Performance Guarantees (787-10)</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UAL-PA-03860-LA-1301373</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787-10 Aircraft Open Configuration and Other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UAL-PA-03860-LA-1301375</w:t>
            </w:r>
          </w:p>
        </w:tc>
        <w:tc>
          <w:tcPr>
            <w:tcW w:w="6240" w:type="dxa"/>
            <w:vAlign w:val="bottom"/>
            <w:gridSpan w:val="2"/>
          </w:tcPr>
          <w:p>
            <w:pPr>
              <w:ind w:left="440"/>
              <w:spacing w:after="0"/>
              <w:rPr>
                <w:sz w:val="20"/>
                <w:szCs w:val="20"/>
                <w:color w:val="auto"/>
              </w:rPr>
            </w:pPr>
            <w:r>
              <w:rPr>
                <w:rFonts w:ascii="Arial" w:cs="Arial" w:eastAsia="Arial" w:hAnsi="Arial"/>
                <w:sz w:val="18"/>
                <w:szCs w:val="18"/>
                <w:color w:val="auto"/>
              </w:rPr>
              <w:t>Provisions Relating to Customer’s *** for 787-10 Aircraft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UAL-PA-03860-LA-1301377</w:t>
            </w:r>
          </w:p>
        </w:tc>
        <w:tc>
          <w:tcPr>
            <w:tcW w:w="2920" w:type="dxa"/>
            <w:vAlign w:val="bottom"/>
          </w:tcPr>
          <w:p>
            <w:pPr>
              <w:ind w:left="20"/>
              <w:spacing w:after="0"/>
              <w:rPr>
                <w:sz w:val="20"/>
                <w:szCs w:val="20"/>
                <w:color w:val="auto"/>
              </w:rPr>
            </w:pPr>
            <w:r>
              <w:rPr>
                <w:rFonts w:ascii="Arial" w:cs="Arial" w:eastAsia="Arial" w:hAnsi="Arial"/>
                <w:sz w:val="18"/>
                <w:szCs w:val="18"/>
                <w:color w:val="auto"/>
              </w:rPr>
              <w:t>787-10 ***</w:t>
            </w:r>
          </w:p>
        </w:tc>
        <w:tc>
          <w:tcPr>
            <w:tcW w:w="3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UAL-PA-03860-LA-1301377A1</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787-10 *** – Amendment 1</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SA-4</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UAL-PA-03860-LA-1301380</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787-10 Program Launch</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UAL-PA-03860-LA-1500017</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Demonstration Flight Waiver</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SA-4</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UAL-PA-03860-LA-1500059</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Installation of Cabin Systems Equipment</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SA-4</w:t>
            </w:r>
          </w:p>
        </w:tc>
        <w:tc>
          <w:tcPr>
            <w:tcW w:w="0" w:type="dxa"/>
            <w:vAlign w:val="bottom"/>
          </w:tcPr>
          <w:p>
            <w:pPr>
              <w:spacing w:after="0"/>
              <w:rPr>
                <w:sz w:val="1"/>
                <w:szCs w:val="1"/>
                <w:color w:val="auto"/>
              </w:rPr>
            </w:pPr>
          </w:p>
        </w:tc>
      </w:tr>
      <w:tr>
        <w:trPr>
          <w:trHeight w:val="365"/>
        </w:trPr>
        <w:tc>
          <w:tcPr>
            <w:tcW w:w="4360" w:type="dxa"/>
            <w:vAlign w:val="bottom"/>
            <w:gridSpan w:val="2"/>
          </w:tcPr>
          <w:p>
            <w:pPr>
              <w:spacing w:after="0"/>
              <w:rPr>
                <w:sz w:val="20"/>
                <w:szCs w:val="20"/>
                <w:color w:val="auto"/>
              </w:rPr>
            </w:pPr>
            <w:r>
              <w:rPr>
                <w:rFonts w:ascii="Arial" w:cs="Arial" w:eastAsia="Arial" w:hAnsi="Arial"/>
                <w:sz w:val="18"/>
                <w:szCs w:val="18"/>
                <w:color w:val="auto"/>
              </w:rPr>
              <w:t>P.A. 3860</w:t>
            </w:r>
          </w:p>
        </w:tc>
        <w:tc>
          <w:tcPr>
            <w:tcW w:w="6240" w:type="dxa"/>
            <w:vAlign w:val="bottom"/>
            <w:gridSpan w:val="2"/>
          </w:tcPr>
          <w:p>
            <w:pPr>
              <w:ind w:left="120"/>
              <w:spacing w:after="0"/>
              <w:rPr>
                <w:sz w:val="20"/>
                <w:szCs w:val="20"/>
                <w:color w:val="auto"/>
              </w:rPr>
            </w:pPr>
            <w:r>
              <w:rPr>
                <w:rFonts w:ascii="Arial" w:cs="Arial" w:eastAsia="Arial" w:hAnsi="Arial"/>
                <w:sz w:val="18"/>
                <w:szCs w:val="18"/>
                <w:color w:val="auto"/>
              </w:rPr>
              <w:t>TABLE OF CONTENTS, Page 3 of 4</w:t>
            </w:r>
          </w:p>
        </w:tc>
        <w:tc>
          <w:tcPr>
            <w:tcW w:w="820" w:type="dxa"/>
            <w:vAlign w:val="bottom"/>
          </w:tcPr>
          <w:p>
            <w:pPr>
              <w:ind w:left="440"/>
              <w:spacing w:after="0"/>
              <w:rPr>
                <w:sz w:val="20"/>
                <w:szCs w:val="20"/>
                <w:color w:val="auto"/>
              </w:rPr>
            </w:pPr>
            <w:r>
              <w:rPr>
                <w:rFonts w:ascii="Arial" w:cs="Arial" w:eastAsia="Arial" w:hAnsi="Arial"/>
                <w:sz w:val="18"/>
                <w:szCs w:val="18"/>
                <w:color w:val="auto"/>
                <w:w w:val="89"/>
              </w:rPr>
              <w:t>SA-6</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BOEING / UNITED AIRLINES, INC. PROPRIETARY</w:t>
      </w:r>
    </w:p>
    <w:p>
      <w:pPr>
        <w:sectPr>
          <w:pgSz w:w="11900" w:h="16838" w:orient="portrait"/>
          <w:cols w:equalWidth="0" w:num="1">
            <w:col w:w="11420"/>
          </w:cols>
          <w:pgMar w:left="240" w:top="256"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SUPPLEMENTAL AGREEMENTS</w:t>
            </w:r>
          </w:p>
        </w:tc>
        <w:tc>
          <w:tcPr>
            <w:tcW w:w="70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DATED AS OF</w:t>
            </w:r>
          </w:p>
        </w:tc>
        <w:tc>
          <w:tcPr>
            <w:tcW w:w="420" w:type="dxa"/>
            <w:vAlign w:val="bottom"/>
          </w:tcPr>
          <w:p>
            <w:pPr>
              <w:spacing w:after="0"/>
              <w:rPr>
                <w:sz w:val="20"/>
                <w:szCs w:val="20"/>
                <w:color w:val="auto"/>
              </w:rPr>
            </w:pPr>
          </w:p>
        </w:tc>
      </w:tr>
      <w:tr>
        <w:trPr>
          <w:trHeight w:val="318"/>
        </w:trPr>
        <w:tc>
          <w:tcPr>
            <w:tcW w:w="2800" w:type="dxa"/>
            <w:vAlign w:val="bottom"/>
          </w:tcPr>
          <w:p>
            <w:pPr>
              <w:spacing w:after="0"/>
              <w:rPr>
                <w:sz w:val="20"/>
                <w:szCs w:val="20"/>
                <w:color w:val="auto"/>
              </w:rPr>
            </w:pPr>
            <w:r>
              <w:rPr>
                <w:rFonts w:ascii="Arial" w:cs="Arial" w:eastAsia="Arial" w:hAnsi="Arial"/>
                <w:sz w:val="18"/>
                <w:szCs w:val="18"/>
                <w:color w:val="auto"/>
              </w:rPr>
              <w:t>Supplemental Agreement No. 1</w:t>
            </w:r>
          </w:p>
        </w:tc>
        <w:tc>
          <w:tcPr>
            <w:tcW w:w="70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June 17, 2013</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Supplemental Agreement No. 2</w:t>
            </w:r>
          </w:p>
        </w:tc>
        <w:tc>
          <w:tcPr>
            <w:tcW w:w="70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December 16, 2013</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Supplemental Agreement No. 3</w:t>
            </w:r>
          </w:p>
        </w:tc>
        <w:tc>
          <w:tcPr>
            <w:tcW w:w="70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July 22, 2014</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Supplemental Agreement No. 4</w:t>
            </w:r>
          </w:p>
        </w:tc>
        <w:tc>
          <w:tcPr>
            <w:tcW w:w="70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January 14, 2015</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Supplemental Agreement No. 5</w:t>
            </w:r>
          </w:p>
        </w:tc>
        <w:tc>
          <w:tcPr>
            <w:tcW w:w="70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May 12, 2015</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Supplemental Agreement No. 6</w:t>
            </w:r>
          </w:p>
        </w:tc>
        <w:tc>
          <w:tcPr>
            <w:tcW w:w="70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98"/>
              </w:rPr>
              <w:t>December 31, 2015</w:t>
            </w:r>
          </w:p>
        </w:tc>
      </w:tr>
      <w:tr>
        <w:trPr>
          <w:trHeight w:val="346"/>
        </w:trPr>
        <w:tc>
          <w:tcPr>
            <w:tcW w:w="2800" w:type="dxa"/>
            <w:vAlign w:val="bottom"/>
          </w:tcPr>
          <w:p>
            <w:pPr>
              <w:spacing w:after="0"/>
              <w:rPr>
                <w:sz w:val="20"/>
                <w:szCs w:val="20"/>
                <w:color w:val="auto"/>
              </w:rPr>
            </w:pPr>
            <w:r>
              <w:rPr>
                <w:rFonts w:ascii="Arial" w:cs="Arial" w:eastAsia="Arial" w:hAnsi="Arial"/>
                <w:sz w:val="18"/>
                <w:szCs w:val="18"/>
                <w:color w:val="auto"/>
              </w:rPr>
              <w:t>P.A. 3860</w:t>
            </w:r>
          </w:p>
        </w:tc>
        <w:tc>
          <w:tcPr>
            <w:tcW w:w="7000" w:type="dxa"/>
            <w:vAlign w:val="bottom"/>
          </w:tcPr>
          <w:p>
            <w:pPr>
              <w:ind w:left="1680"/>
              <w:spacing w:after="0"/>
              <w:rPr>
                <w:sz w:val="20"/>
                <w:szCs w:val="20"/>
                <w:color w:val="auto"/>
              </w:rPr>
            </w:pPr>
            <w:r>
              <w:rPr>
                <w:rFonts w:ascii="Arial" w:cs="Arial" w:eastAsia="Arial" w:hAnsi="Arial"/>
                <w:sz w:val="18"/>
                <w:szCs w:val="18"/>
                <w:color w:val="auto"/>
              </w:rPr>
              <w:t>TABLE OF CONTENTS, Page 4 of 4</w:t>
            </w:r>
          </w:p>
        </w:tc>
        <w:tc>
          <w:tcPr>
            <w:tcW w:w="12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89"/>
              </w:rPr>
              <w:t>SA-6</w:t>
            </w:r>
          </w:p>
        </w:tc>
      </w:tr>
      <w:tr>
        <w:trPr>
          <w:trHeight w:val="234"/>
        </w:trPr>
        <w:tc>
          <w:tcPr>
            <w:tcW w:w="2800" w:type="dxa"/>
            <w:vAlign w:val="bottom"/>
          </w:tcPr>
          <w:p>
            <w:pPr>
              <w:spacing w:after="0"/>
              <w:rPr>
                <w:sz w:val="20"/>
                <w:szCs w:val="20"/>
                <w:color w:val="auto"/>
              </w:rPr>
            </w:pPr>
          </w:p>
        </w:tc>
        <w:tc>
          <w:tcPr>
            <w:tcW w:w="7000" w:type="dxa"/>
            <w:vAlign w:val="bottom"/>
          </w:tcPr>
          <w:p>
            <w:pPr>
              <w:ind w:left="780"/>
              <w:spacing w:after="0"/>
              <w:rPr>
                <w:sz w:val="20"/>
                <w:szCs w:val="20"/>
                <w:color w:val="auto"/>
              </w:rPr>
            </w:pPr>
            <w:r>
              <w:rPr>
                <w:rFonts w:ascii="Arial" w:cs="Arial" w:eastAsia="Arial" w:hAnsi="Arial"/>
                <w:sz w:val="18"/>
                <w:szCs w:val="18"/>
                <w:b w:val="1"/>
                <w:bCs w:val="1"/>
                <w:color w:val="auto"/>
              </w:rPr>
              <w:t>BOEING / UNITED AIRLINES, INC. PROPRIETARY</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 to Purchase Agreement No. 3860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 Aircraft with GENX-1B*** Engines Delivery, Description, Price and Advance Payments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Airframe Model/MTOW:</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787-10</w:t>
            </w:r>
          </w:p>
        </w:tc>
        <w:tc>
          <w:tcPr>
            <w:tcW w:w="10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 pounds</w:t>
            </w: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Detail Specification:</w:t>
            </w:r>
          </w:p>
        </w:tc>
        <w:tc>
          <w:tcPr>
            <w:tcW w:w="5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w w:val="95"/>
              </w:rPr>
              <w:t>Airframe Price Base Year/Escalation</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Engine Model/Thrust:</w:t>
            </w: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rPr>
              <w:t>GENX-1B***</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 pounds</w:t>
            </w:r>
          </w:p>
        </w:tc>
        <w:tc>
          <w:tcPr>
            <w:tcW w:w="298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Formula:</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3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w w:val="99"/>
              </w:rPr>
              <w:t>Engine Price Base Year/Escalation</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Airframe Price:</w:t>
            </w:r>
          </w:p>
        </w:tc>
        <w:tc>
          <w:tcPr>
            <w:tcW w:w="1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298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Formula:</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20" w:type="dxa"/>
            <w:vAlign w:val="bottom"/>
          </w:tcPr>
          <w:p>
            <w:pPr>
              <w:spacing w:after="0"/>
              <w:rPr>
                <w:sz w:val="20"/>
                <w:szCs w:val="20"/>
                <w:color w:val="auto"/>
              </w:rPr>
            </w:pPr>
            <w:r>
              <w:rPr>
                <w:rFonts w:ascii="Arial" w:cs="Arial" w:eastAsia="Arial" w:hAnsi="Arial"/>
                <w:sz w:val="18"/>
                <w:szCs w:val="18"/>
                <w:b w:val="1"/>
                <w:bCs w:val="1"/>
                <w:color w:val="auto"/>
              </w:rPr>
              <w:t>Optional Features:</w:t>
            </w:r>
          </w:p>
        </w:tc>
        <w:tc>
          <w:tcPr>
            <w:tcW w:w="1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Airframe Escalation Data:</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Sub-Total of Airframe and Features:</w:t>
            </w: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Base Year Index (ECI):</w:t>
            </w: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29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0"/>
                <w:szCs w:val="20"/>
                <w:color w:val="auto"/>
              </w:rPr>
            </w:pPr>
            <w:r>
              <w:rPr>
                <w:rFonts w:ascii="Arial" w:cs="Arial" w:eastAsia="Arial" w:hAnsi="Arial"/>
                <w:sz w:val="18"/>
                <w:szCs w:val="18"/>
                <w:b w:val="1"/>
                <w:bCs w:val="1"/>
                <w:color w:val="auto"/>
              </w:rPr>
              <w:t>Engine Price (Per Aircraft) :</w:t>
            </w:r>
          </w:p>
        </w:tc>
        <w:tc>
          <w:tcPr>
            <w:tcW w:w="1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Base Year Index (CPI):</w:t>
            </w:r>
          </w:p>
        </w:tc>
        <w:tc>
          <w:tcPr>
            <w:tcW w:w="58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b w:val="1"/>
                <w:bCs w:val="1"/>
                <w:color w:val="auto"/>
                <w:w w:val="92"/>
              </w:rPr>
              <w:t>Aircraft Basic Price (Excluding BFE/SPE):</w:t>
            </w:r>
          </w:p>
        </w:tc>
        <w:tc>
          <w:tcPr>
            <w:tcW w:w="13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Engine Escalation Data:</w:t>
            </w:r>
          </w:p>
        </w:tc>
        <w:tc>
          <w:tcPr>
            <w:tcW w:w="112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Buyer Furnished Equipment (BFE) Estimate: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Base Year Index (ECI):</w:t>
            </w: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40" w:type="dxa"/>
            <w:vAlign w:val="bottom"/>
            <w:gridSpan w:val="2"/>
            <w:vMerge w:val="continue"/>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29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b w:val="1"/>
                <w:bCs w:val="1"/>
                <w:color w:val="auto"/>
              </w:rPr>
              <w:t>In-Flight Entertainment (IFE) Estimate:</w:t>
            </w:r>
          </w:p>
        </w:tc>
        <w:tc>
          <w:tcPr>
            <w:tcW w:w="1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Base Year Index (CPI):</w:t>
            </w:r>
          </w:p>
        </w:tc>
        <w:tc>
          <w:tcPr>
            <w:tcW w:w="580" w:type="dxa"/>
            <w:vAlign w:val="bottom"/>
          </w:tcPr>
          <w:p>
            <w:pPr>
              <w:spacing w:after="0"/>
              <w:rPr>
                <w:sz w:val="24"/>
                <w:szCs w:val="24"/>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Refundable Deposit/Aircraft at Proposal Accept: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Serial</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4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w w:val="95"/>
              </w:rPr>
              <w:t>Advance Payment Per Aircraft (Amts. Due/Mos. Prior to Delivery):</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Delivery</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1"/>
              </w:rPr>
              <w:t>Escalation</w:t>
            </w:r>
          </w:p>
        </w:tc>
        <w:tc>
          <w:tcPr>
            <w:tcW w:w="68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1"/>
              </w:rPr>
              <w:t>Escalation</w:t>
            </w:r>
          </w:p>
        </w:tc>
        <w:tc>
          <w:tcPr>
            <w:tcW w:w="30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4"/>
              </w:rPr>
              <w:t>Number</w:t>
            </w:r>
          </w:p>
        </w:tc>
        <w:tc>
          <w:tcPr>
            <w:tcW w:w="142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2"/>
              </w:rPr>
              <w:t>Escalation Estimate</w:t>
            </w:r>
          </w:p>
        </w:tc>
        <w:tc>
          <w:tcPr>
            <w:tcW w:w="17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jc w:val="center"/>
              <w:ind w:right="31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Factor</w:t>
            </w: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Factor</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(Subject to</w:t>
            </w:r>
          </w:p>
        </w:tc>
        <w:tc>
          <w:tcPr>
            <w:tcW w:w="14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Adv Payment Base</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vMerge w:val="restart"/>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Aircraft</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(Airframe)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(Engine)</w:t>
            </w: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Change)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Price Per A/P</w:t>
            </w:r>
          </w:p>
        </w:tc>
        <w:tc>
          <w:tcPr>
            <w:tcW w:w="1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312"/>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8"/>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4"/>
          </w:tcPr>
          <w:p>
            <w:pPr>
              <w:ind w:left="980"/>
              <w:spacing w:after="0"/>
              <w:rPr>
                <w:sz w:val="20"/>
                <w:szCs w:val="20"/>
                <w:color w:val="auto"/>
              </w:rPr>
            </w:pPr>
            <w:r>
              <w:rPr>
                <w:rFonts w:ascii="Arial" w:cs="Arial" w:eastAsia="Arial" w:hAnsi="Arial"/>
                <w:sz w:val="18"/>
                <w:szCs w:val="18"/>
                <w:b w:val="1"/>
                <w:bCs w:val="1"/>
                <w:color w:val="auto"/>
              </w:rPr>
              <w:t>Boeing Proprietary</w:t>
            </w:r>
          </w:p>
        </w:tc>
        <w:tc>
          <w:tcPr>
            <w:tcW w:w="4060" w:type="dxa"/>
            <w:vAlign w:val="bottom"/>
            <w:gridSpan w:val="6"/>
          </w:tcPr>
          <w:p>
            <w:pPr>
              <w:ind w:left="580"/>
              <w:spacing w:after="0"/>
              <w:rPr>
                <w:sz w:val="20"/>
                <w:szCs w:val="20"/>
                <w:color w:val="auto"/>
              </w:rPr>
            </w:pPr>
            <w:r>
              <w:rPr>
                <w:rFonts w:ascii="Arial" w:cs="Arial" w:eastAsia="Arial" w:hAnsi="Arial"/>
                <w:sz w:val="18"/>
                <w:szCs w:val="18"/>
                <w:color w:val="auto"/>
                <w:w w:val="90"/>
              </w:rPr>
              <w:t>787-10 with GE Engines Table 1 (SA-6), Page 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 to Purchase Agreement No. 3860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 Aircraft with GENX-1B*** Engines Delivery, Description, Price and Advance Payments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(787-10/GE/***)</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Serial</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6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19"/>
        </w:trPr>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Delivery</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Escalation</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Escalation</w:t>
            </w:r>
          </w:p>
        </w:tc>
        <w:tc>
          <w:tcPr>
            <w:tcW w:w="500" w:type="dxa"/>
            <w:vAlign w:val="bottom"/>
          </w:tcPr>
          <w:p>
            <w:pPr>
              <w:spacing w:after="0"/>
              <w:rPr>
                <w:sz w:val="10"/>
                <w:szCs w:val="10"/>
                <w:color w:val="auto"/>
              </w:rPr>
            </w:pPr>
          </w:p>
        </w:tc>
        <w:tc>
          <w:tcPr>
            <w:tcW w:w="8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w:t>
            </w:r>
          </w:p>
        </w:tc>
        <w:tc>
          <w:tcPr>
            <w:tcW w:w="13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Escalation Estimate</w:t>
            </w:r>
          </w:p>
        </w:tc>
        <w:tc>
          <w:tcPr>
            <w:tcW w:w="132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7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Factor</w:t>
            </w: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Factor</w:t>
            </w:r>
          </w:p>
        </w:tc>
        <w:tc>
          <w:tcPr>
            <w:tcW w:w="500" w:type="dxa"/>
            <w:vAlign w:val="bottom"/>
          </w:tcPr>
          <w:p>
            <w:pPr>
              <w:spacing w:after="0"/>
              <w:rPr>
                <w:sz w:val="12"/>
                <w:szCs w:val="12"/>
                <w:color w:val="auto"/>
              </w:rPr>
            </w:pPr>
          </w:p>
        </w:tc>
        <w:tc>
          <w:tcPr>
            <w:tcW w:w="8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(Subject to</w:t>
            </w:r>
          </w:p>
        </w:tc>
        <w:tc>
          <w:tcPr>
            <w:tcW w:w="13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Adv Payment Base</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5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Aircraft</w:t>
            </w: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rPr>
              <w:t>(Airframe)</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(Engine)</w:t>
            </w:r>
          </w:p>
        </w:tc>
        <w:tc>
          <w:tcPr>
            <w:tcW w:w="500" w:type="dxa"/>
            <w:vAlign w:val="bottom"/>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Change)</w:t>
            </w:r>
          </w:p>
        </w:tc>
        <w:tc>
          <w:tcPr>
            <w:tcW w:w="13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Price Per A/P</w:t>
            </w:r>
          </w:p>
        </w:tc>
        <w:tc>
          <w:tcPr>
            <w:tcW w:w="13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6"/>
                <w:szCs w:val="16"/>
                <w:color w:val="auto"/>
              </w:rPr>
            </w:pP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500" w:type="dxa"/>
            <w:vAlign w:val="bottom"/>
            <w:vMerge w:val="continue"/>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6"/>
                <w:szCs w:val="16"/>
                <w:color w:val="auto"/>
              </w:rPr>
            </w:pPr>
          </w:p>
        </w:tc>
        <w:tc>
          <w:tcPr>
            <w:tcW w:w="13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Total:</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5"/>
          <w:szCs w:val="15"/>
          <w:color w:val="auto"/>
        </w:rPr>
      </w:pPr>
      <w:r>
        <w:rPr>
          <w:rFonts w:ascii="Arial" w:cs="Arial" w:eastAsia="Arial" w:hAnsi="Arial"/>
          <w:sz w:val="18"/>
          <w:szCs w:val="18"/>
          <w:color w:val="auto"/>
        </w:rPr>
        <w:t>Engine model, thrust and pricing are subject to *** to deliver GEnx-1B*** thrust rating at GEnx-1B*** price.</w:t>
      </w:r>
    </w:p>
    <w:p>
      <w:pPr>
        <w:spacing w:after="0" w:line="13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Escalation Factors***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Escalation Factors***</w:t>
      </w:r>
    </w:p>
    <w:p>
      <w:pPr>
        <w:spacing w:after="0" w:line="139" w:lineRule="exact"/>
        <w:rPr>
          <w:sz w:val="20"/>
          <w:szCs w:val="20"/>
          <w:color w:val="auto"/>
        </w:rPr>
      </w:pPr>
    </w:p>
    <w:p>
      <w:pPr>
        <w:jc w:val="right"/>
        <w:spacing w:after="0"/>
        <w:tabs>
          <w:tab w:leader="none" w:pos="3460" w:val="left"/>
        </w:tabs>
        <w:rPr>
          <w:sz w:val="20"/>
          <w:szCs w:val="20"/>
          <w:color w:val="auto"/>
        </w:rPr>
      </w:pPr>
      <w:r>
        <w:rPr>
          <w:rFonts w:ascii="Arial" w:cs="Arial" w:eastAsia="Arial" w:hAnsi="Arial"/>
          <w:sz w:val="18"/>
          <w:szCs w:val="18"/>
          <w:b w:val="1"/>
          <w:bCs w:val="1"/>
          <w:color w:val="auto"/>
        </w:rPr>
        <w:t>Boeing Proprietary</w:t>
      </w:r>
      <w:r>
        <w:rPr>
          <w:sz w:val="20"/>
          <w:szCs w:val="20"/>
          <w:color w:val="auto"/>
        </w:rPr>
        <w:tab/>
      </w:r>
      <w:r>
        <w:rPr>
          <w:rFonts w:ascii="Arial" w:cs="Arial" w:eastAsia="Arial" w:hAnsi="Arial"/>
          <w:sz w:val="16"/>
          <w:szCs w:val="16"/>
          <w:color w:val="auto"/>
        </w:rPr>
        <w:t>787-10 with GE Engines Table 1 (SA-6), Page 2</w:t>
      </w:r>
    </w:p>
    <w:p>
      <w:pPr>
        <w:sectPr>
          <w:pgSz w:w="11900" w:h="16838" w:orient="portrait"/>
          <w:cols w:equalWidth="0" w:num="1">
            <w:col w:w="11420"/>
          </w:cols>
          <w:pgMar w:left="240" w:top="270"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 to Purchase Agreement No. 3860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787-9 Aircraft Delivery, Description, Price and Advance Payments for *** Firm 787-9 Aircraft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(787-9/GE/***)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7"/>
          </w:tcPr>
          <w:p>
            <w:pPr>
              <w:spacing w:after="0"/>
              <w:rPr>
                <w:sz w:val="20"/>
                <w:szCs w:val="20"/>
                <w:color w:val="auto"/>
              </w:rPr>
            </w:pPr>
            <w:r>
              <w:rPr>
                <w:rFonts w:ascii="Arial" w:cs="Arial" w:eastAsia="Arial" w:hAnsi="Arial"/>
                <w:sz w:val="18"/>
                <w:szCs w:val="18"/>
                <w:b w:val="1"/>
                <w:bCs w:val="1"/>
                <w:color w:val="auto"/>
              </w:rPr>
              <w:t>Airframe Model/MTOW:</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787-9</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4"/>
          </w:tcPr>
          <w:p>
            <w:pPr>
              <w:jc w:val="center"/>
              <w:ind w:right="780"/>
              <w:spacing w:after="0"/>
              <w:rPr>
                <w:sz w:val="20"/>
                <w:szCs w:val="20"/>
                <w:color w:val="auto"/>
              </w:rPr>
            </w:pPr>
            <w:r>
              <w:rPr>
                <w:rFonts w:ascii="Arial" w:cs="Arial" w:eastAsia="Arial" w:hAnsi="Arial"/>
                <w:sz w:val="18"/>
                <w:szCs w:val="18"/>
                <w:color w:val="auto"/>
                <w:w w:val="98"/>
              </w:rPr>
              <w:t>*** pounds</w:t>
            </w:r>
            <w:r>
              <w:rPr>
                <w:rFonts w:ascii="Arial" w:cs="Arial" w:eastAsia="Arial" w:hAnsi="Arial"/>
                <w:sz w:val="15"/>
                <w:szCs w:val="15"/>
                <w:color w:val="auto"/>
                <w:w w:val="98"/>
              </w:rPr>
              <w:t>1</w:t>
            </w:r>
          </w:p>
        </w:tc>
        <w:tc>
          <w:tcPr>
            <w:tcW w:w="2640" w:type="dxa"/>
            <w:vAlign w:val="bottom"/>
            <w:gridSpan w:val="8"/>
          </w:tcPr>
          <w:p>
            <w:pPr>
              <w:ind w:left="560"/>
              <w:spacing w:after="0"/>
              <w:rPr>
                <w:sz w:val="20"/>
                <w:szCs w:val="20"/>
                <w:color w:val="auto"/>
              </w:rPr>
            </w:pPr>
            <w:r>
              <w:rPr>
                <w:rFonts w:ascii="Arial" w:cs="Arial" w:eastAsia="Arial" w:hAnsi="Arial"/>
                <w:sz w:val="18"/>
                <w:szCs w:val="18"/>
                <w:b w:val="1"/>
                <w:bCs w:val="1"/>
                <w:color w:val="auto"/>
              </w:rPr>
              <w:t>Detail Specification:</w:t>
            </w:r>
          </w:p>
        </w:tc>
        <w:tc>
          <w:tcPr>
            <w:tcW w:w="9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9"/>
          </w:tcPr>
          <w:p>
            <w:pPr>
              <w:ind w:left="560"/>
              <w:spacing w:after="0"/>
              <w:rPr>
                <w:sz w:val="20"/>
                <w:szCs w:val="20"/>
                <w:color w:val="auto"/>
              </w:rPr>
            </w:pPr>
            <w:r>
              <w:rPr>
                <w:rFonts w:ascii="Arial" w:cs="Arial" w:eastAsia="Arial" w:hAnsi="Arial"/>
                <w:sz w:val="18"/>
                <w:szCs w:val="18"/>
                <w:b w:val="1"/>
                <w:bCs w:val="1"/>
                <w:color w:val="auto"/>
                <w:w w:val="97"/>
              </w:rPr>
              <w:t>Airframe Price Base Year/Escalation</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80" w:type="dxa"/>
            <w:vAlign w:val="bottom"/>
            <w:gridSpan w:val="7"/>
          </w:tcPr>
          <w:p>
            <w:pPr>
              <w:spacing w:after="0"/>
              <w:rPr>
                <w:sz w:val="20"/>
                <w:szCs w:val="20"/>
                <w:color w:val="auto"/>
              </w:rPr>
            </w:pPr>
            <w:r>
              <w:rPr>
                <w:rFonts w:ascii="Arial" w:cs="Arial" w:eastAsia="Arial" w:hAnsi="Arial"/>
                <w:sz w:val="18"/>
                <w:szCs w:val="18"/>
                <w:b w:val="1"/>
                <w:bCs w:val="1"/>
                <w:color w:val="auto"/>
              </w:rPr>
              <w:t>Engine Model/Thrust: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6"/>
          </w:tcPr>
          <w:p>
            <w:pPr>
              <w:jc w:val="center"/>
              <w:ind w:right="60"/>
              <w:spacing w:after="0"/>
              <w:rPr>
                <w:sz w:val="20"/>
                <w:szCs w:val="20"/>
                <w:color w:val="auto"/>
              </w:rPr>
            </w:pPr>
            <w:r>
              <w:rPr>
                <w:rFonts w:ascii="Arial" w:cs="Arial" w:eastAsia="Arial" w:hAnsi="Arial"/>
                <w:sz w:val="18"/>
                <w:szCs w:val="18"/>
                <w:color w:val="auto"/>
              </w:rPr>
              <w:t>GENX-1B***</w:t>
            </w:r>
            <w:r>
              <w:rPr>
                <w:rFonts w:ascii="Arial" w:cs="Arial" w:eastAsia="Arial" w:hAnsi="Arial"/>
                <w:sz w:val="15"/>
                <w:szCs w:val="15"/>
                <w:color w:val="auto"/>
              </w:rPr>
              <w:t>2</w:t>
            </w:r>
          </w:p>
        </w:tc>
        <w:tc>
          <w:tcPr>
            <w:tcW w:w="1700" w:type="dxa"/>
            <w:vAlign w:val="bottom"/>
            <w:gridSpan w:val="4"/>
          </w:tcPr>
          <w:p>
            <w:pPr>
              <w:jc w:val="center"/>
              <w:ind w:right="780"/>
              <w:spacing w:after="0"/>
              <w:rPr>
                <w:sz w:val="20"/>
                <w:szCs w:val="20"/>
                <w:color w:val="auto"/>
              </w:rPr>
            </w:pPr>
            <w:r>
              <w:rPr>
                <w:rFonts w:ascii="Arial" w:cs="Arial" w:eastAsia="Arial" w:hAnsi="Arial"/>
                <w:sz w:val="18"/>
                <w:szCs w:val="18"/>
                <w:color w:val="auto"/>
                <w:w w:val="98"/>
              </w:rPr>
              <w:t>*** pounds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b w:val="1"/>
                <w:bCs w:val="1"/>
                <w:color w:val="auto"/>
              </w:rPr>
              <w:t>Formula:</w:t>
            </w:r>
          </w:p>
        </w:tc>
        <w:tc>
          <w:tcPr>
            <w:tcW w:w="96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9"/>
          </w:tcPr>
          <w:p>
            <w:pPr>
              <w:ind w:left="560"/>
              <w:spacing w:after="0"/>
              <w:rPr>
                <w:sz w:val="20"/>
                <w:szCs w:val="20"/>
                <w:color w:val="auto"/>
              </w:rPr>
            </w:pPr>
            <w:r>
              <w:rPr>
                <w:rFonts w:ascii="Arial" w:cs="Arial" w:eastAsia="Arial" w:hAnsi="Arial"/>
                <w:sz w:val="18"/>
                <w:szCs w:val="18"/>
                <w:b w:val="1"/>
                <w:bCs w:val="1"/>
                <w:color w:val="auto"/>
              </w:rPr>
              <w:t>Engine Price Base Year/Escalation</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Airframe Price: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6"/>
          </w:tcPr>
          <w:p>
            <w:pPr>
              <w:ind w:left="40"/>
              <w:spacing w:after="0"/>
              <w:rPr>
                <w:sz w:val="20"/>
                <w:szCs w:val="20"/>
                <w:color w:val="auto"/>
              </w:rPr>
            </w:pPr>
            <w:r>
              <w:rPr>
                <w:rFonts w:ascii="Arial" w:cs="Arial" w:eastAsia="Arial" w:hAnsi="Arial"/>
                <w:sz w:val="18"/>
                <w:szCs w:val="18"/>
                <w:b w:val="1"/>
                <w:bCs w:val="1"/>
                <w:color w:val="auto"/>
              </w:rPr>
              <w:t>Formula:</w:t>
            </w:r>
          </w:p>
        </w:tc>
        <w:tc>
          <w:tcPr>
            <w:tcW w:w="96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Optional Features: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gridSpan w:val="7"/>
          </w:tcPr>
          <w:p>
            <w:pPr>
              <w:spacing w:after="0"/>
              <w:rPr>
                <w:sz w:val="20"/>
                <w:szCs w:val="20"/>
                <w:color w:val="auto"/>
              </w:rPr>
            </w:pPr>
            <w:r>
              <w:rPr>
                <w:rFonts w:ascii="Arial" w:cs="Arial" w:eastAsia="Arial" w:hAnsi="Arial"/>
                <w:sz w:val="18"/>
                <w:szCs w:val="18"/>
                <w:b w:val="1"/>
                <w:bCs w:val="1"/>
                <w:color w:val="auto"/>
                <w:w w:val="94"/>
              </w:rPr>
              <w:t>Airframe Escalation Data:</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3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Sub-Total of Airframe and Features:</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40" w:type="dxa"/>
            <w:vAlign w:val="bottom"/>
            <w:tcBorders>
              <w:top w:val="single" w:sz="8" w:color="auto"/>
              <w:bottom w:val="single" w:sz="8" w:color="auto"/>
            </w:tcBorders>
            <w:gridSpan w:val="6"/>
            <w:vMerge w:val="restart"/>
          </w:tcPr>
          <w:p>
            <w:pPr>
              <w:spacing w:after="0"/>
              <w:rPr>
                <w:sz w:val="20"/>
                <w:szCs w:val="20"/>
                <w:color w:val="auto"/>
              </w:rPr>
            </w:pPr>
            <w:r>
              <w:rPr>
                <w:rFonts w:ascii="Arial" w:cs="Arial" w:eastAsia="Arial" w:hAnsi="Arial"/>
                <w:sz w:val="18"/>
                <w:szCs w:val="18"/>
                <w:b w:val="1"/>
                <w:bCs w:val="1"/>
                <w:color w:val="auto"/>
              </w:rPr>
              <w:t>Base Year Index (ECI):</w:t>
            </w:r>
          </w:p>
        </w:tc>
        <w:tc>
          <w:tcPr>
            <w:tcW w:w="4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320" w:type="dxa"/>
            <w:vAlign w:val="bottom"/>
            <w:gridSpan w:val="9"/>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040" w:type="dxa"/>
            <w:vAlign w:val="bottom"/>
            <w:gridSpan w:val="6"/>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80" w:type="dxa"/>
            <w:vAlign w:val="bottom"/>
            <w:gridSpan w:val="7"/>
          </w:tcPr>
          <w:p>
            <w:pPr>
              <w:spacing w:after="0"/>
              <w:rPr>
                <w:sz w:val="20"/>
                <w:szCs w:val="20"/>
                <w:color w:val="auto"/>
              </w:rPr>
            </w:pPr>
            <w:r>
              <w:rPr>
                <w:rFonts w:ascii="Arial" w:cs="Arial" w:eastAsia="Arial" w:hAnsi="Arial"/>
                <w:sz w:val="18"/>
                <w:szCs w:val="18"/>
                <w:b w:val="1"/>
                <w:bCs w:val="1"/>
                <w:color w:val="auto"/>
              </w:rPr>
              <w:t>Engine Price (Per Aircraft):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8"/>
          </w:tcPr>
          <w:p>
            <w:pPr>
              <w:ind w:left="560"/>
              <w:spacing w:after="0"/>
              <w:rPr>
                <w:sz w:val="20"/>
                <w:szCs w:val="20"/>
                <w:color w:val="auto"/>
              </w:rPr>
            </w:pPr>
            <w:r>
              <w:rPr>
                <w:rFonts w:ascii="Arial" w:cs="Arial" w:eastAsia="Arial" w:hAnsi="Arial"/>
                <w:sz w:val="18"/>
                <w:szCs w:val="18"/>
                <w:b w:val="1"/>
                <w:bCs w:val="1"/>
                <w:color w:val="auto"/>
              </w:rPr>
              <w:t>Base Year Index (CPI):</w:t>
            </w:r>
          </w:p>
        </w:tc>
        <w:tc>
          <w:tcPr>
            <w:tcW w:w="9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20" w:type="dxa"/>
            <w:vAlign w:val="bottom"/>
            <w:gridSpan w:val="9"/>
          </w:tcPr>
          <w:p>
            <w:pPr>
              <w:spacing w:after="0"/>
              <w:rPr>
                <w:sz w:val="20"/>
                <w:szCs w:val="20"/>
                <w:color w:val="auto"/>
              </w:rPr>
            </w:pPr>
            <w:r>
              <w:rPr>
                <w:rFonts w:ascii="Arial" w:cs="Arial" w:eastAsia="Arial" w:hAnsi="Arial"/>
                <w:sz w:val="18"/>
                <w:szCs w:val="18"/>
                <w:b w:val="1"/>
                <w:bCs w:val="1"/>
                <w:color w:val="auto"/>
                <w:w w:val="92"/>
              </w:rPr>
              <w:t>Aircraft Basic Price (Excluding BFE/SPE):</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gridSpan w:val="7"/>
          </w:tcPr>
          <w:p>
            <w:pPr>
              <w:spacing w:after="0"/>
              <w:rPr>
                <w:sz w:val="20"/>
                <w:szCs w:val="20"/>
                <w:color w:val="auto"/>
              </w:rPr>
            </w:pPr>
            <w:r>
              <w:rPr>
                <w:rFonts w:ascii="Arial" w:cs="Arial" w:eastAsia="Arial" w:hAnsi="Arial"/>
                <w:sz w:val="18"/>
                <w:szCs w:val="18"/>
                <w:b w:val="1"/>
                <w:bCs w:val="1"/>
                <w:color w:val="auto"/>
              </w:rPr>
              <w:t>Engine Escalation Data:</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2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Buyer Furnished Equipment (BFE) Estimate:</w:t>
            </w: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60" w:type="dxa"/>
            <w:vAlign w:val="bottom"/>
            <w:tcBorders>
              <w:top w:val="single" w:sz="8" w:color="auto"/>
              <w:bottom w:val="single" w:sz="8" w:color="auto"/>
            </w:tcBorders>
            <w:gridSpan w:val="5"/>
            <w:vMerge w:val="restart"/>
          </w:tcPr>
          <w:p>
            <w:pPr>
              <w:spacing w:after="0"/>
              <w:rPr>
                <w:sz w:val="20"/>
                <w:szCs w:val="20"/>
                <w:color w:val="auto"/>
              </w:rPr>
            </w:pPr>
            <w:r>
              <w:rPr>
                <w:rFonts w:ascii="Arial" w:cs="Arial" w:eastAsia="Arial" w:hAnsi="Arial"/>
                <w:sz w:val="18"/>
                <w:szCs w:val="18"/>
                <w:b w:val="1"/>
                <w:bCs w:val="1"/>
                <w:color w:val="auto"/>
                <w:w w:val="95"/>
              </w:rPr>
              <w:t>Base Year Index (ECI):</w:t>
            </w:r>
          </w:p>
        </w:tc>
        <w:tc>
          <w:tcPr>
            <w:tcW w:w="220" w:type="dxa"/>
            <w:vAlign w:val="bottom"/>
            <w:gridSpan w:val="2"/>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20" w:type="dxa"/>
            <w:vAlign w:val="bottom"/>
            <w:gridSpan w:val="11"/>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60" w:type="dxa"/>
            <w:vAlign w:val="bottom"/>
            <w:tcBorders>
              <w:bottom w:val="single" w:sz="8" w:color="auto"/>
            </w:tcBorders>
            <w:gridSpan w:val="5"/>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11"/>
            <w:vMerge w:val="continue"/>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860" w:type="dxa"/>
            <w:vAlign w:val="bottom"/>
            <w:gridSpan w:val="5"/>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20" w:type="dxa"/>
            <w:vAlign w:val="bottom"/>
            <w:gridSpan w:val="9"/>
          </w:tcPr>
          <w:p>
            <w:pPr>
              <w:spacing w:after="0"/>
              <w:rPr>
                <w:sz w:val="20"/>
                <w:szCs w:val="20"/>
                <w:color w:val="auto"/>
              </w:rPr>
            </w:pPr>
            <w:r>
              <w:rPr>
                <w:rFonts w:ascii="Arial" w:cs="Arial" w:eastAsia="Arial" w:hAnsi="Arial"/>
                <w:sz w:val="18"/>
                <w:szCs w:val="18"/>
                <w:b w:val="1"/>
                <w:bCs w:val="1"/>
                <w:color w:val="auto"/>
              </w:rPr>
              <w:t>In-Flight Entertainment (IFE) Estimate:</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8"/>
          </w:tcPr>
          <w:p>
            <w:pPr>
              <w:ind w:left="560"/>
              <w:spacing w:after="0"/>
              <w:rPr>
                <w:sz w:val="20"/>
                <w:szCs w:val="20"/>
                <w:color w:val="auto"/>
              </w:rPr>
            </w:pPr>
            <w:r>
              <w:rPr>
                <w:rFonts w:ascii="Arial" w:cs="Arial" w:eastAsia="Arial" w:hAnsi="Arial"/>
                <w:sz w:val="18"/>
                <w:szCs w:val="18"/>
                <w:b w:val="1"/>
                <w:bCs w:val="1"/>
                <w:color w:val="auto"/>
              </w:rPr>
              <w:t>Base Year Index (CPI):</w:t>
            </w:r>
          </w:p>
        </w:tc>
        <w:tc>
          <w:tcPr>
            <w:tcW w:w="9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Scheduled</w:t>
            </w:r>
          </w:p>
        </w:tc>
        <w:tc>
          <w:tcPr>
            <w:tcW w:w="7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Escalation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Escalation Estimate</w:t>
            </w:r>
          </w:p>
        </w:tc>
        <w:tc>
          <w:tcPr>
            <w:tcW w:w="4660" w:type="dxa"/>
            <w:vAlign w:val="bottom"/>
            <w:tcBorders>
              <w:bottom w:val="single" w:sz="8" w:color="auto"/>
            </w:tcBorders>
            <w:gridSpan w:val="11"/>
          </w:tcPr>
          <w:p>
            <w:pPr>
              <w:jc w:val="right"/>
              <w:ind w:right="12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gridSpan w:val="3"/>
            <w:vMerge w:val="continue"/>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4"/>
              </w:rPr>
              <w:t>Serial</w:t>
            </w:r>
          </w:p>
        </w:tc>
        <w:tc>
          <w:tcPr>
            <w:tcW w:w="2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700" w:type="dxa"/>
            <w:vAlign w:val="bottom"/>
            <w:gridSpan w:val="2"/>
          </w:tcPr>
          <w:p>
            <w:pPr>
              <w:jc w:val="center"/>
              <w:ind w:left="154"/>
              <w:spacing w:after="0" w:line="115" w:lineRule="exact"/>
              <w:rPr>
                <w:sz w:val="20"/>
                <w:szCs w:val="20"/>
                <w:color w:val="auto"/>
              </w:rPr>
            </w:pPr>
            <w:r>
              <w:rPr>
                <w:rFonts w:ascii="Arial" w:cs="Arial" w:eastAsia="Arial" w:hAnsi="Arial"/>
                <w:sz w:val="13"/>
                <w:szCs w:val="13"/>
                <w:color w:val="auto"/>
              </w:rPr>
              <w:t>***</w:t>
            </w:r>
          </w:p>
        </w:tc>
        <w:tc>
          <w:tcPr>
            <w:tcW w:w="1560" w:type="dxa"/>
            <w:vAlign w:val="bottom"/>
            <w:gridSpan w:val="3"/>
          </w:tcPr>
          <w:p>
            <w:pPr>
              <w:jc w:val="center"/>
              <w:ind w:left="534"/>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center"/>
              <w:ind w:left="572"/>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Delivery</w:t>
            </w:r>
          </w:p>
        </w:tc>
        <w:tc>
          <w:tcPr>
            <w:tcW w:w="20" w:type="dxa"/>
            <w:vAlign w:val="bottom"/>
          </w:tcPr>
          <w:p>
            <w:pPr>
              <w:spacing w:after="0"/>
              <w:rPr>
                <w:sz w:val="12"/>
                <w:szCs w:val="12"/>
                <w:color w:val="auto"/>
              </w:rPr>
            </w:pP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Factor</w:t>
            </w:r>
          </w:p>
        </w:tc>
        <w:tc>
          <w:tcPr>
            <w:tcW w:w="5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Adv Payment Base</w:t>
            </w:r>
          </w:p>
        </w:tc>
        <w:tc>
          <w:tcPr>
            <w:tcW w:w="700" w:type="dxa"/>
            <w:vAlign w:val="bottom"/>
            <w:gridSpan w:val="2"/>
            <w:vMerge w:val="restart"/>
          </w:tcPr>
          <w:p>
            <w:pPr>
              <w:jc w:val="center"/>
              <w:ind w:left="154"/>
              <w:spacing w:after="0"/>
              <w:rPr>
                <w:sz w:val="20"/>
                <w:szCs w:val="20"/>
                <w:color w:val="auto"/>
              </w:rPr>
            </w:pPr>
            <w:r>
              <w:rPr>
                <w:rFonts w:ascii="Arial" w:cs="Arial" w:eastAsia="Arial" w:hAnsi="Arial"/>
                <w:sz w:val="18"/>
                <w:szCs w:val="18"/>
                <w:color w:val="auto"/>
              </w:rPr>
              <w:t>***</w:t>
            </w:r>
          </w:p>
        </w:tc>
        <w:tc>
          <w:tcPr>
            <w:tcW w:w="1560" w:type="dxa"/>
            <w:vAlign w:val="bottom"/>
            <w:gridSpan w:val="3"/>
            <w:vMerge w:val="restart"/>
          </w:tcPr>
          <w:p>
            <w:pPr>
              <w:jc w:val="center"/>
              <w:ind w:left="5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center"/>
              <w:ind w:left="5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6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Date</w:t>
            </w:r>
          </w:p>
        </w:tc>
        <w:tc>
          <w:tcPr>
            <w:tcW w:w="620" w:type="dxa"/>
            <w:vAlign w:val="bottom"/>
          </w:tcPr>
          <w:p>
            <w:pPr>
              <w:spacing w:after="0"/>
              <w:rPr>
                <w:sz w:val="11"/>
                <w:szCs w:val="11"/>
                <w:color w:val="auto"/>
              </w:rPr>
            </w:pPr>
          </w:p>
        </w:tc>
        <w:tc>
          <w:tcPr>
            <w:tcW w:w="76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rPr>
              <w:t>Aircraft</w:t>
            </w:r>
          </w:p>
        </w:tc>
        <w:tc>
          <w:tcPr>
            <w:tcW w:w="9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(Airframe)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(Engine)</w:t>
            </w:r>
          </w:p>
        </w:tc>
        <w:tc>
          <w:tcPr>
            <w:tcW w:w="56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1"/>
                <w:szCs w:val="11"/>
                <w:color w:val="auto"/>
              </w:rPr>
            </w:pPr>
          </w:p>
        </w:tc>
        <w:tc>
          <w:tcPr>
            <w:tcW w:w="14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700" w:type="dxa"/>
            <w:vAlign w:val="bottom"/>
            <w:gridSpan w:val="2"/>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6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2380" w:type="dxa"/>
            <w:vAlign w:val="bottom"/>
            <w:gridSpan w:val="7"/>
          </w:tcPr>
          <w:p>
            <w:pPr>
              <w:spacing w:after="0"/>
              <w:rPr>
                <w:sz w:val="20"/>
                <w:szCs w:val="20"/>
                <w:color w:val="auto"/>
              </w:rPr>
            </w:pPr>
            <w:r>
              <w:rPr>
                <w:rFonts w:ascii="Arial" w:cs="Arial" w:eastAsia="Arial" w:hAnsi="Arial"/>
                <w:sz w:val="18"/>
                <w:szCs w:val="18"/>
                <w:b w:val="1"/>
                <w:bCs w:val="1"/>
                <w:color w:val="auto"/>
              </w:rPr>
              <w:t xml:space="preserve">Block C Aircraft </w:t>
            </w:r>
            <w:r>
              <w:rPr>
                <w:rFonts w:ascii="Arial" w:cs="Arial" w:eastAsia="Arial" w:hAnsi="Arial"/>
                <w:sz w:val="15"/>
                <w:szCs w:val="15"/>
                <w:b w:val="1"/>
                <w:bCs w:val="1"/>
                <w:color w:val="auto"/>
              </w:rPr>
              <w:t>1,2,3</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gridSpan w:val="2"/>
          </w:tcPr>
          <w:p>
            <w:pPr>
              <w:jc w:val="center"/>
              <w:ind w:lef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left="5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5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line="194" w:lineRule="exact"/>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jc w:val="center"/>
              <w:ind w:left="19"/>
              <w:spacing w:after="0" w:line="19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center"/>
              <w:spacing w:after="0" w:line="194"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460" w:type="dxa"/>
            <w:vAlign w:val="bottom"/>
          </w:tcPr>
          <w:p>
            <w:pPr>
              <w:jc w:val="center"/>
              <w:spacing w:after="0" w:line="194"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ind w:left="640"/>
              <w:spacing w:after="0" w:line="194"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700" w:type="dxa"/>
            <w:vAlign w:val="bottom"/>
            <w:gridSpan w:val="2"/>
          </w:tcPr>
          <w:p>
            <w:pPr>
              <w:jc w:val="center"/>
              <w:ind w:left="134"/>
              <w:spacing w:after="0" w:line="194" w:lineRule="exact"/>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left="554"/>
              <w:spacing w:after="0" w:line="194"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572"/>
              <w:spacing w:after="0" w:line="194"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Total Block C</w:t>
            </w:r>
          </w:p>
        </w:tc>
        <w:tc>
          <w:tcPr>
            <w:tcW w:w="380" w:type="dxa"/>
            <w:vAlign w:val="bottom"/>
            <w:gridSpan w:val="2"/>
          </w:tcPr>
          <w:p>
            <w:pPr>
              <w:jc w:val="center"/>
              <w:ind w:lef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5"/>
          <w:szCs w:val="15"/>
          <w:b w:val="1"/>
          <w:bCs w:val="1"/>
          <w:color w:val="auto"/>
        </w:rPr>
      </w:pPr>
      <w:r>
        <w:rPr>
          <w:rFonts w:ascii="Arial" w:cs="Arial" w:eastAsia="Arial" w:hAnsi="Arial"/>
          <w:sz w:val="18"/>
          <w:szCs w:val="18"/>
          <w:color w:val="auto"/>
        </w:rPr>
        <w:t>MTOW provided in accordance with MTOW Article 3.2 of Letter Agreement 6-1162-RCN-1936.</w:t>
      </w:r>
    </w:p>
    <w:p>
      <w:pPr>
        <w:spacing w:after="0" w:line="2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5"/>
          <w:szCs w:val="15"/>
          <w:b w:val="1"/>
          <w:bCs w:val="1"/>
          <w:color w:val="auto"/>
        </w:rPr>
      </w:pPr>
      <w:r>
        <w:rPr>
          <w:rFonts w:ascii="Arial" w:cs="Arial" w:eastAsia="Arial" w:hAnsi="Arial"/>
          <w:sz w:val="18"/>
          <w:szCs w:val="18"/>
          <w:color w:val="auto"/>
        </w:rPr>
        <w:t>Conditional on a GE agreement to deliver Genx-1B*** thrust rating at the Genx-1B*** price.</w:t>
      </w:r>
    </w:p>
    <w:p>
      <w:pPr>
        <w:spacing w:after="0" w:line="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4"/>
          <w:szCs w:val="14"/>
          <w:b w:val="1"/>
          <w:bCs w:val="1"/>
          <w:color w:val="auto"/>
        </w:rPr>
      </w:pPr>
      <w:r>
        <w:rPr>
          <w:rFonts w:ascii="Arial" w:cs="Arial" w:eastAsia="Arial" w:hAnsi="Arial"/>
          <w:sz w:val="17"/>
          <w:szCs w:val="17"/>
          <w:color w:val="auto"/>
        </w:rPr>
        <w:t>The Block C Aircraft shall be considered Block B Aircraft as defined pursuant to *** for purposes of Letter Agreement 6-1162-RCN entitled “</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5"/>
          <w:szCs w:val="15"/>
          <w:b w:val="1"/>
          <w:bCs w:val="1"/>
          <w:color w:val="auto"/>
        </w:rPr>
      </w:pPr>
      <w:r>
        <w:rPr>
          <w:rFonts w:ascii="Arial" w:cs="Arial" w:eastAsia="Arial" w:hAnsi="Arial"/>
          <w:sz w:val="18"/>
          <w:szCs w:val="18"/>
          <w:color w:val="auto"/>
        </w:rPr>
        <w:t>The *** 787-9 Aircraft specified above are “Block C Aircraft” as such term is defined in ***, as amended and supplemented ***.</w:t>
      </w:r>
    </w:p>
    <w:p>
      <w:pPr>
        <w:spacing w:after="0" w:line="141" w:lineRule="exact"/>
        <w:rPr>
          <w:sz w:val="20"/>
          <w:szCs w:val="20"/>
          <w:color w:val="auto"/>
        </w:rPr>
      </w:pPr>
    </w:p>
    <w:p>
      <w:pPr>
        <w:spacing w:after="0"/>
        <w:tabs>
          <w:tab w:leader="none" w:pos="4240" w:val="left"/>
          <w:tab w:leader="none" w:pos="9360" w:val="left"/>
        </w:tabs>
        <w:rPr>
          <w:sz w:val="20"/>
          <w:szCs w:val="20"/>
          <w:color w:val="auto"/>
        </w:rPr>
      </w:pPr>
      <w:r>
        <w:rPr>
          <w:rFonts w:ascii="Arial" w:cs="Arial" w:eastAsia="Arial" w:hAnsi="Arial"/>
          <w:sz w:val="18"/>
          <w:szCs w:val="18"/>
          <w:color w:val="auto"/>
        </w:rPr>
        <w:t>APR 71359</w:t>
      </w:r>
      <w:r>
        <w:rPr>
          <w:sz w:val="20"/>
          <w:szCs w:val="20"/>
          <w:color w:val="auto"/>
        </w:rPr>
        <w:tab/>
      </w:r>
      <w:r>
        <w:rPr>
          <w:rFonts w:ascii="Arial" w:cs="Arial" w:eastAsia="Arial" w:hAnsi="Arial"/>
          <w:sz w:val="18"/>
          <w:szCs w:val="18"/>
          <w:b w:val="1"/>
          <w:bCs w:val="1"/>
          <w:color w:val="auto"/>
        </w:rPr>
        <w:t>Boeing / United Airlines, Inc. Proprietary</w:t>
      </w:r>
      <w:r>
        <w:rPr>
          <w:sz w:val="20"/>
          <w:szCs w:val="20"/>
          <w:color w:val="auto"/>
        </w:rPr>
        <w:tab/>
      </w:r>
      <w:r>
        <w:rPr>
          <w:rFonts w:ascii="Arial" w:cs="Arial" w:eastAsia="Arial" w:hAnsi="Arial"/>
          <w:sz w:val="16"/>
          <w:szCs w:val="16"/>
          <w:color w:val="auto"/>
        </w:rPr>
        <w:t>787-9 Table 1, Page 1, SA-6</w:t>
      </w:r>
    </w:p>
    <w:p>
      <w:pPr>
        <w:sectPr>
          <w:pgSz w:w="11900" w:h="16838" w:orient="portrait"/>
          <w:cols w:equalWidth="0" w:num="1">
            <w:col w:w="11420"/>
          </w:cols>
          <w:pgMar w:left="240" w:top="270"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B-1 to Letter Agreement UAL-PA-03860-LA-120965R1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 Option Aircraft with GENX-1B***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Engines Delivery, Description, Price and Advance Payments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(787-10/GE/***)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Airframe Model/MTOW:</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787-10</w:t>
            </w: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 pounds</w:t>
            </w: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rPr>
              <w:t>Detail Specification:</w:t>
            </w: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w w:val="94"/>
              </w:rPr>
              <w:t>Airframe Price Base Year/Escalation</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Engine Model/Thrust:</w:t>
            </w: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rPr>
              <w:t>GENX-1B***</w:t>
            </w:r>
            <w:r>
              <w:rPr>
                <w:rFonts w:ascii="Arial" w:cs="Arial" w:eastAsia="Arial" w:hAnsi="Arial"/>
                <w:sz w:val="18"/>
                <w:szCs w:val="18"/>
                <w:b w:val="1"/>
                <w:bCs w:val="1"/>
                <w:color w:val="auto"/>
              </w:rPr>
              <w:t>¹</w:t>
            </w: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 pounds</w:t>
            </w:r>
          </w:p>
        </w:tc>
        <w:tc>
          <w:tcPr>
            <w:tcW w:w="68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Formula:</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w w:val="98"/>
              </w:rPr>
              <w:t>Engine Price Base Year/Escalation</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Airframe Price:</w:t>
            </w:r>
          </w:p>
        </w:tc>
        <w:tc>
          <w:tcPr>
            <w:tcW w:w="1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Formula:</w:t>
            </w:r>
            <w:r>
              <w:rPr>
                <w:rFonts w:ascii="Arial" w:cs="Arial" w:eastAsia="Arial" w:hAnsi="Arial"/>
                <w:sz w:val="15"/>
                <w:szCs w:val="15"/>
                <w:b w:val="1"/>
                <w:bCs w:val="1"/>
                <w:color w:val="auto"/>
              </w:rPr>
              <w:t>2</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320" w:type="dxa"/>
            <w:vAlign w:val="bottom"/>
          </w:tcPr>
          <w:p>
            <w:pPr>
              <w:spacing w:after="0"/>
              <w:rPr>
                <w:sz w:val="20"/>
                <w:szCs w:val="20"/>
                <w:color w:val="auto"/>
              </w:rPr>
            </w:pPr>
            <w:r>
              <w:rPr>
                <w:rFonts w:ascii="Arial" w:cs="Arial" w:eastAsia="Arial" w:hAnsi="Arial"/>
                <w:sz w:val="18"/>
                <w:szCs w:val="18"/>
                <w:b w:val="1"/>
                <w:bCs w:val="1"/>
                <w:color w:val="auto"/>
              </w:rPr>
              <w:t>Optional Features:</w:t>
            </w:r>
          </w:p>
        </w:tc>
        <w:tc>
          <w:tcPr>
            <w:tcW w:w="1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rPr>
              <w:t>Airframe Escalation Data:</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Sub-Total of Airframe and Features:</w:t>
            </w: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4"/>
            <w:vMerge w:val="restart"/>
          </w:tcPr>
          <w:p>
            <w:pPr>
              <w:ind w:left="680"/>
              <w:spacing w:after="0"/>
              <w:rPr>
                <w:sz w:val="20"/>
                <w:szCs w:val="20"/>
                <w:color w:val="auto"/>
              </w:rPr>
            </w:pPr>
            <w:r>
              <w:rPr>
                <w:rFonts w:ascii="Arial" w:cs="Arial" w:eastAsia="Arial" w:hAnsi="Arial"/>
                <w:sz w:val="18"/>
                <w:szCs w:val="18"/>
                <w:b w:val="1"/>
                <w:bCs w:val="1"/>
                <w:color w:val="auto"/>
              </w:rPr>
              <w:t>Base Year Index (ECI):</w:t>
            </w: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3620" w:type="dxa"/>
            <w:vAlign w:val="bottom"/>
            <w:gridSpan w:val="4"/>
            <w:vMerge w:val="continue"/>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0"/>
                <w:szCs w:val="20"/>
                <w:color w:val="auto"/>
              </w:rPr>
            </w:pPr>
            <w:r>
              <w:rPr>
                <w:rFonts w:ascii="Arial" w:cs="Arial" w:eastAsia="Arial" w:hAnsi="Arial"/>
                <w:sz w:val="18"/>
                <w:szCs w:val="18"/>
                <w:b w:val="1"/>
                <w:bCs w:val="1"/>
                <w:color w:val="auto"/>
              </w:rPr>
              <w:t>Engine Price (Per Aircraft):</w:t>
            </w:r>
          </w:p>
        </w:tc>
        <w:tc>
          <w:tcPr>
            <w:tcW w:w="1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rPr>
              <w:t>Base Year Index (CPI):</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b w:val="1"/>
                <w:bCs w:val="1"/>
                <w:color w:val="auto"/>
                <w:w w:val="92"/>
              </w:rPr>
              <w:t>Aircraft Basic Price (Excluding BFE/SPE):</w:t>
            </w:r>
          </w:p>
        </w:tc>
        <w:tc>
          <w:tcPr>
            <w:tcW w:w="1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rPr>
              <w:t>Engine Escalation Data:</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Buyer Furnished Equipment (BFE) Estimate: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4"/>
            <w:vMerge w:val="restart"/>
          </w:tcPr>
          <w:p>
            <w:pPr>
              <w:ind w:left="680"/>
              <w:spacing w:after="0"/>
              <w:rPr>
                <w:sz w:val="20"/>
                <w:szCs w:val="20"/>
                <w:color w:val="auto"/>
              </w:rPr>
            </w:pPr>
            <w:r>
              <w:rPr>
                <w:rFonts w:ascii="Arial" w:cs="Arial" w:eastAsia="Arial" w:hAnsi="Arial"/>
                <w:sz w:val="18"/>
                <w:szCs w:val="18"/>
                <w:b w:val="1"/>
                <w:bCs w:val="1"/>
                <w:color w:val="auto"/>
              </w:rPr>
              <w:t>Base Year Index (ECI):</w:t>
            </w: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4"/>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2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3620" w:type="dxa"/>
            <w:vAlign w:val="bottom"/>
            <w:gridSpan w:val="4"/>
            <w:vMerge w:val="continue"/>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0"/>
                <w:szCs w:val="20"/>
                <w:color w:val="auto"/>
              </w:rPr>
            </w:pPr>
            <w:r>
              <w:rPr>
                <w:rFonts w:ascii="Arial" w:cs="Arial" w:eastAsia="Arial" w:hAnsi="Arial"/>
                <w:sz w:val="18"/>
                <w:szCs w:val="18"/>
                <w:b w:val="1"/>
                <w:bCs w:val="1"/>
                <w:color w:val="auto"/>
              </w:rPr>
              <w:t>In-Flight Entertainment (IFE) Estimate:</w:t>
            </w:r>
          </w:p>
        </w:tc>
        <w:tc>
          <w:tcPr>
            <w:tcW w:w="1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3620" w:type="dxa"/>
            <w:vAlign w:val="bottom"/>
            <w:gridSpan w:val="4"/>
          </w:tcPr>
          <w:p>
            <w:pPr>
              <w:ind w:left="680"/>
              <w:spacing w:after="0"/>
              <w:rPr>
                <w:sz w:val="20"/>
                <w:szCs w:val="20"/>
                <w:color w:val="auto"/>
              </w:rPr>
            </w:pPr>
            <w:r>
              <w:rPr>
                <w:rFonts w:ascii="Arial" w:cs="Arial" w:eastAsia="Arial" w:hAnsi="Arial"/>
                <w:sz w:val="18"/>
                <w:szCs w:val="18"/>
                <w:b w:val="1"/>
                <w:bCs w:val="1"/>
                <w:color w:val="auto"/>
              </w:rPr>
              <w:t>Base Year Index (CPI):</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Non-Refundable Deposit/Aircraft at Def Agreement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60" w:type="dxa"/>
            <w:vAlign w:val="bottom"/>
            <w:gridSpan w:val="7"/>
            <w:vMerge w:val="restart"/>
          </w:tcPr>
          <w:p>
            <w:pPr>
              <w:ind w:left="72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Escalation</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Escalation Estimate</w:t>
            </w:r>
          </w:p>
        </w:tc>
        <w:tc>
          <w:tcPr>
            <w:tcW w:w="55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Delivery</w:t>
            </w:r>
          </w:p>
        </w:tc>
        <w:tc>
          <w:tcPr>
            <w:tcW w:w="30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8"/>
              </w:rPr>
              <w:t>Expiry</w:t>
            </w:r>
          </w:p>
        </w:tc>
        <w:tc>
          <w:tcPr>
            <w:tcW w:w="2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5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Factor</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2"/>
                <w:szCs w:val="12"/>
                <w:color w:val="auto"/>
              </w:rPr>
            </w:pPr>
          </w:p>
        </w:tc>
        <w:tc>
          <w:tcPr>
            <w:tcW w:w="14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Adv Payment Base</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Aircraft</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(Airframe)</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(Engine)</w:t>
            </w:r>
          </w:p>
        </w:tc>
        <w:tc>
          <w:tcPr>
            <w:tcW w:w="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Price Per A/P</w:t>
            </w:r>
          </w:p>
        </w:tc>
        <w:tc>
          <w:tcPr>
            <w:tcW w:w="1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Arial" w:cs="Arial" w:eastAsia="Arial" w:hAnsi="Arial"/>
                <w:sz w:val="18"/>
                <w:szCs w:val="18"/>
                <w:color w:val="auto"/>
              </w:rPr>
              <w:t>*** ++</w:t>
            </w:r>
          </w:p>
        </w:tc>
        <w:tc>
          <w:tcPr>
            <w:tcW w:w="300" w:type="dxa"/>
            <w:vAlign w:val="bottom"/>
          </w:tcPr>
          <w:p>
            <w:pPr>
              <w:spacing w:after="0"/>
              <w:rPr>
                <w:sz w:val="16"/>
                <w:szCs w:val="16"/>
                <w:color w:val="auto"/>
              </w:rPr>
            </w:pPr>
          </w:p>
        </w:tc>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6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6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 *</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760" w:type="dxa"/>
            <w:vAlign w:val="bottom"/>
            <w:gridSpan w:val="5"/>
          </w:tcPr>
          <w:p>
            <w:pPr>
              <w:spacing w:after="0"/>
              <w:rPr>
                <w:sz w:val="20"/>
                <w:szCs w:val="20"/>
                <w:color w:val="auto"/>
              </w:rPr>
            </w:pPr>
            <w:r>
              <w:rPr>
                <w:rFonts w:ascii="Arial" w:cs="Arial" w:eastAsia="Arial" w:hAnsi="Arial"/>
                <w:sz w:val="18"/>
                <w:szCs w:val="18"/>
                <w:color w:val="auto"/>
              </w:rPr>
              <w:t>APR64695-1F.TXT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4"/>
          </w:tcPr>
          <w:p>
            <w:pPr>
              <w:ind w:left="720"/>
              <w:spacing w:after="0"/>
              <w:rPr>
                <w:sz w:val="20"/>
                <w:szCs w:val="20"/>
                <w:color w:val="auto"/>
              </w:rPr>
            </w:pPr>
            <w:r>
              <w:rPr>
                <w:rFonts w:ascii="Arial" w:cs="Arial" w:eastAsia="Arial" w:hAnsi="Arial"/>
                <w:sz w:val="18"/>
                <w:szCs w:val="18"/>
                <w:b w:val="1"/>
                <w:bCs w:val="1"/>
                <w:color w:val="auto"/>
              </w:rPr>
              <w:t>Boeing Proprietary</w:t>
            </w:r>
          </w:p>
        </w:tc>
        <w:tc>
          <w:tcPr>
            <w:tcW w:w="3800" w:type="dxa"/>
            <w:vAlign w:val="bottom"/>
            <w:gridSpan w:val="5"/>
          </w:tcPr>
          <w:p>
            <w:pPr>
              <w:ind w:left="320"/>
              <w:spacing w:after="0"/>
              <w:rPr>
                <w:sz w:val="20"/>
                <w:szCs w:val="20"/>
                <w:color w:val="auto"/>
              </w:rPr>
            </w:pPr>
            <w:r>
              <w:rPr>
                <w:rFonts w:ascii="Arial" w:cs="Arial" w:eastAsia="Arial" w:hAnsi="Arial"/>
                <w:sz w:val="18"/>
                <w:szCs w:val="18"/>
                <w:color w:val="auto"/>
                <w:w w:val="90"/>
              </w:rPr>
              <w:t>787-10 with GE Engines Table 1 (SA-6), Page 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B-1 to Letter Agreement UAL-PA-03860-LA-120965R1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 Option Aircraft with GENX-1B***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Engines Delivery, Description, Price and Advance Payments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(787-10/GE/***)</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60" w:type="dxa"/>
            <w:vAlign w:val="bottom"/>
            <w:gridSpan w:val="7"/>
            <w:vMerge w:val="restart"/>
          </w:tcPr>
          <w:p>
            <w:pPr>
              <w:ind w:left="72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Escalation</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4"/>
                <w:szCs w:val="14"/>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Escalation Estimate</w:t>
            </w:r>
          </w:p>
        </w:tc>
        <w:tc>
          <w:tcPr>
            <w:tcW w:w="55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3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8"/>
              </w:rPr>
              <w:t>Expiry</w:t>
            </w:r>
          </w:p>
        </w:tc>
        <w:tc>
          <w:tcPr>
            <w:tcW w:w="2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5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Factor</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2"/>
                <w:szCs w:val="12"/>
                <w:color w:val="auto"/>
              </w:rPr>
            </w:pPr>
          </w:p>
        </w:tc>
        <w:tc>
          <w:tcPr>
            <w:tcW w:w="14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Adv Payment Base</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2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(Airframe)</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(Engine)</w:t>
            </w:r>
          </w:p>
        </w:tc>
        <w:tc>
          <w:tcPr>
            <w:tcW w:w="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Price Per A/P</w:t>
            </w:r>
          </w:p>
        </w:tc>
        <w:tc>
          <w:tcPr>
            <w:tcW w:w="1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6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6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5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2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5"/>
          <w:szCs w:val="15"/>
          <w:b w:val="1"/>
          <w:bCs w:val="1"/>
          <w:color w:val="auto"/>
        </w:rPr>
      </w:pPr>
      <w:r>
        <w:rPr>
          <w:rFonts w:ascii="Arial" w:cs="Arial" w:eastAsia="Arial" w:hAnsi="Arial"/>
          <w:sz w:val="18"/>
          <w:szCs w:val="18"/>
          <w:color w:val="auto"/>
        </w:rPr>
        <w:t>Engine model, thrust and pricing are subject to *** to deliver GEnx-1B*** thrust rating at GEnx-1B*** price.</w:t>
      </w:r>
    </w:p>
    <w:p>
      <w:pPr>
        <w:spacing w:after="0" w:line="2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5"/>
          <w:szCs w:val="15"/>
          <w:b w:val="1"/>
          <w:bCs w:val="1"/>
          <w:color w:val="auto"/>
        </w:rPr>
      </w:pPr>
      <w:r>
        <w:rPr>
          <w:rFonts w:ascii="Arial" w:cs="Arial" w:eastAsia="Arial" w:hAnsi="Arial"/>
          <w:sz w:val="18"/>
          <w:szCs w:val="18"/>
          <w:color w:val="auto"/>
        </w:rPr>
        <w:t>Base year pricing is subject to engine manufacturer confirmation.</w:t>
      </w:r>
    </w:p>
    <w:p>
      <w:pPr>
        <w:spacing w:after="0" w:line="1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option exercise expiry date for the *** 787-10 Option Aircraft (as specified above) supersedes §4.1 of Letter Agreement UAL-PA-03860-LA-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1209265R1 entitled “Option Aircraft”</w:t>
      </w:r>
    </w:p>
    <w:p>
      <w:pPr>
        <w:spacing w:after="0" w:line="9" w:lineRule="exact"/>
        <w:rPr>
          <w:sz w:val="20"/>
          <w:szCs w:val="20"/>
          <w:color w:val="auto"/>
        </w:rPr>
      </w:pPr>
    </w:p>
    <w:p>
      <w:pPr>
        <w:ind w:left="460" w:right="260" w:hanging="452"/>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delivery schedule for the *** 787-10 Option Aircraft is a nominal delivery month and is subject to revision by plus or minus one month. Boeing will advise Customer of the scheduled delivery month at the time of Customer’s exercise of its rights.</w:t>
      </w:r>
    </w:p>
    <w:p>
      <w:pPr>
        <w:spacing w:after="0" w:line="112" w:lineRule="exact"/>
        <w:rPr>
          <w:sz w:val="20"/>
          <w:szCs w:val="20"/>
          <w:color w:val="auto"/>
        </w:rPr>
      </w:pPr>
    </w:p>
    <w:p>
      <w:pPr>
        <w:spacing w:after="0"/>
        <w:tabs>
          <w:tab w:leader="none" w:pos="5080" w:val="left"/>
          <w:tab w:leader="none" w:pos="7920" w:val="left"/>
        </w:tabs>
        <w:rPr>
          <w:sz w:val="20"/>
          <w:szCs w:val="20"/>
          <w:color w:val="auto"/>
        </w:rPr>
      </w:pPr>
      <w:r>
        <w:rPr>
          <w:rFonts w:ascii="Arial" w:cs="Arial" w:eastAsia="Arial" w:hAnsi="Arial"/>
          <w:sz w:val="18"/>
          <w:szCs w:val="18"/>
          <w:color w:val="auto"/>
        </w:rPr>
        <w:t>APR 64695-1F.TXT</w:t>
      </w:r>
      <w:r>
        <w:rPr>
          <w:sz w:val="20"/>
          <w:szCs w:val="20"/>
          <w:color w:val="auto"/>
        </w:rPr>
        <w:tab/>
      </w:r>
      <w:r>
        <w:rPr>
          <w:rFonts w:ascii="Arial" w:cs="Arial" w:eastAsia="Arial" w:hAnsi="Arial"/>
          <w:sz w:val="18"/>
          <w:szCs w:val="18"/>
          <w:b w:val="1"/>
          <w:bCs w:val="1"/>
          <w:color w:val="auto"/>
        </w:rPr>
        <w:t>Boeing Proprietary</w:t>
      </w:r>
      <w:r>
        <w:rPr>
          <w:sz w:val="20"/>
          <w:szCs w:val="20"/>
          <w:color w:val="auto"/>
        </w:rPr>
        <w:tab/>
      </w:r>
      <w:r>
        <w:rPr>
          <w:rFonts w:ascii="Arial" w:cs="Arial" w:eastAsia="Arial" w:hAnsi="Arial"/>
          <w:sz w:val="16"/>
          <w:szCs w:val="16"/>
          <w:color w:val="auto"/>
        </w:rPr>
        <w:t>787-10 with GE Engines Table 1 (SA-6), Page 2</w:t>
      </w:r>
    </w:p>
    <w:p>
      <w:pPr>
        <w:sectPr>
          <w:pgSz w:w="11900" w:h="16838" w:orient="portrait"/>
          <w:cols w:equalWidth="0" w:num="1">
            <w:col w:w="11420"/>
          </w:cols>
          <w:pgMar w:left="240" w:top="270" w:right="239" w:bottom="1440" w:gutter="0" w:footer="0" w:header="0"/>
        </w:sectPr>
      </w:pPr>
    </w:p>
    <w:bookmarkStart w:id="158" w:name="page159"/>
    <w:bookmarkEnd w:id="158"/>
    <w:p>
      <w:pPr>
        <w:ind w:left="8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420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685" cy="420370"/>
                    </a:xfrm>
                    <a:prstGeom prst="rect">
                      <a:avLst/>
                    </a:prstGeom>
                    <a:noFill/>
                  </pic:spPr>
                </pic:pic>
              </a:graphicData>
            </a:graphic>
          </wp:anchor>
        </w:drawing>
      </w:r>
    </w:p>
    <w:p>
      <w:pPr>
        <w:spacing w:after="0" w:line="3"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UAL-PA-03860-LA-1209413A1R2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United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233 South Wacker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ectPr>
          <w:pgSz w:w="11900" w:h="16838" w:orient="portrait"/>
          <w:cols w:equalWidth="0" w:num="1">
            <w:col w:w="11420"/>
          </w:cols>
          <w:pgMar w:left="240" w:top="423"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Special Matters — Amendment 1</w:t>
      </w:r>
    </w:p>
    <w:p>
      <w:pPr>
        <w:spacing w:after="0" w:line="200" w:lineRule="exact"/>
        <w:rPr>
          <w:sz w:val="20"/>
          <w:szCs w:val="20"/>
          <w:color w:val="auto"/>
        </w:rPr>
      </w:pPr>
    </w:p>
    <w:p>
      <w:pPr>
        <w:sectPr>
          <w:pgSz w:w="11900" w:h="16838" w:orient="portrait"/>
          <w:cols w:equalWidth="0" w:num="2">
            <w:col w:w="600" w:space="660"/>
            <w:col w:w="10160"/>
          </w:cols>
          <w:pgMar w:left="240" w:top="42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Purchase Agreement No. 3860 (</w:t>
      </w:r>
      <w:r>
        <w:rPr>
          <w:rFonts w:ascii="Arial" w:cs="Arial" w:eastAsia="Arial" w:hAnsi="Arial"/>
          <w:sz w:val="18"/>
          <w:szCs w:val="18"/>
          <w:b w:val="1"/>
          <w:bCs w:val="1"/>
          <w:color w:val="auto"/>
        </w:rPr>
        <w:t>Purchase Agreement</w:t>
      </w:r>
      <w:r>
        <w:rPr>
          <w:rFonts w:ascii="Arial" w:cs="Arial" w:eastAsia="Arial" w:hAnsi="Arial"/>
          <w:sz w:val="18"/>
          <w:szCs w:val="18"/>
          <w:color w:val="auto"/>
        </w:rPr>
        <w:t>) between The Boeing Company (</w:t>
      </w:r>
      <w:r>
        <w:rPr>
          <w:rFonts w:ascii="Arial" w:cs="Arial" w:eastAsia="Arial" w:hAnsi="Arial"/>
          <w:sz w:val="18"/>
          <w:szCs w:val="18"/>
          <w:b w:val="1"/>
          <w:bCs w:val="1"/>
          <w:color w:val="auto"/>
        </w:rPr>
        <w:t>Boeing</w:t>
      </w:r>
      <w:r>
        <w:rPr>
          <w:rFonts w:ascii="Arial" w:cs="Arial" w:eastAsia="Arial" w:hAnsi="Arial"/>
          <w:sz w:val="18"/>
          <w:szCs w:val="18"/>
          <w:color w:val="auto"/>
        </w:rPr>
        <w:t>) and United Airlines, Inc. relating to Model 787 aircraft (</w:t>
      </w:r>
      <w:r>
        <w:rPr>
          <w:rFonts w:ascii="Arial" w:cs="Arial" w:eastAsia="Arial" w:hAnsi="Arial"/>
          <w:sz w:val="18"/>
          <w:szCs w:val="18"/>
          <w:b w:val="1"/>
          <w:bCs w:val="1"/>
          <w:color w:val="auto"/>
        </w:rPr>
        <w:t>Aircraft</w:t>
      </w:r>
      <w:r>
        <w:rPr>
          <w:rFonts w:ascii="Arial" w:cs="Arial" w:eastAsia="Arial" w:hAnsi="Arial"/>
          <w:sz w:val="18"/>
          <w:szCs w:val="18"/>
          <w:color w:val="auto"/>
        </w:rPr>
        <w:t>)</w:t>
      </w:r>
    </w:p>
    <w:p>
      <w:pPr>
        <w:spacing w:after="0" w:line="162" w:lineRule="exact"/>
        <w:rPr>
          <w:sz w:val="20"/>
          <w:szCs w:val="20"/>
          <w:color w:val="auto"/>
        </w:rPr>
      </w:pPr>
    </w:p>
    <w:p>
      <w:pPr>
        <w:sectPr>
          <w:pgSz w:w="11900" w:h="16838" w:orient="portrait"/>
          <w:cols w:equalWidth="0" w:num="2">
            <w:col w:w="780" w:space="480"/>
            <w:col w:w="10160"/>
          </w:cols>
          <w:pgMar w:left="240" w:top="423" w:right="239" w:bottom="1440" w:gutter="0" w:footer="0" w:header="0"/>
          <w:type w:val="continuous"/>
        </w:sectPr>
      </w:pPr>
    </w:p>
    <w:p>
      <w:pPr>
        <w:jc w:val="both"/>
        <w:ind w:firstLine="913"/>
        <w:spacing w:after="0" w:line="261" w:lineRule="auto"/>
        <w:rPr>
          <w:sz w:val="20"/>
          <w:szCs w:val="20"/>
          <w:color w:val="auto"/>
        </w:rPr>
      </w:pPr>
      <w:r>
        <w:rPr>
          <w:rFonts w:ascii="Arial" w:cs="Arial" w:eastAsia="Arial" w:hAnsi="Arial"/>
          <w:sz w:val="18"/>
          <w:szCs w:val="18"/>
          <w:color w:val="auto"/>
        </w:rPr>
        <w:t>This letter agreement UAL-PA-03860-LA-1209413A1R2 (</w:t>
      </w:r>
      <w:r>
        <w:rPr>
          <w:rFonts w:ascii="Arial" w:cs="Arial" w:eastAsia="Arial" w:hAnsi="Arial"/>
          <w:sz w:val="18"/>
          <w:szCs w:val="18"/>
          <w:b w:val="1"/>
          <w:bCs w:val="1"/>
          <w:color w:val="auto"/>
        </w:rPr>
        <w:t>Amending Letter Agreement</w:t>
      </w:r>
      <w:r>
        <w:rPr>
          <w:rFonts w:ascii="Arial" w:cs="Arial" w:eastAsia="Arial" w:hAnsi="Arial"/>
          <w:sz w:val="18"/>
          <w:szCs w:val="18"/>
          <w:color w:val="auto"/>
        </w:rPr>
        <w:t xml:space="preserve">) amends and supplements the Purchase Agreement and amends and supplements certain terms in Letter Agreement UAL-PA-03860-LA-1209413 (the </w:t>
      </w:r>
      <w:r>
        <w:rPr>
          <w:rFonts w:ascii="Arial" w:cs="Arial" w:eastAsia="Arial" w:hAnsi="Arial"/>
          <w:sz w:val="18"/>
          <w:szCs w:val="18"/>
          <w:b w:val="1"/>
          <w:bCs w:val="1"/>
          <w:color w:val="auto"/>
        </w:rPr>
        <w:t>Letter Agreement) ),</w:t>
      </w:r>
      <w:r>
        <w:rPr>
          <w:rFonts w:ascii="Arial" w:cs="Arial" w:eastAsia="Arial" w:hAnsi="Arial"/>
          <w:sz w:val="18"/>
          <w:szCs w:val="18"/>
          <w:color w:val="auto"/>
        </w:rPr>
        <w:t xml:space="preserve"> and supersedes and replaces in its entirety letter agreement UAL -PA -03860 -LA-1209413A1R1. All terms used and not defined in this Letter Agreement have the same meaning as in the Purchase Agreement.</w:t>
      </w:r>
    </w:p>
    <w:p>
      <w:pPr>
        <w:spacing w:after="0" w:line="333" w:lineRule="exact"/>
        <w:rPr>
          <w:sz w:val="20"/>
          <w:szCs w:val="20"/>
          <w:color w:val="auto"/>
        </w:rPr>
      </w:pPr>
    </w:p>
    <w:p>
      <w:pPr>
        <w:ind w:left="460" w:right="7320" w:hanging="452"/>
        <w:spacing w:after="0" w:line="422" w:lineRule="auto"/>
        <w:tabs>
          <w:tab w:leader="none" w:pos="44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 xml:space="preserve">Amendments to Article 1 of the Letter Agreement. </w:t>
      </w:r>
      <w:r>
        <w:rPr>
          <w:rFonts w:ascii="Arial" w:cs="Arial" w:eastAsia="Arial" w:hAnsi="Arial"/>
          <w:sz w:val="16"/>
          <w:szCs w:val="16"/>
          <w:color w:val="auto"/>
        </w:rPr>
        <w:t>New Article 1.4 is hereby added as follows:</w:t>
      </w:r>
    </w:p>
    <w:p>
      <w:pPr>
        <w:spacing w:after="0" w:line="1" w:lineRule="exact"/>
        <w:rPr>
          <w:rFonts w:ascii="Arial" w:cs="Arial" w:eastAsia="Arial" w:hAnsi="Arial"/>
          <w:sz w:val="16"/>
          <w:szCs w:val="16"/>
          <w:color w:val="auto"/>
        </w:rPr>
      </w:pPr>
    </w:p>
    <w:p>
      <w:pPr>
        <w:ind w:left="1880"/>
        <w:spacing w:after="0"/>
        <w:rPr>
          <w:rFonts w:ascii="Arial" w:cs="Arial" w:eastAsia="Arial" w:hAnsi="Arial"/>
          <w:sz w:val="16"/>
          <w:szCs w:val="16"/>
          <w:color w:val="auto"/>
        </w:rPr>
      </w:pPr>
      <w:r>
        <w:rPr>
          <w:rFonts w:ascii="Arial" w:cs="Arial" w:eastAsia="Arial" w:hAnsi="Arial"/>
          <w:sz w:val="18"/>
          <w:szCs w:val="18"/>
          <w:color w:val="auto"/>
        </w:rPr>
        <w:t>1.4. The parties agree that the *** 787-*** Aircraft added by SA-6 with delivery months during</w:t>
      </w:r>
    </w:p>
    <w:p>
      <w:pPr>
        <w:spacing w:after="0" w:line="117" w:lineRule="exact"/>
        <w:rPr>
          <w:rFonts w:ascii="Arial" w:cs="Arial" w:eastAsia="Arial" w:hAnsi="Arial"/>
          <w:sz w:val="16"/>
          <w:szCs w:val="16"/>
          <w:color w:val="auto"/>
        </w:rPr>
      </w:pPr>
    </w:p>
    <w:p>
      <w:pPr>
        <w:ind w:left="2100" w:hanging="211"/>
        <w:spacing w:after="0"/>
        <w:tabs>
          <w:tab w:leader="none" w:pos="21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2160" w:hanging="271"/>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1500" w:firstLine="397"/>
        <w:spacing w:after="0" w:line="277" w:lineRule="auto"/>
        <w:rPr>
          <w:sz w:val="20"/>
          <w:szCs w:val="20"/>
          <w:color w:val="auto"/>
        </w:rPr>
      </w:pPr>
      <w:r>
        <w:rPr>
          <w:rFonts w:ascii="Arial" w:cs="Arial" w:eastAsia="Arial" w:hAnsi="Arial"/>
          <w:sz w:val="18"/>
          <w:szCs w:val="18"/>
          <w:color w:val="auto"/>
        </w:rPr>
        <w:t>shall, if Customer exercises its rights in such 787-*** Aircraft, be deemed to be 787-*** Aircraft for all purposes under the Purchase Agreement and thereby remain entitled to the corresponding 787-*** Aircraft credit memoranda.</w:t>
      </w:r>
    </w:p>
    <w:p>
      <w:pPr>
        <w:sectPr>
          <w:pgSz w:w="11900" w:h="16838" w:orient="portrait"/>
          <w:cols w:equalWidth="0" w:num="1">
            <w:col w:w="11420"/>
          </w:cols>
          <w:pgMar w:left="240" w:top="423"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UAL-PA-03860-LA-1209413A1R2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Special Matters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1</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SA-6</w:t>
      </w:r>
    </w:p>
    <w:p>
      <w:pPr>
        <w:spacing w:after="0" w:line="9" w:lineRule="exact"/>
        <w:rPr>
          <w:sz w:val="20"/>
          <w:szCs w:val="20"/>
          <w:color w:val="auto"/>
        </w:rPr>
      </w:pPr>
    </w:p>
    <w:p>
      <w:pPr>
        <w:sectPr>
          <w:pgSz w:w="11900" w:h="16838" w:orient="portrait"/>
          <w:cols w:equalWidth="0" w:num="2">
            <w:col w:w="10220" w:space="720"/>
            <w:col w:w="480"/>
          </w:cols>
          <w:pgMar w:left="240" w:top="42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 UNITED AIRLINES, INC. PROPRIETARY</w:t>
      </w:r>
    </w:p>
    <w:p>
      <w:pPr>
        <w:sectPr>
          <w:pgSz w:w="11900" w:h="16838" w:orient="portrait"/>
          <w:cols w:equalWidth="0" w:num="1">
            <w:col w:w="11420"/>
          </w:cols>
          <w:pgMar w:left="240" w:top="423" w:right="239" w:bottom="1440" w:gutter="0" w:footer="0" w:header="0"/>
          <w:type w:val="continuous"/>
        </w:sectPr>
      </w:pPr>
    </w:p>
    <w:bookmarkStart w:id="159" w:name="page160"/>
    <w:bookmarkEnd w:id="159"/>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43685" cy="420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20370"/>
                    </a:xfrm>
                    <a:prstGeom prst="rect">
                      <a:avLst/>
                    </a:prstGeom>
                    <a:noFill/>
                  </pic:spPr>
                </pic:pic>
              </a:graphicData>
            </a:graphic>
          </wp:anchor>
        </w:drawing>
        <w:t>Amendments to Article 4 of the Letter Agreement.</w:t>
      </w:r>
    </w:p>
    <w:p>
      <w:pPr>
        <w:spacing w:after="0" w:line="117" w:lineRule="exact"/>
        <w:rPr>
          <w:sz w:val="20"/>
          <w:szCs w:val="20"/>
          <w:color w:val="auto"/>
        </w:rPr>
      </w:pPr>
    </w:p>
    <w:p>
      <w:pPr>
        <w:ind w:left="1880"/>
        <w:spacing w:after="0"/>
        <w:tabs>
          <w:tab w:leader="none" w:pos="2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Special *** Provisions for the Launch Aircraft</w:t>
      </w:r>
      <w:r>
        <w:rPr>
          <w:rFonts w:ascii="Arial" w:cs="Arial" w:eastAsia="Arial" w:hAnsi="Arial"/>
          <w:sz w:val="16"/>
          <w:szCs w:val="16"/>
          <w:color w:val="auto"/>
        </w:rPr>
        <w:t>. With respect to</w:t>
      </w:r>
    </w:p>
    <w:p>
      <w:pPr>
        <w:spacing w:after="0" w:line="117" w:lineRule="exact"/>
        <w:rPr>
          <w:sz w:val="20"/>
          <w:szCs w:val="20"/>
          <w:color w:val="auto"/>
        </w:rPr>
      </w:pPr>
    </w:p>
    <w:p>
      <w:pPr>
        <w:ind w:left="920" w:firstLine="1"/>
        <w:spacing w:after="0" w:line="277" w:lineRule="auto"/>
        <w:tabs>
          <w:tab w:leader="none" w:pos="11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 787-10 Aircraft listed in Table 1 to the Purchase Agreement as of the effective date of Supplemental Agreement No. 6 to the Purchase Agreement and</w:t>
      </w:r>
    </w:p>
    <w:p>
      <w:pPr>
        <w:spacing w:after="0" w:line="58" w:lineRule="exact"/>
        <w:rPr>
          <w:rFonts w:ascii="Arial" w:cs="Arial" w:eastAsia="Arial" w:hAnsi="Arial"/>
          <w:sz w:val="18"/>
          <w:szCs w:val="18"/>
          <w:color w:val="auto"/>
        </w:rPr>
      </w:pPr>
    </w:p>
    <w:p>
      <w:pPr>
        <w:jc w:val="both"/>
        <w:ind w:left="920" w:firstLine="1"/>
        <w:spacing w:after="0" w:line="276" w:lineRule="auto"/>
        <w:tabs>
          <w:tab w:leader="none" w:pos="1186"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 787-*** Aircraft specified in Figure 1 below; (787-10 Aircraft and 787-*** Aircraft specified in (i) and (ii) herein are each a </w:t>
      </w:r>
      <w:r>
        <w:rPr>
          <w:rFonts w:ascii="Arial" w:cs="Arial" w:eastAsia="Arial" w:hAnsi="Arial"/>
          <w:sz w:val="17"/>
          <w:szCs w:val="17"/>
          <w:b w:val="1"/>
          <w:bCs w:val="1"/>
          <w:color w:val="auto"/>
        </w:rPr>
        <w:t>Launch</w:t>
      </w:r>
      <w:r>
        <w:rPr>
          <w:rFonts w:ascii="Arial" w:cs="Arial" w:eastAsia="Arial" w:hAnsi="Arial"/>
          <w:sz w:val="17"/>
          <w:szCs w:val="17"/>
          <w:color w:val="auto"/>
        </w:rPr>
        <w:t xml:space="preserve"> </w:t>
      </w:r>
      <w:r>
        <w:rPr>
          <w:rFonts w:ascii="Arial" w:cs="Arial" w:eastAsia="Arial" w:hAnsi="Arial"/>
          <w:sz w:val="17"/>
          <w:szCs w:val="17"/>
          <w:b w:val="1"/>
          <w:bCs w:val="1"/>
          <w:color w:val="auto"/>
        </w:rPr>
        <w:t>Aircraft</w:t>
      </w:r>
      <w:r>
        <w:rPr>
          <w:rFonts w:ascii="Arial" w:cs="Arial" w:eastAsia="Arial" w:hAnsi="Arial"/>
          <w:sz w:val="17"/>
          <w:szCs w:val="17"/>
          <w:color w:val="auto"/>
        </w:rPr>
        <w:t>), the parties agree that *** of the Article 4.1 *** obligation will be *** delivery of each Launch Aircraft (</w:t>
      </w:r>
      <w:r>
        <w:rPr>
          <w:rFonts w:ascii="Arial" w:cs="Arial" w:eastAsia="Arial" w:hAnsi="Arial"/>
          <w:sz w:val="17"/>
          <w:szCs w:val="17"/>
          <w:b w:val="1"/>
          <w:bCs w:val="1"/>
          <w:color w:val="auto"/>
        </w:rPr>
        <w:t>Launch Aircraft ***</w:t>
      </w:r>
    </w:p>
    <w:p>
      <w:pPr>
        <w:ind w:left="920"/>
        <w:spacing w:after="0"/>
        <w:rPr>
          <w:rFonts w:ascii="Arial" w:cs="Arial" w:eastAsia="Arial" w:hAnsi="Arial"/>
          <w:sz w:val="17"/>
          <w:szCs w:val="17"/>
          <w:color w:val="auto"/>
        </w:rPr>
      </w:pPr>
      <w:r>
        <w:rPr>
          <w:rFonts w:ascii="Arial" w:cs="Arial" w:eastAsia="Arial" w:hAnsi="Arial"/>
          <w:sz w:val="18"/>
          <w:szCs w:val="18"/>
          <w:b w:val="1"/>
          <w:bCs w:val="1"/>
          <w:color w:val="auto"/>
        </w:rPr>
        <w:t>Obligation</w:t>
      </w:r>
      <w:r>
        <w:rPr>
          <w:rFonts w:ascii="Arial" w:cs="Arial" w:eastAsia="Arial" w:hAnsi="Arial"/>
          <w:sz w:val="18"/>
          <w:szCs w:val="18"/>
          <w:color w:val="auto"/>
        </w:rPr>
        <w:t>). At time of delivery of each Launch Aircraft, Boeing will *** to *** the Launch Aircraft *** Obligation.</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208"/>
        </w:trPr>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80" w:type="dxa"/>
            <w:vAlign w:val="bottom"/>
            <w:gridSpan w:val="2"/>
          </w:tcPr>
          <w:p>
            <w:pPr>
              <w:ind w:left="1480"/>
              <w:spacing w:after="0"/>
              <w:rPr>
                <w:sz w:val="20"/>
                <w:szCs w:val="20"/>
                <w:color w:val="auto"/>
              </w:rPr>
            </w:pPr>
            <w:r>
              <w:rPr>
                <w:rFonts w:ascii="Arial" w:cs="Arial" w:eastAsia="Arial" w:hAnsi="Arial"/>
                <w:sz w:val="18"/>
                <w:szCs w:val="18"/>
                <w:b w:val="1"/>
                <w:bCs w:val="1"/>
                <w:i w:val="1"/>
                <w:iCs w:val="1"/>
                <w:color w:val="auto"/>
              </w:rPr>
              <w:t>Figure 1</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Aircraft Delivery</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3"/>
              </w:rPr>
              <w:t>Model</w:t>
            </w:r>
          </w:p>
        </w:tc>
        <w:tc>
          <w:tcPr>
            <w:tcW w:w="1680" w:type="dxa"/>
            <w:vAlign w:val="bottom"/>
            <w:vMerge w:val="restart"/>
          </w:tcPr>
          <w:p>
            <w:pPr>
              <w:spacing w:after="0"/>
              <w:rPr>
                <w:sz w:val="12"/>
                <w:szCs w:val="12"/>
                <w:color w:val="auto"/>
              </w:rPr>
            </w:pPr>
          </w:p>
        </w:tc>
        <w:tc>
          <w:tcPr>
            <w:tcW w:w="5680" w:type="dxa"/>
            <w:vAlign w:val="bottom"/>
            <w:gridSpan w:val="2"/>
          </w:tcPr>
          <w:p>
            <w:pPr>
              <w:jc w:val="center"/>
              <w:ind w:left="3314"/>
              <w:spacing w:after="0" w:line="149" w:lineRule="exact"/>
              <w:rPr>
                <w:sz w:val="20"/>
                <w:szCs w:val="20"/>
                <w:color w:val="auto"/>
              </w:rPr>
            </w:pPr>
            <w:r>
              <w:rPr>
                <w:rFonts w:ascii="Arial" w:cs="Arial" w:eastAsia="Arial" w:hAnsi="Arial"/>
                <w:sz w:val="14"/>
                <w:szCs w:val="14"/>
                <w:b w:val="1"/>
                <w:bCs w:val="1"/>
                <w:color w:val="auto"/>
                <w:w w:val="95"/>
              </w:rPr>
              <w:t>Month/Quarter at the Effective Date</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22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 this Letter Agreement</w:t>
            </w:r>
          </w:p>
        </w:tc>
        <w:tc>
          <w:tcPr>
            <w:tcW w:w="0" w:type="dxa"/>
            <w:vAlign w:val="bottom"/>
          </w:tcPr>
          <w:p>
            <w:pPr>
              <w:spacing w:after="0"/>
              <w:rPr>
                <w:sz w:val="1"/>
                <w:szCs w:val="1"/>
                <w:color w:val="auto"/>
              </w:rPr>
            </w:pPr>
          </w:p>
        </w:tc>
      </w:tr>
      <w:tr>
        <w:trPr>
          <w:trHeight w:val="189"/>
        </w:trPr>
        <w:tc>
          <w:tcPr>
            <w:tcW w:w="2080" w:type="dxa"/>
            <w:vAlign w:val="bottom"/>
            <w:gridSpan w:val="2"/>
          </w:tcPr>
          <w:p>
            <w:pPr>
              <w:spacing w:after="0" w:line="189" w:lineRule="exact"/>
              <w:rPr>
                <w:sz w:val="20"/>
                <w:szCs w:val="20"/>
                <w:color w:val="auto"/>
              </w:rPr>
            </w:pPr>
            <w:r>
              <w:rPr>
                <w:rFonts w:ascii="Arial" w:cs="Arial" w:eastAsia="Arial" w:hAnsi="Arial"/>
                <w:sz w:val="18"/>
                <w:szCs w:val="18"/>
                <w:color w:val="auto"/>
              </w:rPr>
              <w:t>787-***</w:t>
            </w:r>
          </w:p>
        </w:tc>
        <w:tc>
          <w:tcPr>
            <w:tcW w:w="3420" w:type="dxa"/>
            <w:vAlign w:val="bottom"/>
          </w:tcPr>
          <w:p>
            <w:pPr>
              <w:spacing w:after="0"/>
              <w:rPr>
                <w:sz w:val="16"/>
                <w:szCs w:val="16"/>
                <w:color w:val="auto"/>
              </w:rPr>
            </w:pPr>
          </w:p>
        </w:tc>
        <w:tc>
          <w:tcPr>
            <w:tcW w:w="226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787-***</w:t>
            </w:r>
          </w:p>
        </w:tc>
        <w:tc>
          <w:tcPr>
            <w:tcW w:w="5680" w:type="dxa"/>
            <w:vAlign w:val="bottom"/>
            <w:gridSpan w:val="2"/>
          </w:tcPr>
          <w:p>
            <w:pPr>
              <w:jc w:val="center"/>
              <w:ind w:left="3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787-***</w:t>
            </w:r>
          </w:p>
        </w:tc>
        <w:tc>
          <w:tcPr>
            <w:tcW w:w="5680" w:type="dxa"/>
            <w:vAlign w:val="bottom"/>
            <w:gridSpan w:val="2"/>
          </w:tcPr>
          <w:p>
            <w:pPr>
              <w:jc w:val="center"/>
              <w:ind w:left="3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787-***</w:t>
            </w:r>
          </w:p>
        </w:tc>
        <w:tc>
          <w:tcPr>
            <w:tcW w:w="5680" w:type="dxa"/>
            <w:vAlign w:val="bottom"/>
            <w:gridSpan w:val="2"/>
          </w:tcPr>
          <w:p>
            <w:pPr>
              <w:jc w:val="center"/>
              <w:ind w:left="3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Confidential Treatment</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Boeing and Customer understand that certain information contained in this Letter Agreement, including any attachments hereto, is considered by both parties to be confidential. Boeing and Customer agree that each party will treat this Letter Agreement and the information contained herein as confidential and will not, without the other party’s prior written consent, disclose this Letter Agreement or any information contained herein to any other person or entity except as may be required by applicable law or governmental regulations.</w:t>
      </w:r>
    </w:p>
    <w:p>
      <w:pPr>
        <w:sectPr>
          <w:pgSz w:w="11900" w:h="16838" w:orient="portrait"/>
          <w:cols w:equalWidth="0" w:num="1">
            <w:col w:w="11420"/>
          </w:cols>
          <w:pgMar w:left="240" w:top="1084"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UAL-PA-03860-LA-1209413A1R2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Special Matters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2</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SA-6</w:t>
      </w:r>
    </w:p>
    <w:p>
      <w:pPr>
        <w:spacing w:after="0" w:line="9" w:lineRule="exact"/>
        <w:rPr>
          <w:sz w:val="20"/>
          <w:szCs w:val="20"/>
          <w:color w:val="auto"/>
        </w:rPr>
      </w:pPr>
    </w:p>
    <w:p>
      <w:pPr>
        <w:sectPr>
          <w:pgSz w:w="11900" w:h="16838" w:orient="portrait"/>
          <w:cols w:equalWidth="0" w:num="2">
            <w:col w:w="10220" w:space="720"/>
            <w:col w:w="480"/>
          </w:cols>
          <w:pgMar w:left="240" w:top="10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 UNITED AIRLINES, INC. PROPRIETARY</w:t>
      </w:r>
    </w:p>
    <w:p>
      <w:pPr>
        <w:sectPr>
          <w:pgSz w:w="11900" w:h="16838" w:orient="portrait"/>
          <w:cols w:equalWidth="0" w:num="1">
            <w:col w:w="11420"/>
          </w:cols>
          <w:pgMar w:left="240" w:top="1084" w:right="2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43685" cy="420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20370"/>
                    </a:xfrm>
                    <a:prstGeom prst="rect">
                      <a:avLst/>
                    </a:prstGeom>
                    <a:noFill/>
                  </pic:spPr>
                </pic:pic>
              </a:graphicData>
            </a:graphic>
          </wp:anchor>
        </w:drawing>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I.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40" w:type="dxa"/>
            <w:vAlign w:val="bottom"/>
            <w:gridSpan w:val="2"/>
          </w:tcPr>
          <w:p>
            <w:pPr>
              <w:jc w:val="center"/>
              <w:ind w:right="5600"/>
              <w:spacing w:after="0"/>
              <w:rPr>
                <w:sz w:val="20"/>
                <w:szCs w:val="20"/>
                <w:color w:val="auto"/>
              </w:rPr>
            </w:pPr>
            <w:r>
              <w:rPr>
                <w:rFonts w:ascii="Arial" w:cs="Arial" w:eastAsia="Arial" w:hAnsi="Arial"/>
                <w:sz w:val="18"/>
                <w:szCs w:val="18"/>
                <w:color w:val="auto"/>
                <w:w w:val="90"/>
              </w:rPr>
              <w:t>Senior Vice President - Finance and</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7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center"/>
              <w:ind w:right="690"/>
              <w:spacing w:after="0"/>
              <w:rPr>
                <w:sz w:val="20"/>
                <w:szCs w:val="20"/>
                <w:color w:val="auto"/>
              </w:rPr>
            </w:pPr>
            <w:r>
              <w:rPr>
                <w:rFonts w:ascii="Arial" w:cs="Arial" w:eastAsia="Arial" w:hAnsi="Arial"/>
                <w:sz w:val="18"/>
                <w:szCs w:val="18"/>
                <w:color w:val="auto"/>
                <w:w w:val="93"/>
              </w:rPr>
              <w:t>acting Chief Financial Officer</w:t>
            </w:r>
          </w:p>
        </w:tc>
        <w:tc>
          <w:tcPr>
            <w:tcW w:w="48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9400" w:type="dxa"/>
            <w:vAlign w:val="bottom"/>
            <w:gridSpan w:val="4"/>
          </w:tcPr>
          <w:p>
            <w:pPr>
              <w:spacing w:after="0"/>
              <w:rPr>
                <w:sz w:val="20"/>
                <w:szCs w:val="20"/>
                <w:color w:val="auto"/>
              </w:rPr>
            </w:pPr>
            <w:r>
              <w:rPr>
                <w:rFonts w:ascii="Arial" w:cs="Arial" w:eastAsia="Arial" w:hAnsi="Arial"/>
                <w:sz w:val="18"/>
                <w:szCs w:val="18"/>
                <w:color w:val="auto"/>
              </w:rPr>
              <w:t>UAL-PA-03860-LA-1209413A1R2</w:t>
            </w:r>
          </w:p>
        </w:tc>
        <w:tc>
          <w:tcPr>
            <w:tcW w:w="2020" w:type="dxa"/>
            <w:vAlign w:val="bottom"/>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w w:val="91"/>
              </w:rPr>
              <w:t>Special Matters</w:t>
            </w:r>
          </w:p>
        </w:tc>
        <w:tc>
          <w:tcPr>
            <w:tcW w:w="8240" w:type="dxa"/>
            <w:vAlign w:val="bottom"/>
            <w:gridSpan w:val="2"/>
            <w:vMerge w:val="restart"/>
          </w:tcPr>
          <w:p>
            <w:pPr>
              <w:ind w:left="2420"/>
              <w:spacing w:after="0"/>
              <w:rPr>
                <w:sz w:val="20"/>
                <w:szCs w:val="20"/>
                <w:color w:val="auto"/>
              </w:rPr>
            </w:pPr>
            <w:r>
              <w:rPr>
                <w:rFonts w:ascii="Arial" w:cs="Arial" w:eastAsia="Arial" w:hAnsi="Arial"/>
                <w:sz w:val="18"/>
                <w:szCs w:val="18"/>
                <w:b w:val="1"/>
                <w:bCs w:val="1"/>
                <w:color w:val="auto"/>
              </w:rPr>
              <w:t>BOEING / UNITED AIRLINES, INC. PROPRIETARY</w:t>
            </w:r>
          </w:p>
        </w:tc>
        <w:tc>
          <w:tcPr>
            <w:tcW w:w="2020" w:type="dxa"/>
            <w:vAlign w:val="bottom"/>
          </w:tcPr>
          <w:p>
            <w:pPr>
              <w:jc w:val="right"/>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4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United Continental Holdings, Inc. and Subsidiary Companies</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ratios)</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7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76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7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7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40" w:type="dxa"/>
            <w:vAlign w:val="bottom"/>
            <w:gridSpan w:val="2"/>
          </w:tcPr>
          <w:p>
            <w:pPr>
              <w:spacing w:after="0" w:line="198" w:lineRule="exact"/>
              <w:rPr>
                <w:sz w:val="20"/>
                <w:szCs w:val="20"/>
                <w:color w:val="auto"/>
              </w:rPr>
            </w:pPr>
            <w:r>
              <w:rPr>
                <w:rFonts w:ascii="Arial" w:cs="Arial" w:eastAsia="Arial" w:hAnsi="Arial"/>
                <w:sz w:val="18"/>
                <w:szCs w:val="18"/>
                <w:color w:val="auto"/>
              </w:rPr>
              <w:t>Earnings (losses):</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20" w:type="dxa"/>
            <w:vAlign w:val="bottom"/>
            <w:shd w:val="clear" w:color="auto" w:fill="CCCCCC"/>
          </w:tcPr>
          <w:p>
            <w:pPr>
              <w:spacing w:after="0"/>
              <w:rPr>
                <w:sz w:val="20"/>
                <w:szCs w:val="20"/>
                <w:color w:val="auto"/>
              </w:rPr>
            </w:pPr>
            <w:r>
              <w:rPr>
                <w:rFonts w:ascii="Arial" w:cs="Arial" w:eastAsia="Arial" w:hAnsi="Arial"/>
                <w:sz w:val="18"/>
                <w:szCs w:val="18"/>
                <w:color w:val="auto"/>
              </w:rPr>
              <w:t>Earnings (loss) before income taxes</w:t>
            </w:r>
          </w:p>
        </w:tc>
        <w:tc>
          <w:tcPr>
            <w:tcW w:w="3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4,219</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1,128</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539</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(724)</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Add (deduct):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CCCC"/>
          </w:tcPr>
          <w:p>
            <w:pPr>
              <w:ind w:left="200"/>
              <w:spacing w:after="0"/>
              <w:rPr>
                <w:sz w:val="20"/>
                <w:szCs w:val="20"/>
                <w:color w:val="auto"/>
              </w:rPr>
            </w:pPr>
            <w:r>
              <w:rPr>
                <w:rFonts w:ascii="Arial" w:cs="Arial" w:eastAsia="Arial" w:hAnsi="Arial"/>
                <w:sz w:val="18"/>
                <w:szCs w:val="18"/>
                <w:color w:val="auto"/>
              </w:rPr>
              <w:t>Fixed charges, from below</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1,428</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1,648</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1,629</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1,526</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2,017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Amortization of capitalized interest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CCCC"/>
          </w:tcPr>
          <w:p>
            <w:pPr>
              <w:ind w:left="200"/>
              <w:spacing w:after="0"/>
              <w:rPr>
                <w:sz w:val="20"/>
                <w:szCs w:val="20"/>
                <w:color w:val="auto"/>
              </w:rPr>
            </w:pPr>
            <w:r>
              <w:rPr>
                <w:rFonts w:ascii="Arial" w:cs="Arial" w:eastAsia="Arial" w:hAnsi="Arial"/>
                <w:sz w:val="18"/>
                <w:szCs w:val="18"/>
                <w:color w:val="auto"/>
              </w:rPr>
              <w:t>Distributed earnings of affiliates</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Interest capitalized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CCCC"/>
          </w:tcPr>
          <w:p>
            <w:pPr>
              <w:ind w:left="200"/>
              <w:spacing w:after="0"/>
              <w:rPr>
                <w:sz w:val="20"/>
                <w:szCs w:val="20"/>
                <w:color w:val="auto"/>
              </w:rPr>
            </w:pPr>
            <w:r>
              <w:rPr>
                <w:rFonts w:ascii="Arial" w:cs="Arial" w:eastAsia="Arial" w:hAnsi="Arial"/>
                <w:sz w:val="18"/>
                <w:szCs w:val="18"/>
                <w:color w:val="auto"/>
              </w:rPr>
              <w:t>Equity earnings in affiliates</w:t>
            </w:r>
          </w:p>
        </w:tc>
        <w:tc>
          <w:tcPr>
            <w:tcW w:w="2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Earnings as adjusted</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5,609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2,736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2,129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770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652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Fixed charges: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3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669</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735</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783</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835</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Portion of rent expense representative of the interest factor (a)</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CCCC"/>
          </w:tcPr>
          <w:p>
            <w:pPr>
              <w:spacing w:after="0"/>
              <w:rPr>
                <w:sz w:val="20"/>
                <w:szCs w:val="20"/>
                <w:color w:val="auto"/>
              </w:rPr>
            </w:pPr>
            <w:r>
              <w:rPr>
                <w:rFonts w:ascii="Arial" w:cs="Arial" w:eastAsia="Arial" w:hAnsi="Arial"/>
                <w:sz w:val="18"/>
                <w:szCs w:val="18"/>
                <w:color w:val="auto"/>
              </w:rPr>
              <w:t>Fixed charges</w:t>
            </w:r>
          </w:p>
        </w:tc>
        <w:tc>
          <w:tcPr>
            <w:tcW w:w="34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1,428</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1,648</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1,629</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1,526</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2,017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660" w:hanging="189"/>
        <w:spacing w:after="0"/>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Imputed interest applied to rent expense.</w:t>
      </w:r>
    </w:p>
    <w:p>
      <w:pPr>
        <w:ind w:left="660" w:hanging="189"/>
        <w:spacing w:after="0"/>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Earnings were inadequate to cover fixed charges by $756 million in 2012.</w:t>
      </w:r>
    </w:p>
    <w:p>
      <w:pPr>
        <w:sectPr>
          <w:pgSz w:w="11900" w:h="16838" w:orient="portrait"/>
          <w:cols w:equalWidth="0" w:num="1">
            <w:col w:w="10960"/>
          </w:cols>
          <w:pgMar w:left="70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United Airlines, Inc. and Subsidiary Companies</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(In millions, except ratios)</w:t>
            </w:r>
          </w:p>
        </w:tc>
        <w:tc>
          <w:tcPr>
            <w:tcW w:w="5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7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2014</w:t>
            </w:r>
          </w:p>
        </w:tc>
        <w:tc>
          <w:tcPr>
            <w:tcW w:w="76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2013</w:t>
            </w:r>
          </w:p>
        </w:tc>
        <w:tc>
          <w:tcPr>
            <w:tcW w:w="7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7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740" w:type="dxa"/>
            <w:vAlign w:val="bottom"/>
            <w:gridSpan w:val="3"/>
          </w:tcPr>
          <w:p>
            <w:pPr>
              <w:spacing w:after="0" w:line="198" w:lineRule="exact"/>
              <w:rPr>
                <w:sz w:val="20"/>
                <w:szCs w:val="20"/>
                <w:color w:val="auto"/>
              </w:rPr>
            </w:pPr>
            <w:r>
              <w:rPr>
                <w:rFonts w:ascii="Arial" w:cs="Arial" w:eastAsia="Arial" w:hAnsi="Arial"/>
                <w:sz w:val="18"/>
                <w:szCs w:val="18"/>
                <w:color w:val="auto"/>
              </w:rPr>
              <w:t>Earnings (losses):</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4,221</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1,110</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637</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(657)</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Add (deduct):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CCCC"/>
          </w:tcPr>
          <w:p>
            <w:pPr>
              <w:ind w:left="200"/>
              <w:spacing w:after="0"/>
              <w:rPr>
                <w:sz w:val="20"/>
                <w:szCs w:val="20"/>
                <w:color w:val="auto"/>
              </w:rPr>
            </w:pPr>
            <w:r>
              <w:rPr>
                <w:rFonts w:ascii="Arial" w:cs="Arial" w:eastAsia="Arial" w:hAnsi="Arial"/>
                <w:sz w:val="18"/>
                <w:szCs w:val="18"/>
                <w:color w:val="auto"/>
              </w:rPr>
              <w:t>Fixed charges, from below</w:t>
            </w: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1,429</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1,655</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1,627</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1,514</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Amortization of capitalized interest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CCCC"/>
          </w:tcPr>
          <w:p>
            <w:pPr>
              <w:ind w:left="200"/>
              <w:spacing w:after="0"/>
              <w:rPr>
                <w:sz w:val="20"/>
                <w:szCs w:val="20"/>
                <w:color w:val="auto"/>
              </w:rPr>
            </w:pPr>
            <w:r>
              <w:rPr>
                <w:rFonts w:ascii="Arial" w:cs="Arial" w:eastAsia="Arial" w:hAnsi="Arial"/>
                <w:sz w:val="18"/>
                <w:szCs w:val="18"/>
                <w:color w:val="auto"/>
              </w:rPr>
              <w:t>Distributed earnings of affiliates</w:t>
            </w: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CCCC"/>
          </w:tcPr>
          <w:p>
            <w:pPr>
              <w:spacing w:after="0"/>
              <w:rPr>
                <w:sz w:val="18"/>
                <w:szCs w:val="18"/>
                <w:color w:val="auto"/>
              </w:rPr>
            </w:pPr>
          </w:p>
        </w:tc>
        <w:tc>
          <w:tcPr>
            <w:tcW w:w="140" w:type="dxa"/>
            <w:vAlign w:val="bottom"/>
            <w:shd w:val="clear" w:color="auto" w:fill="CCCCCC"/>
          </w:tcPr>
          <w:p>
            <w:pPr>
              <w:spacing w:after="0"/>
              <w:rPr>
                <w:sz w:val="18"/>
                <w:szCs w:val="18"/>
                <w:color w:val="auto"/>
              </w:rPr>
            </w:pP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Interest capitalized</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CCCC"/>
          </w:tcPr>
          <w:p>
            <w:pPr>
              <w:ind w:left="200"/>
              <w:spacing w:after="0"/>
              <w:rPr>
                <w:sz w:val="20"/>
                <w:szCs w:val="20"/>
                <w:color w:val="auto"/>
              </w:rPr>
            </w:pPr>
            <w:r>
              <w:rPr>
                <w:rFonts w:ascii="Arial" w:cs="Arial" w:eastAsia="Arial" w:hAnsi="Arial"/>
                <w:sz w:val="18"/>
                <w:szCs w:val="18"/>
                <w:color w:val="auto"/>
              </w:rPr>
              <w:t>Equity earnings in affiliates</w:t>
            </w: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CCCC"/>
          </w:tcPr>
          <w:p>
            <w:pPr>
              <w:spacing w:after="0"/>
              <w:rPr>
                <w:sz w:val="18"/>
                <w:szCs w:val="18"/>
                <w:color w:val="auto"/>
              </w:rPr>
            </w:pPr>
          </w:p>
        </w:tc>
        <w:tc>
          <w:tcPr>
            <w:tcW w:w="140" w:type="dxa"/>
            <w:vAlign w:val="bottom"/>
            <w:tcBorders>
              <w:bottom w:val="single" w:sz="8" w:color="auto"/>
            </w:tcBorders>
            <w:shd w:val="clear" w:color="auto" w:fill="CCCCCC"/>
          </w:tcPr>
          <w:p>
            <w:pPr>
              <w:spacing w:after="0"/>
              <w:rPr>
                <w:sz w:val="18"/>
                <w:szCs w:val="18"/>
                <w:color w:val="auto"/>
              </w:rPr>
            </w:pPr>
          </w:p>
        </w:tc>
        <w:tc>
          <w:tcPr>
            <w:tcW w:w="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color w:val="auto"/>
              </w:rPr>
              <w:t>Earnings as adjusted</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5,612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2,725</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2,225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825</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6640" w:type="dxa"/>
            <w:vAlign w:val="bottom"/>
            <w:shd w:val="clear" w:color="auto" w:fill="CCCCCC"/>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20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80" w:type="dxa"/>
            <w:vAlign w:val="bottom"/>
            <w:shd w:val="clear" w:color="auto" w:fill="CCCCCC"/>
          </w:tcPr>
          <w:p>
            <w:pPr>
              <w:spacing w:after="0"/>
              <w:rPr>
                <w:sz w:val="12"/>
                <w:szCs w:val="12"/>
                <w:color w:val="auto"/>
              </w:rPr>
            </w:pPr>
          </w:p>
        </w:tc>
        <w:tc>
          <w:tcPr>
            <w:tcW w:w="140" w:type="dxa"/>
            <w:vAlign w:val="bottom"/>
            <w:shd w:val="clear" w:color="auto" w:fill="CCCCCC"/>
          </w:tcPr>
          <w:p>
            <w:pPr>
              <w:spacing w:after="0"/>
              <w:rPr>
                <w:sz w:val="12"/>
                <w:szCs w:val="12"/>
                <w:color w:val="auto"/>
              </w:rPr>
            </w:pPr>
          </w:p>
        </w:tc>
        <w:tc>
          <w:tcPr>
            <w:tcW w:w="44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670</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742</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781</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823</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Portion of rent expense representative of the interest factor (a)</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1,429</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1,655</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1,627</w:t>
            </w:r>
          </w:p>
        </w:tc>
        <w:tc>
          <w:tcPr>
            <w:tcW w:w="340" w:type="dxa"/>
            <w:vAlign w:val="bottom"/>
            <w:gridSpan w:val="2"/>
            <w:shd w:val="clear" w:color="auto" w:fill="CCCC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1,514</w:t>
            </w:r>
          </w:p>
        </w:tc>
        <w:tc>
          <w:tcPr>
            <w:tcW w:w="320" w:type="dxa"/>
            <w:vAlign w:val="bottom"/>
            <w:gridSpan w:val="2"/>
            <w:shd w:val="clear" w:color="auto" w:fill="CCCCCC"/>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CCCC"/>
          </w:tcPr>
          <w:p>
            <w:pPr>
              <w:jc w:val="right"/>
              <w:spacing w:after="0"/>
              <w:rPr>
                <w:sz w:val="20"/>
                <w:szCs w:val="20"/>
                <w:color w:val="auto"/>
              </w:rPr>
            </w:pPr>
            <w:r>
              <w:rPr>
                <w:rFonts w:ascii="Arial" w:cs="Arial" w:eastAsia="Arial" w:hAnsi="Arial"/>
                <w:sz w:val="18"/>
                <w:szCs w:val="18"/>
                <w:color w:val="auto"/>
                <w:w w:val="84"/>
              </w:rPr>
              <w:t>2,005</w:t>
            </w:r>
          </w:p>
        </w:tc>
        <w:tc>
          <w:tcPr>
            <w:tcW w:w="1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660" w:hanging="189"/>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Imputed interest applied to rent expense.</w:t>
      </w:r>
    </w:p>
    <w:p>
      <w:pPr>
        <w:ind w:left="660" w:hanging="189"/>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Earnings were inadequate to cover fixed charges by $689 million in 2012.</w:t>
      </w:r>
    </w:p>
    <w:p>
      <w:pPr>
        <w:sectPr>
          <w:pgSz w:w="11900" w:h="16838" w:orient="portrait"/>
          <w:cols w:equalWidth="0" w:num="1">
            <w:col w:w="10960"/>
          </w:cols>
          <w:pgMar w:left="70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40" w:type="dxa"/>
            <w:vAlign w:val="bottom"/>
            <w:gridSpan w:val="3"/>
          </w:tcPr>
          <w:p>
            <w:pPr>
              <w:jc w:val="center"/>
              <w:ind w:left="1430"/>
              <w:spacing w:after="0"/>
              <w:rPr>
                <w:sz w:val="20"/>
                <w:szCs w:val="20"/>
                <w:color w:val="auto"/>
              </w:rPr>
            </w:pPr>
            <w:r>
              <w:rPr>
                <w:rFonts w:ascii="Arial" w:cs="Arial" w:eastAsia="Arial" w:hAnsi="Arial"/>
                <w:sz w:val="18"/>
                <w:szCs w:val="18"/>
                <w:b w:val="1"/>
                <w:bCs w:val="1"/>
                <w:color w:val="auto"/>
                <w:w w:val="91"/>
              </w:rPr>
              <w:t>United Continental Holdings, Inc. and United Airlines, Inc. Subsidiaries</w:t>
            </w:r>
          </w:p>
        </w:tc>
        <w:tc>
          <w:tcPr>
            <w:tcW w:w="1780" w:type="dxa"/>
            <w:vAlign w:val="bottom"/>
          </w:tcPr>
          <w:p>
            <w:pPr>
              <w:spacing w:after="0"/>
              <w:rPr>
                <w:sz w:val="17"/>
                <w:szCs w:val="17"/>
                <w:color w:val="auto"/>
              </w:rPr>
            </w:pPr>
          </w:p>
        </w:tc>
      </w:tr>
      <w:tr>
        <w:trPr>
          <w:trHeight w:val="237"/>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(as of February 18, 2016)</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Entity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318"/>
        </w:trPr>
        <w:tc>
          <w:tcPr>
            <w:tcW w:w="8580" w:type="dxa"/>
            <w:vAlign w:val="bottom"/>
            <w:gridSpan w:val="6"/>
          </w:tcPr>
          <w:p>
            <w:pPr>
              <w:spacing w:after="0"/>
              <w:rPr>
                <w:sz w:val="20"/>
                <w:szCs w:val="20"/>
                <w:color w:val="auto"/>
              </w:rPr>
            </w:pPr>
            <w:r>
              <w:rPr>
                <w:rFonts w:ascii="Arial" w:cs="Arial" w:eastAsia="Arial" w:hAnsi="Arial"/>
                <w:sz w:val="18"/>
                <w:szCs w:val="18"/>
                <w:color w:val="auto"/>
              </w:rPr>
              <w:t>United Continental Holdings,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85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Wholly-owned subsidiaries</w:t>
            </w:r>
            <w:r>
              <w:rPr>
                <w:rFonts w:ascii="Arial" w:cs="Arial" w:eastAsia="Arial" w:hAnsi="Arial"/>
                <w:sz w:val="18"/>
                <w:szCs w:val="18"/>
                <w:b w:val="1"/>
                <w:bCs w:val="1"/>
                <w:color w:val="auto"/>
              </w:rPr>
              <w:t>*</w:t>
            </w:r>
            <w:r>
              <w:rPr>
                <w:rFonts w:ascii="Arial" w:cs="Arial" w:eastAsia="Arial" w:hAnsi="Arial"/>
                <w:sz w:val="18"/>
                <w:szCs w:val="18"/>
                <w:i w:val="1"/>
                <w:iCs w:val="1"/>
                <w:color w:val="auto"/>
              </w:rPr>
              <w:t>:</w:t>
            </w:r>
          </w:p>
        </w:tc>
        <w:tc>
          <w:tcPr>
            <w:tcW w:w="1780" w:type="dxa"/>
            <w:vAlign w:val="bottom"/>
          </w:tcPr>
          <w:p>
            <w:pPr>
              <w:spacing w:after="0"/>
              <w:rPr>
                <w:sz w:val="24"/>
                <w:szCs w:val="24"/>
                <w:color w:val="auto"/>
              </w:rPr>
            </w:pPr>
          </w:p>
        </w:tc>
      </w:tr>
      <w:tr>
        <w:trPr>
          <w:trHeight w:val="310"/>
        </w:trPr>
        <w:tc>
          <w:tcPr>
            <w:tcW w:w="8580" w:type="dxa"/>
            <w:vAlign w:val="bottom"/>
            <w:gridSpan w:val="6"/>
          </w:tcPr>
          <w:p>
            <w:pPr>
              <w:spacing w:after="0"/>
              <w:rPr>
                <w:sz w:val="20"/>
                <w:szCs w:val="20"/>
                <w:color w:val="auto"/>
              </w:rPr>
            </w:pPr>
            <w:r>
              <w:rPr>
                <w:rFonts w:ascii="Arial" w:cs="Arial" w:eastAsia="Arial" w:hAnsi="Arial"/>
                <w:sz w:val="18"/>
                <w:szCs w:val="18"/>
                <w:color w:val="auto"/>
              </w:rPr>
              <w:t>United Airlines,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Air Wis Services, Inc.</w:t>
            </w:r>
          </w:p>
        </w:tc>
        <w:tc>
          <w:tcPr>
            <w:tcW w:w="1780" w:type="dxa"/>
            <w:vAlign w:val="bottom"/>
          </w:tcPr>
          <w:p>
            <w:pPr>
              <w:spacing w:after="0"/>
              <w:rPr>
                <w:sz w:val="20"/>
                <w:szCs w:val="20"/>
                <w:color w:val="auto"/>
              </w:rPr>
            </w:pPr>
            <w:r>
              <w:rPr>
                <w:rFonts w:ascii="Arial" w:cs="Arial" w:eastAsia="Arial" w:hAnsi="Arial"/>
                <w:sz w:val="18"/>
                <w:szCs w:val="18"/>
                <w:color w:val="auto"/>
              </w:rPr>
              <w:t>Wisconsin</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120"/>
              <w:spacing w:after="0"/>
              <w:rPr>
                <w:sz w:val="20"/>
                <w:szCs w:val="20"/>
                <w:color w:val="auto"/>
              </w:rPr>
            </w:pPr>
            <w:r>
              <w:rPr>
                <w:rFonts w:ascii="Arial" w:cs="Arial" w:eastAsia="Arial" w:hAnsi="Arial"/>
                <w:sz w:val="18"/>
                <w:szCs w:val="18"/>
                <w:color w:val="auto"/>
              </w:rPr>
              <w:t>Air Wisconsin,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60" w:type="dxa"/>
            <w:vAlign w:val="bottom"/>
            <w:gridSpan w:val="4"/>
          </w:tcPr>
          <w:p>
            <w:pPr>
              <w:ind w:left="560"/>
              <w:spacing w:after="0"/>
              <w:rPr>
                <w:sz w:val="20"/>
                <w:szCs w:val="20"/>
                <w:color w:val="auto"/>
              </w:rPr>
            </w:pPr>
            <w:r>
              <w:rPr>
                <w:rFonts w:ascii="Arial" w:cs="Arial" w:eastAsia="Arial" w:hAnsi="Arial"/>
                <w:sz w:val="18"/>
                <w:szCs w:val="18"/>
                <w:color w:val="auto"/>
              </w:rPr>
              <w:t>•   Domicile Management Services, Inc. **</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rPr>
              <w:t>Air Micronesia,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120"/>
              <w:spacing w:after="0"/>
              <w:rPr>
                <w:sz w:val="20"/>
                <w:szCs w:val="20"/>
                <w:color w:val="auto"/>
              </w:rPr>
            </w:pPr>
            <w:r>
              <w:rPr>
                <w:rFonts w:ascii="Arial" w:cs="Arial" w:eastAsia="Arial" w:hAnsi="Arial"/>
                <w:sz w:val="18"/>
                <w:szCs w:val="18"/>
                <w:color w:val="auto"/>
              </w:rPr>
              <w:t>Continental Micronesia,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CAL Cargo, S.A. de C.V.**</w:t>
            </w:r>
          </w:p>
        </w:tc>
        <w:tc>
          <w:tcPr>
            <w:tcW w:w="178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4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rPr>
              <w:t>CALFINCO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rPr>
              <w:t>Century Casualty Company</w:t>
            </w:r>
          </w:p>
        </w:tc>
        <w:tc>
          <w:tcPr>
            <w:tcW w:w="1780" w:type="dxa"/>
            <w:vAlign w:val="bottom"/>
          </w:tcPr>
          <w:p>
            <w:pPr>
              <w:spacing w:after="0"/>
              <w:rPr>
                <w:sz w:val="20"/>
                <w:szCs w:val="20"/>
                <w:color w:val="auto"/>
              </w:rPr>
            </w:pPr>
            <w:r>
              <w:rPr>
                <w:rFonts w:ascii="Arial" w:cs="Arial" w:eastAsia="Arial" w:hAnsi="Arial"/>
                <w:sz w:val="18"/>
                <w:szCs w:val="18"/>
                <w:color w:val="auto"/>
              </w:rPr>
              <w:t>Vermont</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Continental Airlines de Mexico, S.A.**</w:t>
            </w:r>
          </w:p>
        </w:tc>
        <w:tc>
          <w:tcPr>
            <w:tcW w:w="178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Continental Airlines Domain Name Limited</w:t>
            </w:r>
          </w:p>
        </w:tc>
        <w:tc>
          <w:tcPr>
            <w:tcW w:w="178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Continental Airlines Finance Trust II</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Continental Airlines Fuel Purchasing Group,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Continental Airlines, Inc. Supplemental Retirement Plan for Pilots Trust Agreement</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Continental Airlines Purchasing Holdings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60" w:type="dxa"/>
            <w:vAlign w:val="bottom"/>
            <w:gridSpan w:val="4"/>
          </w:tcPr>
          <w:p>
            <w:pPr>
              <w:ind w:left="560"/>
              <w:spacing w:after="0"/>
              <w:rPr>
                <w:sz w:val="20"/>
                <w:szCs w:val="20"/>
                <w:color w:val="auto"/>
              </w:rPr>
            </w:pPr>
            <w:r>
              <w:rPr>
                <w:rFonts w:ascii="Arial" w:cs="Arial" w:eastAsia="Arial" w:hAnsi="Arial"/>
                <w:sz w:val="18"/>
                <w:szCs w:val="18"/>
                <w:color w:val="auto"/>
              </w:rPr>
              <w:t>•   Continental Airlines Purchasing Services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rPr>
              <w:t>Continental Express,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rPr>
              <w:t>Covia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Mileage Plus Holdings, LLC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120"/>
              <w:spacing w:after="0"/>
              <w:rPr>
                <w:sz w:val="20"/>
                <w:szCs w:val="20"/>
                <w:color w:val="auto"/>
              </w:rPr>
            </w:pPr>
            <w:r>
              <w:rPr>
                <w:rFonts w:ascii="Arial" w:cs="Arial" w:eastAsia="Arial" w:hAnsi="Arial"/>
                <w:sz w:val="18"/>
                <w:szCs w:val="18"/>
                <w:color w:val="auto"/>
              </w:rPr>
              <w:t>MPH I,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40" w:type="dxa"/>
            <w:vAlign w:val="bottom"/>
            <w:gridSpan w:val="3"/>
          </w:tcPr>
          <w:p>
            <w:pPr>
              <w:ind w:left="560"/>
              <w:spacing w:after="0"/>
              <w:rPr>
                <w:sz w:val="20"/>
                <w:szCs w:val="20"/>
                <w:color w:val="auto"/>
              </w:rPr>
            </w:pPr>
            <w:r>
              <w:rPr>
                <w:rFonts w:ascii="Arial" w:cs="Arial" w:eastAsia="Arial" w:hAnsi="Arial"/>
                <w:sz w:val="18"/>
                <w:szCs w:val="18"/>
                <w:color w:val="auto"/>
              </w:rPr>
              <w:t>•   Mileage Plus Marketing,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7240" w:type="dxa"/>
            <w:vAlign w:val="bottom"/>
            <w:gridSpan w:val="3"/>
          </w:tcPr>
          <w:p>
            <w:pPr>
              <w:ind w:left="120"/>
              <w:spacing w:after="0"/>
              <w:rPr>
                <w:sz w:val="20"/>
                <w:szCs w:val="20"/>
                <w:color w:val="auto"/>
              </w:rPr>
            </w:pPr>
            <w:r>
              <w:rPr>
                <w:rFonts w:ascii="Arial" w:cs="Arial" w:eastAsia="Arial" w:hAnsi="Arial"/>
                <w:sz w:val="18"/>
                <w:szCs w:val="18"/>
                <w:color w:val="auto"/>
              </w:rPr>
              <w:t>Mileage Plus,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Presidents Club of Guam,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United Aviation Fuels Corporation</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United Airlines Business Private Services Limited**</w:t>
            </w:r>
          </w:p>
        </w:tc>
        <w:tc>
          <w:tcPr>
            <w:tcW w:w="17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400" w:type="dxa"/>
            <w:vAlign w:val="bottom"/>
          </w:tcPr>
          <w:p>
            <w:pPr>
              <w:spacing w:after="0"/>
              <w:rPr>
                <w:sz w:val="18"/>
                <w:szCs w:val="18"/>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United Ground Express,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4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rPr>
              <w:t>United Vacations,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400" w:type="dxa"/>
            <w:vAlign w:val="bottom"/>
          </w:tcPr>
          <w:p>
            <w:pPr>
              <w:spacing w:after="0"/>
              <w:rPr>
                <w:sz w:val="20"/>
                <w:szCs w:val="20"/>
                <w:color w:val="auto"/>
              </w:rPr>
            </w:pPr>
          </w:p>
        </w:tc>
        <w:tc>
          <w:tcPr>
            <w:tcW w:w="8180" w:type="dxa"/>
            <w:vAlign w:val="bottom"/>
            <w:gridSpan w:val="5"/>
          </w:tcPr>
          <w:p>
            <w:pPr>
              <w:ind w:left="60"/>
              <w:spacing w:after="0"/>
              <w:rPr>
                <w:sz w:val="20"/>
                <w:szCs w:val="20"/>
                <w:color w:val="auto"/>
              </w:rPr>
            </w:pPr>
            <w:r>
              <w:rPr>
                <w:rFonts w:ascii="Arial" w:cs="Arial" w:eastAsia="Arial" w:hAnsi="Arial"/>
                <w:sz w:val="18"/>
                <w:szCs w:val="18"/>
                <w:color w:val="auto"/>
              </w:rPr>
              <w:t>•   UAL Benefits Management, Inc.</w:t>
            </w:r>
          </w:p>
        </w:tc>
        <w:tc>
          <w:tcPr>
            <w:tcW w:w="178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22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 of United Continental Holdings, Inc. are wholly owned unless otherwise indicated</w:t>
      </w:r>
    </w:p>
    <w:p>
      <w:pPr>
        <w:spacing w:after="0" w:line="23" w:lineRule="exact"/>
        <w:rPr>
          <w:sz w:val="20"/>
          <w:szCs w:val="20"/>
          <w:color w:val="auto"/>
        </w:rPr>
      </w:pPr>
    </w:p>
    <w:p>
      <w:pPr>
        <w:ind w:left="460" w:right="180" w:hanging="452"/>
        <w:spacing w:after="0" w:line="252" w:lineRule="auto"/>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Domicile Management Services Inc. is 99.9% owned by Air Wis Services, Inc. and 0.1% owned by United Airlines, Inc. CAL Cargo, S.A. de C.V. is 99.99% owned by United Airlines, Inc. and .01% owned by CALFINCO Inc. Continental Airlines de Mexico, S.A. is 99.9997% owned by United Airlines, Inc. and .0003% owned by private entities. Continental Airlines Purchasing Services LLC is 99% owned by Continental Airlines Purchasing Holdings LLC and 1% owned by United Airlines, Inc. Covia LLC currently owns an approximately 56% equity interest in the Galileo Japan Partnership, a Delaware general partnership. United Airlines Business Private Services Limited is 99.99% owned by United Airlines, Inc. and 0.01% owned by David Kinzelman, on behalf of United Airlines, Inc.</w:t>
      </w:r>
    </w:p>
    <w:p>
      <w:pPr>
        <w:sectPr>
          <w:pgSz w:w="11900" w:h="16838" w:orient="portrait"/>
          <w:cols w:equalWidth="0" w:num="1">
            <w:col w:w="11420"/>
          </w:cols>
          <w:pgMar w:left="240" w:top="12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40" w:firstLine="2638"/>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S-3 No. 333-203630),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S-4 No. 333-167801),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333-197815),</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333-151778),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Registration Statement (Form S-8 No. 333-131434),</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our reports dated February 18, 2016, with respect to the consolidated financial statements and schedule of United Continental Holdings, Inc. and the effectiveness of internal control over financial reporting of United Continental Holdings, Inc., included in this Annual Report (Form 10-K) of United Continental Holdings, Inc. for the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S-3 No. 333-203630-1) of our report dated February 18, 2016, with respect to the consolidated financial statements and schedule of United Airlines, Inc., included in this Annual Report (Form 10-K) of United Airlines, Inc. for the year ended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2016</w:t>
      </w:r>
    </w:p>
    <w:p>
      <w:pPr>
        <w:sectPr>
          <w:pgSz w:w="11900" w:h="16838" w:orient="portrait"/>
          <w:cols w:equalWidth="0" w:num="1">
            <w:col w:w="11420"/>
          </w:cols>
          <w:pgMar w:left="240" w:top="12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Brett J. Hart, certify that:</w:t>
      </w:r>
    </w:p>
    <w:p>
      <w:pPr>
        <w:spacing w:after="0" w:line="9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2015 of United Continental Holdings, Inc. (the “Company”);</w:t>
      </w:r>
    </w:p>
    <w:p>
      <w:pPr>
        <w:spacing w:after="0" w:line="113" w:lineRule="exact"/>
        <w:rPr>
          <w:rFonts w:ascii="Arial" w:cs="Arial" w:eastAsia="Arial" w:hAnsi="Arial"/>
          <w:sz w:val="16"/>
          <w:szCs w:val="16"/>
          <w:color w:val="auto"/>
        </w:rPr>
      </w:pPr>
    </w:p>
    <w:p>
      <w:pPr>
        <w:ind w:left="460" w:right="260" w:hanging="452"/>
        <w:spacing w:after="0" w:line="357"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00" w:hanging="446"/>
        <w:spacing w:after="0" w:line="33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Brett J.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Acting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ectPr>
          <w:pgSz w:w="11900" w:h="16838" w:orient="portrait"/>
          <w:cols w:equalWidth="0" w:num="1">
            <w:col w:w="11420"/>
          </w:cols>
          <w:pgMar w:left="240" w:top="12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2015 of United Continental Holdings, Inc. (the “Company”);</w:t>
      </w:r>
    </w:p>
    <w:p>
      <w:pPr>
        <w:spacing w:after="0" w:line="113"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74"/>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480" w:right="300" w:hanging="567"/>
        <w:spacing w:after="0" w:line="259"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Gerald Laderman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and acting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ectPr>
          <w:pgSz w:w="11900" w:h="16838" w:orient="portrait"/>
          <w:cols w:equalWidth="0" w:num="1">
            <w:col w:w="11420"/>
          </w:cols>
          <w:pgMar w:left="240" w:top="12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Brett J. Hart, certify that:</w:t>
      </w:r>
    </w:p>
    <w:p>
      <w:pPr>
        <w:spacing w:after="0" w:line="90"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2015 of United Airlines, Inc. (the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75"/>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480" w:right="300" w:hanging="567"/>
        <w:spacing w:after="0" w:line="259"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Brett J.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Acting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ectPr>
          <w:pgSz w:w="11900" w:h="16838" w:orient="portrait"/>
          <w:cols w:equalWidth="0" w:num="1">
            <w:col w:w="11420"/>
          </w:cols>
          <w:pgMar w:left="240" w:top="125"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9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2015 of United Airlines, Inc. (the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480" w:right="300" w:hanging="567"/>
        <w:spacing w:after="0" w:line="259"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Gerald Laderman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and acting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ectPr>
          <w:pgSz w:w="11900" w:h="16838" w:orient="portrait"/>
          <w:cols w:equalWidth="0" w:num="1">
            <w:col w:w="11420"/>
          </w:cols>
          <w:pgMar w:left="240" w:top="12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Continental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undersigned officer certifies that to the best of his knowledge based on a review of the annual report on Form 10-K for the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of United Continental Holdings, Inc. (the “Report”):</w:t>
      </w:r>
    </w:p>
    <w:p>
      <w:pPr>
        <w:spacing w:after="0" w:line="8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Continental Holdings,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Brett J.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Acting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Gerald Laderman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and acting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undersigned officer certifies that to the best of his knowledge based on a review of the annual report on Form 10-K for the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of United Airlines, Inc. (the “Report”):</w:t>
      </w:r>
    </w:p>
    <w:p>
      <w:pPr>
        <w:spacing w:after="0" w:line="8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Brett J.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Acting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Gerald Laderman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and acting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lowerLetter"/>
      <w:start w:val="1"/>
    </w:lvl>
  </w:abstractNum>
  <w:abstractNum w:abstractNumId="5">
    <w:nsid w:val="70A64E2A"/>
    <w:multiLevelType w:val="hybridMultilevel"/>
    <w:lvl w:ilvl="0">
      <w:lvlJc w:val="left"/>
      <w:lvlText w:val="(%1)"/>
      <w:numFmt w:val="lowerLetter"/>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lowerLetter"/>
      <w:start w:val="1"/>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1)"/>
      <w:numFmt w:val="lowerLetter"/>
      <w:start w:val="3"/>
    </w:lvl>
  </w:abstractNum>
  <w:abstractNum w:abstractNumId="18">
    <w:nsid w:val="32FFF902"/>
    <w:multiLevelType w:val="hybridMultilevel"/>
    <w:lvl w:ilvl="0">
      <w:lvlJc w:val="left"/>
      <w:lvlText w:val="%1"/>
      <w:numFmt w:val="lowerLetter"/>
      <w:start w:val="1"/>
    </w:lvl>
    <w:lvl w:ilvl="1">
      <w:lvlJc w:val="left"/>
      <w:lvlText w:val="(%2)"/>
      <w:numFmt w:val="lowerLetter"/>
      <w:start w:val="1"/>
    </w:lvl>
  </w:abstractNum>
  <w:abstractNum w:abstractNumId="19">
    <w:nsid w:val="684A481A"/>
    <w:multiLevelType w:val="hybridMultilevel"/>
    <w:lvl w:ilvl="0">
      <w:lvlJc w:val="left"/>
      <w:lvlText w:val="(%1)"/>
      <w:numFmt w:val="lowerLetter"/>
      <w:start w:val="4"/>
    </w:lvl>
    <w:lvl w:ilvl="1">
      <w:lvlJc w:val="left"/>
      <w:lvlText w:val="%2"/>
      <w:numFmt w:val="lowerLetter"/>
      <w:start w:val="1"/>
    </w:lvl>
  </w:abstractNum>
  <w:abstractNum w:abstractNumId="20">
    <w:nsid w:val="579478FE"/>
    <w:multiLevelType w:val="hybridMultilevel"/>
    <w:lvl w:ilvl="0">
      <w:lvlJc w:val="left"/>
      <w:lvlText w:val="(%1)"/>
      <w:numFmt w:val="lowerLetter"/>
      <w:start w:val="7"/>
    </w:lvl>
  </w:abstractNum>
  <w:abstractNum w:abstractNumId="21">
    <w:nsid w:val="749ABB43"/>
    <w:multiLevelType w:val="hybridMultilevel"/>
    <w:lvl w:ilvl="0">
      <w:lvlJc w:val="left"/>
      <w:lvlText w:val="(%1)"/>
      <w:numFmt w:val="lowerLetter"/>
      <w:start w:val="8"/>
    </w:lvl>
  </w:abstractNum>
  <w:abstractNum w:abstractNumId="22">
    <w:nsid w:val="3DC240FB"/>
    <w:multiLevelType w:val="hybridMultilevel"/>
    <w:lvl w:ilvl="0">
      <w:lvlJc w:val="left"/>
      <w:lvlText w:val="(%1)"/>
      <w:numFmt w:val="lowerLetter"/>
      <w:start w:val="13"/>
    </w:lvl>
  </w:abstractNum>
  <w:abstractNum w:abstractNumId="23">
    <w:nsid w:val="1BA026FA"/>
    <w:multiLevelType w:val="hybridMultilevel"/>
    <w:lvl w:ilvl="0">
      <w:lvlJc w:val="left"/>
      <w:lvlText w:val="(%1)"/>
      <w:numFmt w:val="lowerLetter"/>
      <w:start w:val="19"/>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Letter"/>
      <w:start w:val="1"/>
    </w:lvl>
  </w:abstractNum>
  <w:abstractNum w:abstractNumId="31">
    <w:nsid w:val="23F9C13C"/>
    <w:multiLevelType w:val="hybridMultilevel"/>
    <w:lvl w:ilvl="0">
      <w:lvlJc w:val="left"/>
      <w:lvlText w:val="(%1)"/>
      <w:numFmt w:val="decimal"/>
      <w:start w:val="2"/>
    </w:lvl>
  </w:abstractNum>
  <w:abstractNum w:abstractNumId="32">
    <w:nsid w:val="649BB77C"/>
    <w:multiLevelType w:val="hybridMultilevel"/>
    <w:lvl w:ilvl="0">
      <w:lvlJc w:val="left"/>
      <w:lvlText w:val="(%1)"/>
      <w:numFmt w:val="lowerLetter"/>
      <w:start w:val="2"/>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upperLetter"/>
      <w:start w:val="9"/>
    </w:lvl>
  </w:abstractNum>
  <w:abstractNum w:abstractNumId="38">
    <w:nsid w:val="47398C89"/>
    <w:multiLevelType w:val="hybridMultilevel"/>
    <w:lvl w:ilvl="0">
      <w:lvlJc w:val="left"/>
      <w:lvlText w:val="(%1)"/>
      <w:numFmt w:val="upperLetter"/>
      <w:start w:val="35"/>
    </w:lvl>
  </w:abstractNum>
  <w:abstractNum w:abstractNumId="39">
    <w:nsid w:val="354FE9F9"/>
    <w:multiLevelType w:val="hybridMultilevel"/>
    <w:lvl w:ilvl="0">
      <w:lvlJc w:val="left"/>
      <w:lvlText w:val="%1."/>
      <w:numFmt w:val="decimal"/>
      <w:start w:val="2"/>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2"/>
    </w:lvl>
  </w:abstractNum>
  <w:abstractNum w:abstractNumId="42">
    <w:nsid w:val="D34B6A8"/>
    <w:multiLevelType w:val="hybridMultilevel"/>
    <w:lvl w:ilvl="0">
      <w:lvlJc w:val="left"/>
      <w:lvlText w:val="(%1)"/>
      <w:numFmt w:val="lowerLetter"/>
      <w:start w:val="2"/>
    </w:lvl>
  </w:abstractNum>
  <w:abstractNum w:abstractNumId="43">
    <w:nsid w:val="10233C99"/>
    <w:multiLevelType w:val="hybridMultilevel"/>
    <w:lvl w:ilvl="0">
      <w:lvlJc w:val="left"/>
      <w:lvlText w:val="%1."/>
      <w:numFmt w:val="decimal"/>
      <w:start w:val="3"/>
    </w:lvl>
    <w:lvl w:ilvl="1">
      <w:lvlJc w:val="left"/>
      <w:lvlText w:val="(%2)"/>
      <w:numFmt w:val="lowerLetter"/>
      <w:start w:val="1"/>
    </w:lvl>
  </w:abstractNum>
  <w:abstractNum w:abstractNumId="44">
    <w:nsid w:val="3F6AB60F"/>
    <w:multiLevelType w:val="hybridMultilevel"/>
    <w:lvl w:ilvl="0">
      <w:lvlJc w:val="left"/>
      <w:lvlText w:val="(%1)"/>
      <w:numFmt w:val="lowerLetter"/>
      <w:start w:val="2"/>
    </w:lvl>
  </w:abstractNum>
  <w:abstractNum w:abstractNumId="45">
    <w:nsid w:val="61574095"/>
    <w:multiLevelType w:val="hybridMultilevel"/>
    <w:lvl w:ilvl="0">
      <w:lvlJc w:val="left"/>
      <w:lvlText w:val="%1."/>
      <w:numFmt w:val="decimal"/>
      <w:start w:val="4"/>
    </w:lvl>
  </w:abstractNum>
  <w:abstractNum w:abstractNumId="46">
    <w:nsid w:val="7E0C57B1"/>
    <w:multiLevelType w:val="hybridMultilevel"/>
    <w:lvl w:ilvl="0">
      <w:lvlJc w:val="left"/>
      <w:lvlText w:val="1"/>
      <w:numFmt w:val="bullet"/>
      <w:start w:val="1"/>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1)"/>
      <w:numFmt w:val="lowerRoman"/>
      <w:start w:val="2"/>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3"/>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bullet"/>
      <w:start w:val="1"/>
    </w:lvl>
  </w:abstractNum>
  <w:abstractNum w:abstractNumId="56">
    <w:nsid w:val="1381823A"/>
    <w:multiLevelType w:val="hybridMultilevel"/>
    <w:lvl w:ilvl="0">
      <w:lvlJc w:val="left"/>
      <w:lvlText w:val="2"/>
      <w:numFmt w:val="bullet"/>
      <w:start w:val="1"/>
    </w:lvl>
  </w:abstractNum>
  <w:abstractNum w:abstractNumId="57">
    <w:nsid w:val="5DB70AE5"/>
    <w:multiLevelType w:val="hybridMultilevel"/>
    <w:lvl w:ilvl="0">
      <w:lvlJc w:val="left"/>
      <w:lvlText w:val="3"/>
      <w:numFmt w:val="bullet"/>
      <w:start w:val="1"/>
    </w:lvl>
  </w:abstractNum>
  <w:abstractNum w:abstractNumId="58">
    <w:nsid w:val="100F8FCA"/>
    <w:multiLevelType w:val="hybridMultilevel"/>
    <w:lvl w:ilvl="0">
      <w:lvlJc w:val="left"/>
      <w:lvlText w:val="4"/>
      <w:numFmt w:val="bullet"/>
      <w:start w:val="1"/>
    </w:lvl>
  </w:abstractNum>
  <w:abstractNum w:abstractNumId="59">
    <w:nsid w:val="6590700B"/>
    <w:multiLevelType w:val="hybridMultilevel"/>
    <w:lvl w:ilvl="0">
      <w:lvlJc w:val="left"/>
      <w:lvlText w:val="1"/>
      <w:numFmt w:val="bullet"/>
      <w:start w:val="1"/>
    </w:lvl>
  </w:abstractNum>
  <w:abstractNum w:abstractNumId="60">
    <w:nsid w:val="15014ACB"/>
    <w:multiLevelType w:val="hybridMultilevel"/>
    <w:lvl w:ilvl="0">
      <w:lvlJc w:val="left"/>
      <w:lvlText w:val="2"/>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decimal"/>
      <w:start w:val="1"/>
    </w:lvl>
    <w:lvl w:ilvl="1">
      <w:lvlJc w:val="left"/>
      <w:lvlText w:val="(%2)"/>
      <w:numFmt w:val="lowerRoman"/>
      <w:start w:val="1"/>
    </w:lvl>
  </w:abstractNum>
  <w:abstractNum w:abstractNumId="64">
    <w:nsid w:val="6B94764"/>
    <w:multiLevelType w:val="hybridMultilevel"/>
    <w:lvl w:ilvl="0">
      <w:lvlJc w:val="left"/>
      <w:lvlText w:val="%1."/>
      <w:numFmt w:val="decimal"/>
      <w:start w:val="2"/>
    </w:lvl>
  </w:abstractNum>
  <w:abstractNum w:abstractNumId="65">
    <w:nsid w:val="42C296BD"/>
    <w:multiLevelType w:val="hybridMultilevel"/>
    <w:lvl w:ilvl="0">
      <w:lvlJc w:val="left"/>
      <w:lvlText w:val="(%1)"/>
      <w:numFmt w:val="lowerRoman"/>
      <w:start w:val="1"/>
    </w:lvl>
  </w:abstractNum>
  <w:abstractNum w:abstractNumId="66">
    <w:nsid w:val="168E121F"/>
    <w:multiLevelType w:val="hybridMultilevel"/>
    <w:lvl w:ilvl="0">
      <w:lvlJc w:val="left"/>
      <w:lvlText w:val="%1."/>
      <w:numFmt w:val="decimal"/>
      <w:start w:val="3"/>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1"/>
    </w:lvl>
    <w:lvl w:ilvl="1">
      <w:lvlJc w:val="left"/>
      <w:lvlText w:val="(%2)"/>
      <w:numFmt w:val="lowerLetter"/>
      <w:start w:val="1"/>
    </w:lvl>
  </w:abstractNum>
  <w:abstractNum w:abstractNumId="73">
    <w:nsid w:val="613EFDC5"/>
    <w:multiLevelType w:val="hybridMultilevel"/>
    <w:lvl w:ilvl="0">
      <w:lvlJc w:val="left"/>
      <w:lvlText w:val="(%1)"/>
      <w:numFmt w:val="decimal"/>
      <w:start w:val="1"/>
    </w:lvl>
    <w:lvl w:ilvl="1">
      <w:lvlJc w:val="left"/>
      <w:lvlText w:val="(%2)"/>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2019-12-29T13:52:31Z</dcterms:created>
  <dcterms:modified xsi:type="dcterms:W3CDTF">2019-12-29T13:52:31Z</dcterms:modified>
</cp:coreProperties>
</file>