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425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25259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Ward Laysha</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66100 HDQLD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United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UAL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40" w:space="699"/>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60666</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2,130</w:t>
            </w:r>
            <w:r>
              <w:rPr>
                <w:rFonts w:ascii="Times New Roman" w:cs="Times New Roman" w:eastAsia="Times New Roman" w:hAnsi="Times New Roman"/>
                <w:sz w:val="21"/>
                <w:szCs w:val="21"/>
                <w:color w:val="008000"/>
                <w:vertAlign w:val="superscript"/>
              </w:rPr>
              <w:t>(3)</w:t>
            </w:r>
          </w:p>
        </w:tc>
        <w:tc>
          <w:tcPr>
            <w:tcW w:w="240" w:type="dxa"/>
            <w:vAlign w:val="bottom"/>
          </w:tcPr>
          <w:p>
            <w:pPr>
              <w:spacing w:after="0"/>
              <w:rPr>
                <w:sz w:val="21"/>
                <w:szCs w:val="21"/>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05/20/2027</w:t>
            </w: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2,130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2,130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8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unit represents the economic equivalent of one share of common stock. Upon vesting, the share units are settled (i) 50% in cash based on average of the high and low sale prices of a share of the Company's common stock on the date of settlement (or the average of the high and low sale prices of the common stock on the preceding trading day if the settlement date is not a trading day) and (ii) 50% in shares of the Company's common stock, with any odd or fractional units rounded toward the share units to be settled in cash.</w:t>
      </w:r>
    </w:p>
    <w:p>
      <w:pPr>
        <w:spacing w:after="0" w:line="27" w:lineRule="exact"/>
        <w:rPr>
          <w:rFonts w:ascii="Times New Roman" w:cs="Times New Roman" w:eastAsia="Times New Roman" w:hAnsi="Times New Roman"/>
          <w:sz w:val="13"/>
          <w:szCs w:val="13"/>
          <w:color w:val="008000"/>
        </w:rPr>
      </w:pPr>
    </w:p>
    <w:p>
      <w:pPr>
        <w:ind w:left="40" w:right="3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Notwithstanding the foregoing, the Reporting Person elected to defer the Reporting Person's 2026 annual director equity award into a share account pursuant to the terms of the Company's Director Equity Incentive Plan ("DEIP"). Therefore, all the share units granted to the Reporting Person for the 2026 annual director equity award will be settled following the Reporting Person's separation from service in accordance with the terms of the DEIP.</w:t>
      </w:r>
    </w:p>
    <w:p>
      <w:pPr>
        <w:spacing w:after="0" w:line="27" w:lineRule="exact"/>
        <w:rPr>
          <w:rFonts w:ascii="Times New Roman" w:cs="Times New Roman" w:eastAsia="Times New Roman" w:hAnsi="Times New Roman"/>
          <w:sz w:val="13"/>
          <w:szCs w:val="13"/>
          <w:color w:val="008000"/>
        </w:rPr>
      </w:pPr>
    </w:p>
    <w:p>
      <w:pPr>
        <w:ind w:left="40" w:right="28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share units accrue when and as dividends are paid on the Company's common stock. The number of share units accrued will be equal to the dollar amount of dividends that would be payable if the share units were actual shares of common stock, divided by the average of the high and low sale prices of a share of the Company's common stock on the date dividends are paid.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Cotton for Laysha</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36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9"/>
              </w:rPr>
              <w:t>Ward</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6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82973" TargetMode="External"/><Relationship Id="rId14" Type="http://schemas.openxmlformats.org/officeDocument/2006/relationships/hyperlink" Target="http://www.sec.gov/cgi-bin/browse-edgar?action=getcompany&amp;CIK=00001005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2026-05-22T16:00:37Z</dcterms:created>
  <dcterms:modified xsi:type="dcterms:W3CDTF">2026-05-22T16:00:37Z</dcterms:modified>
</cp:coreProperties>
</file>