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w:t>
      </w:r>
    </w:p>
    <w:p>
      <w:pPr>
        <w:spacing w:after="0" w:line="3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1)*</w:t>
      </w:r>
    </w:p>
    <w:p>
      <w:pPr>
        <w:spacing w:after="0" w:line="37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CONTINENTAL AIRLINES</w:t>
      </w:r>
    </w:p>
    <w:p>
      <w:pPr>
        <w:spacing w:after="0" w:line="29"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37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372"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21079530</w:t>
      </w:r>
    </w:p>
    <w:p>
      <w:pPr>
        <w:spacing w:after="0" w:line="29"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spacing w:after="0" w:line="3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following box if a fee is being paid with this statement</w:t>
      </w:r>
    </w:p>
    <w:p>
      <w:pPr>
        <w:spacing w:after="0" w:line="31" w:lineRule="exact"/>
        <w:rPr>
          <w:sz w:val="24"/>
          <w:szCs w:val="24"/>
          <w:color w:val="auto"/>
        </w:rPr>
      </w:pPr>
    </w:p>
    <w:p>
      <w:pPr>
        <w:ind w:right="3159" w:firstLine="8"/>
        <w:spacing w:after="0" w:line="252" w:lineRule="auto"/>
        <w:tabs>
          <w:tab w:leader="none" w:pos="42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fee is not required only if the filing person: (1) has a previous statement on file reporting beneficial ownership of more than five percent of the class of securities described in Item 1; and (2) has filed no amendment subsequent thereto reporting beneficial ownership of more than five percent or less of such class.) (See Rule 13d-7.)</w:t>
      </w:r>
    </w:p>
    <w:p>
      <w:pPr>
        <w:spacing w:after="0" w:line="101" w:lineRule="exact"/>
        <w:rPr>
          <w:sz w:val="24"/>
          <w:szCs w:val="24"/>
          <w:color w:val="auto"/>
        </w:rPr>
      </w:pPr>
    </w:p>
    <w:p>
      <w:pPr>
        <w:ind w:right="3039"/>
        <w:spacing w:after="0" w:line="265"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of this form with respect to the subject class of securities and for any subsequent amendment containing information which would alter the disclosures provided in a prior cover page.</w:t>
      </w:r>
    </w:p>
    <w:p>
      <w:pPr>
        <w:spacing w:after="0" w:line="90" w:lineRule="exact"/>
        <w:rPr>
          <w:sz w:val="24"/>
          <w:szCs w:val="24"/>
          <w:color w:val="auto"/>
        </w:rPr>
      </w:pPr>
    </w:p>
    <w:p>
      <w:pPr>
        <w:ind w:right="3159"/>
        <w:spacing w:after="0" w:line="306"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6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[Continued on the following page(s)]</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Page 1 of 4 Pages</w:t>
      </w:r>
    </w:p>
    <w:p>
      <w:pPr>
        <w:sectPr>
          <w:pgSz w:w="11900" w:h="16921" w:orient="portrait"/>
          <w:cols w:equalWidth="0" w:num="1">
            <w:col w:w="10219"/>
          </w:cols>
          <w:pgMar w:left="240" w:top="420" w:right="1440" w:bottom="0" w:gutter="0" w:footer="0" w:header="0"/>
        </w:sectPr>
      </w:pPr>
    </w:p>
    <w:p>
      <w:pPr>
        <w:spacing w:after="0" w:line="37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21079530</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4"/>
          <w:szCs w:val="24"/>
          <w:color w:val="auto"/>
        </w:rPr>
      </w:pPr>
      <w:r>
        <w:rPr>
          <w:sz w:val="24"/>
          <w:szCs w:val="24"/>
          <w:color w:val="auto"/>
        </w:rPr>
        <w:br w:type="column"/>
      </w:r>
    </w:p>
    <w:p>
      <w:pPr>
        <w:spacing w:after="0" w:line="35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Page 2 of 4 Pages</w:t>
      </w:r>
    </w:p>
    <w:p>
      <w:pPr>
        <w:spacing w:after="0" w:line="254" w:lineRule="exact"/>
        <w:rPr>
          <w:sz w:val="24"/>
          <w:szCs w:val="24"/>
          <w:color w:val="auto"/>
        </w:rPr>
      </w:pPr>
    </w:p>
    <w:p>
      <w:pPr>
        <w:sectPr>
          <w:pgSz w:w="11900" w:h="16921" w:orient="portrait"/>
          <w:cols w:equalWidth="0" w:num="2">
            <w:col w:w="6960" w:space="640"/>
            <w:col w:w="2619"/>
          </w:cols>
          <w:pgMar w:left="240" w:top="420" w:right="1440" w:bottom="0" w:gutter="0" w:footer="0" w:header="0"/>
          <w:type w:val="continuous"/>
        </w:sectPr>
      </w:pPr>
    </w:p>
    <w:p>
      <w:pPr>
        <w:ind w:left="860" w:hanging="852"/>
        <w:spacing w:after="0"/>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169"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Wellington Management Company</w:t>
      </w:r>
    </w:p>
    <w:p>
      <w:pPr>
        <w:spacing w:after="0" w:line="29"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04-2683227</w:t>
      </w:r>
    </w:p>
    <w:p>
      <w:pPr>
        <w:spacing w:after="0" w:line="238" w:lineRule="auto"/>
        <w:rPr>
          <w:sz w:val="20"/>
          <w:szCs w:val="20"/>
          <w:color w:val="auto"/>
        </w:rPr>
      </w:pPr>
      <w:r>
        <w:rPr>
          <w:rFonts w:ascii="Courier New" w:cs="Courier New" w:eastAsia="Courier New" w:hAnsi="Courier New"/>
          <w:sz w:val="18"/>
          <w:szCs w:val="18"/>
          <w:color w:val="auto"/>
        </w:rPr>
        <w:t>- ----------------------------------------------------------------</w:t>
      </w:r>
    </w:p>
    <w:p>
      <w:pPr>
        <w:ind w:left="860" w:hanging="852"/>
        <w:spacing w:after="0"/>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w:t>
      </w:r>
    </w:p>
    <w:p>
      <w:pPr>
        <w:ind w:left="1700"/>
        <w:spacing w:after="0"/>
        <w:tabs>
          <w:tab w:leader="none" w:pos="242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 ----------------------------------------------------------------</w:t>
      </w:r>
    </w:p>
    <w:p>
      <w:pPr>
        <w:ind w:left="860" w:hanging="852"/>
        <w:spacing w:after="0"/>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31" w:lineRule="exact"/>
        <w:rPr>
          <w:sz w:val="24"/>
          <w:szCs w:val="24"/>
          <w:color w:val="auto"/>
        </w:rPr>
      </w:pPr>
    </w:p>
    <w:p>
      <w:pPr>
        <w:ind w:left="860" w:right="5579" w:hanging="852"/>
        <w:spacing w:after="0" w:line="309" w:lineRule="auto"/>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Massachusetts</w:t>
      </w:r>
    </w:p>
    <w:p>
      <w:pPr>
        <w:spacing w:after="0" w:line="51" w:lineRule="exact"/>
        <w:rPr>
          <w:sz w:val="24"/>
          <w:szCs w:val="24"/>
          <w:color w:val="auto"/>
        </w:rPr>
      </w:pPr>
    </w:p>
    <w:p>
      <w:pPr>
        <w:ind w:left="220" w:hanging="212"/>
        <w:spacing w:after="0"/>
        <w:tabs>
          <w:tab w:leader="none" w:pos="2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30" w:lineRule="exact"/>
        <w:rPr>
          <w:rFonts w:ascii="Courier New" w:cs="Courier New" w:eastAsia="Courier New" w:hAnsi="Courier New"/>
          <w:sz w:val="18"/>
          <w:szCs w:val="18"/>
          <w:color w:val="auto"/>
        </w:rPr>
      </w:pPr>
    </w:p>
    <w:p>
      <w:pPr>
        <w:ind w:left="6760" w:hanging="852"/>
        <w:spacing w:after="0" w:line="238" w:lineRule="auto"/>
        <w:tabs>
          <w:tab w:leader="none" w:pos="676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tbl>
      <w:tblPr>
        <w:tblLayout w:type="fixed"/>
        <w:tblInd w:w="860" w:type="dxa"/>
        <w:tblCellMar>
          <w:top w:w="0" w:type="dxa"/>
          <w:left w:w="0" w:type="dxa"/>
          <w:bottom w:w="0" w:type="dxa"/>
          <w:right w:w="0" w:type="dxa"/>
        </w:tblCellMar>
      </w:tblPr>
      <w:tr>
        <w:trPr>
          <w:trHeight w:val="171"/>
        </w:trPr>
        <w:tc>
          <w:tcPr>
            <w:tcW w:w="3000" w:type="dxa"/>
            <w:vAlign w:val="bottom"/>
            <w:vMerge w:val="restart"/>
          </w:tcPr>
          <w:p>
            <w:pPr>
              <w:spacing w:after="0"/>
              <w:rPr>
                <w:sz w:val="20"/>
                <w:szCs w:val="20"/>
                <w:color w:val="auto"/>
              </w:rPr>
            </w:pPr>
            <w:r>
              <w:rPr>
                <w:rFonts w:ascii="Courier New" w:cs="Courier New" w:eastAsia="Courier New" w:hAnsi="Courier New"/>
                <w:sz w:val="18"/>
                <w:szCs w:val="18"/>
                <w:color w:val="auto"/>
              </w:rPr>
              <w:t>Number of</w:t>
            </w:r>
          </w:p>
        </w:tc>
        <w:tc>
          <w:tcPr>
            <w:tcW w:w="20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20" w:type="dxa"/>
            <w:vAlign w:val="bottom"/>
          </w:tcPr>
          <w:p>
            <w:pPr>
              <w:ind w:left="320"/>
              <w:spacing w:after="0" w:line="171" w:lineRule="exact"/>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03"/>
        </w:trPr>
        <w:tc>
          <w:tcPr>
            <w:tcW w:w="3000" w:type="dxa"/>
            <w:vAlign w:val="bottom"/>
            <w:vMerge w:val="continue"/>
          </w:tcPr>
          <w:p>
            <w:pPr>
              <w:spacing w:after="0"/>
              <w:rPr>
                <w:sz w:val="17"/>
                <w:szCs w:val="17"/>
                <w:color w:val="auto"/>
              </w:rPr>
            </w:pPr>
          </w:p>
        </w:tc>
        <w:tc>
          <w:tcPr>
            <w:tcW w:w="2040" w:type="dxa"/>
            <w:vAlign w:val="bottom"/>
            <w:vMerge w:val="restart"/>
          </w:tcPr>
          <w:p>
            <w:pPr>
              <w:jc w:val="right"/>
              <w:spacing w:after="0"/>
              <w:rPr>
                <w:sz w:val="20"/>
                <w:szCs w:val="20"/>
                <w:color w:val="auto"/>
              </w:rPr>
            </w:pPr>
            <w:r>
              <w:rPr>
                <w:rFonts w:ascii="Courier New" w:cs="Courier New" w:eastAsia="Courier New" w:hAnsi="Courier New"/>
                <w:sz w:val="29"/>
                <w:szCs w:val="29"/>
                <w:color w:val="auto"/>
                <w:w w:val="71"/>
                <w:vertAlign w:val="subscript"/>
              </w:rPr>
              <w:t>6.</w:t>
            </w:r>
            <w:r>
              <w:rPr>
                <w:rFonts w:ascii="Courier New" w:cs="Courier New" w:eastAsia="Courier New" w:hAnsi="Courier New"/>
                <w:sz w:val="15"/>
                <w:szCs w:val="15"/>
                <w:color w:val="auto"/>
                <w:w w:val="71"/>
              </w:rPr>
              <w:t>-----------------------------</w:t>
            </w:r>
          </w:p>
        </w:tc>
        <w:tc>
          <w:tcPr>
            <w:tcW w:w="3160" w:type="dxa"/>
            <w:vAlign w:val="bottom"/>
            <w:gridSpan w:val="2"/>
            <w:vMerge w:val="restart"/>
          </w:tcPr>
          <w:p>
            <w:pPr>
              <w:spacing w:after="0"/>
              <w:rPr>
                <w:sz w:val="20"/>
                <w:szCs w:val="20"/>
                <w:color w:val="auto"/>
              </w:rPr>
            </w:pPr>
            <w:r>
              <w:rPr>
                <w:rFonts w:ascii="Courier New" w:cs="Courier New" w:eastAsia="Courier New" w:hAnsi="Courier New"/>
                <w:sz w:val="18"/>
                <w:szCs w:val="18"/>
                <w:color w:val="auto"/>
              </w:rPr>
              <w:t>Shared Voting Power</w:t>
            </w:r>
          </w:p>
        </w:tc>
        <w:tc>
          <w:tcPr>
            <w:tcW w:w="0" w:type="dxa"/>
            <w:vAlign w:val="bottom"/>
          </w:tcPr>
          <w:p>
            <w:pPr>
              <w:spacing w:after="0"/>
              <w:rPr>
                <w:sz w:val="1"/>
                <w:szCs w:val="1"/>
                <w:color w:val="auto"/>
              </w:rPr>
            </w:pPr>
          </w:p>
        </w:tc>
      </w:tr>
      <w:tr>
        <w:trPr>
          <w:trHeight w:val="203"/>
        </w:trPr>
        <w:tc>
          <w:tcPr>
            <w:tcW w:w="300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shares</w:t>
            </w:r>
          </w:p>
        </w:tc>
        <w:tc>
          <w:tcPr>
            <w:tcW w:w="2040" w:type="dxa"/>
            <w:vAlign w:val="bottom"/>
            <w:vMerge w:val="continue"/>
          </w:tcPr>
          <w:p>
            <w:pPr>
              <w:spacing w:after="0"/>
              <w:rPr>
                <w:sz w:val="17"/>
                <w:szCs w:val="17"/>
                <w:color w:val="auto"/>
              </w:rPr>
            </w:pPr>
          </w:p>
        </w:tc>
        <w:tc>
          <w:tcPr>
            <w:tcW w:w="31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20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20" w:type="dxa"/>
            <w:vAlign w:val="bottom"/>
            <w:vMerge w:val="restart"/>
          </w:tcPr>
          <w:p>
            <w:pPr>
              <w:ind w:left="320"/>
              <w:spacing w:after="0"/>
              <w:rPr>
                <w:sz w:val="20"/>
                <w:szCs w:val="20"/>
                <w:color w:val="auto"/>
              </w:rPr>
            </w:pPr>
            <w:r>
              <w:rPr>
                <w:rFonts w:ascii="Courier New" w:cs="Courier New" w:eastAsia="Courier New" w:hAnsi="Courier New"/>
                <w:sz w:val="18"/>
                <w:szCs w:val="18"/>
                <w:color w:val="auto"/>
              </w:rPr>
              <w:t>1,611,260</w:t>
            </w:r>
          </w:p>
        </w:tc>
        <w:tc>
          <w:tcPr>
            <w:tcW w:w="0" w:type="dxa"/>
            <w:vAlign w:val="bottom"/>
          </w:tcPr>
          <w:p>
            <w:pPr>
              <w:spacing w:after="0"/>
              <w:rPr>
                <w:sz w:val="1"/>
                <w:szCs w:val="1"/>
                <w:color w:val="auto"/>
              </w:rPr>
            </w:pPr>
          </w:p>
        </w:tc>
      </w:tr>
      <w:tr>
        <w:trPr>
          <w:trHeight w:val="203"/>
        </w:trPr>
        <w:tc>
          <w:tcPr>
            <w:tcW w:w="300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20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2040" w:type="dxa"/>
            <w:vAlign w:val="bottom"/>
          </w:tcPr>
          <w:p>
            <w:pPr>
              <w:jc w:val="right"/>
              <w:spacing w:after="0"/>
              <w:rPr>
                <w:sz w:val="20"/>
                <w:szCs w:val="20"/>
                <w:color w:val="auto"/>
              </w:rPr>
            </w:pPr>
            <w:r>
              <w:rPr>
                <w:rFonts w:ascii="Courier New" w:cs="Courier New" w:eastAsia="Courier New" w:hAnsi="Courier New"/>
                <w:sz w:val="16"/>
                <w:szCs w:val="16"/>
                <w:color w:val="auto"/>
                <w:w w:val="72"/>
              </w:rPr>
              <w:t>-----------------------------</w:t>
            </w:r>
          </w:p>
        </w:tc>
        <w:tc>
          <w:tcPr>
            <w:tcW w:w="540" w:type="dxa"/>
            <w:vAlign w:val="bottom"/>
            <w:vMerge w:val="restart"/>
          </w:tcPr>
          <w:p>
            <w:pPr>
              <w:spacing w:after="0"/>
              <w:rPr>
                <w:sz w:val="20"/>
                <w:szCs w:val="20"/>
                <w:color w:val="auto"/>
              </w:rPr>
            </w:pPr>
            <w:r>
              <w:rPr>
                <w:rFonts w:ascii="Courier New" w:cs="Courier New" w:eastAsia="Courier New" w:hAnsi="Courier New"/>
                <w:sz w:val="18"/>
                <w:szCs w:val="18"/>
                <w:color w:val="auto"/>
              </w:rPr>
              <w:t>7.</w:t>
            </w:r>
          </w:p>
        </w:tc>
        <w:tc>
          <w:tcPr>
            <w:tcW w:w="2620" w:type="dxa"/>
            <w:vAlign w:val="bottom"/>
            <w:vMerge w:val="restart"/>
          </w:tcPr>
          <w:p>
            <w:pPr>
              <w:ind w:left="320"/>
              <w:spacing w:after="0"/>
              <w:rPr>
                <w:sz w:val="20"/>
                <w:szCs w:val="20"/>
                <w:color w:val="auto"/>
              </w:rPr>
            </w:pPr>
            <w:r>
              <w:rPr>
                <w:rFonts w:ascii="Courier New" w:cs="Courier New" w:eastAsia="Courier New" w:hAnsi="Courier New"/>
                <w:sz w:val="18"/>
                <w:szCs w:val="18"/>
                <w:color w:val="auto"/>
                <w:w w:val="95"/>
              </w:rPr>
              <w:t>Sole Dispositive Power</w:t>
            </w:r>
          </w:p>
        </w:tc>
        <w:tc>
          <w:tcPr>
            <w:tcW w:w="0" w:type="dxa"/>
            <w:vAlign w:val="bottom"/>
          </w:tcPr>
          <w:p>
            <w:pPr>
              <w:spacing w:after="0"/>
              <w:rPr>
                <w:sz w:val="1"/>
                <w:szCs w:val="1"/>
                <w:color w:val="auto"/>
              </w:rPr>
            </w:pPr>
          </w:p>
        </w:tc>
      </w:tr>
      <w:tr>
        <w:trPr>
          <w:trHeight w:val="203"/>
        </w:trPr>
        <w:tc>
          <w:tcPr>
            <w:tcW w:w="300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Reporting</w:t>
            </w:r>
          </w:p>
        </w:tc>
        <w:tc>
          <w:tcPr>
            <w:tcW w:w="2040" w:type="dxa"/>
            <w:vAlign w:val="bottom"/>
          </w:tcPr>
          <w:p>
            <w:pPr>
              <w:spacing w:after="0"/>
              <w:rPr>
                <w:sz w:val="17"/>
                <w:szCs w:val="17"/>
                <w:color w:val="auto"/>
              </w:rPr>
            </w:pPr>
          </w:p>
        </w:tc>
        <w:tc>
          <w:tcPr>
            <w:tcW w:w="540" w:type="dxa"/>
            <w:vAlign w:val="bottom"/>
            <w:vMerge w:val="continue"/>
          </w:tcPr>
          <w:p>
            <w:pPr>
              <w:spacing w:after="0"/>
              <w:rPr>
                <w:sz w:val="17"/>
                <w:szCs w:val="17"/>
                <w:color w:val="auto"/>
              </w:rPr>
            </w:pPr>
          </w:p>
        </w:tc>
        <w:tc>
          <w:tcPr>
            <w:tcW w:w="2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000" w:type="dxa"/>
            <w:vAlign w:val="bottom"/>
          </w:tcPr>
          <w:p>
            <w:pPr>
              <w:spacing w:after="0"/>
              <w:rPr>
                <w:sz w:val="20"/>
                <w:szCs w:val="20"/>
                <w:color w:val="auto"/>
              </w:rPr>
            </w:pPr>
            <w:r>
              <w:rPr>
                <w:rFonts w:ascii="Courier New" w:cs="Courier New" w:eastAsia="Courier New" w:hAnsi="Courier New"/>
                <w:sz w:val="18"/>
                <w:szCs w:val="18"/>
                <w:color w:val="auto"/>
              </w:rPr>
              <w:t>person</w:t>
            </w:r>
          </w:p>
        </w:tc>
        <w:tc>
          <w:tcPr>
            <w:tcW w:w="2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921" w:orient="portrait"/>
          <w:cols w:equalWidth="0" w:num="1">
            <w:col w:w="10219"/>
          </w:cols>
          <w:pgMar w:left="240" w:top="420" w:right="1440" w:bottom="0" w:gutter="0" w:footer="0" w:header="0"/>
          <w:type w:val="continuous"/>
        </w:sectPr>
      </w:pPr>
    </w:p>
    <w:bookmarkStart w:id="1" w:name="page2"/>
    <w:bookmarkEnd w:id="1"/>
    <w:p>
      <w:pPr>
        <w:spacing w:after="0" w:line="52" w:lineRule="exact"/>
        <w:rPr>
          <w:sz w:val="20"/>
          <w:szCs w:val="20"/>
          <w:color w:val="auto"/>
        </w:rPr>
      </w:pPr>
    </w:p>
    <w:p>
      <w:pPr>
        <w:ind w:left="860"/>
        <w:spacing w:after="0"/>
        <w:tabs>
          <w:tab w:leader="none" w:pos="5880" w:val="left"/>
        </w:tabs>
        <w:rPr>
          <w:sz w:val="20"/>
          <w:szCs w:val="20"/>
          <w:color w:val="auto"/>
        </w:rPr>
      </w:pPr>
      <w:r>
        <w:rPr>
          <w:rFonts w:ascii="Courier New" w:cs="Courier New" w:eastAsia="Courier New" w:hAnsi="Courier New"/>
          <w:sz w:val="18"/>
          <w:szCs w:val="18"/>
          <w:color w:val="auto"/>
        </w:rPr>
        <w:t>with</w:t>
      </w:r>
      <w:r>
        <w:rPr>
          <w:sz w:val="20"/>
          <w:szCs w:val="20"/>
          <w:color w:val="auto"/>
        </w:rPr>
        <w:tab/>
      </w:r>
      <w:r>
        <w:rPr>
          <w:rFonts w:ascii="Courier New" w:cs="Courier New" w:eastAsia="Courier New" w:hAnsi="Courier New"/>
          <w:sz w:val="18"/>
          <w:szCs w:val="18"/>
          <w:color w:val="auto"/>
        </w:rPr>
        <w:t>0</w:t>
      </w:r>
    </w:p>
    <w:p>
      <w:pPr>
        <w:spacing w:after="0" w:line="29" w:lineRule="exact"/>
        <w:rPr>
          <w:sz w:val="20"/>
          <w:szCs w:val="20"/>
          <w:color w:val="auto"/>
        </w:rPr>
      </w:pPr>
    </w:p>
    <w:p>
      <w:pPr>
        <w:ind w:left="5900"/>
        <w:spacing w:after="0"/>
        <w:rPr>
          <w:sz w:val="20"/>
          <w:szCs w:val="20"/>
          <w:color w:val="auto"/>
        </w:rPr>
      </w:pPr>
      <w:r>
        <w:rPr>
          <w:rFonts w:ascii="Courier New" w:cs="Courier New" w:eastAsia="Courier New" w:hAnsi="Courier New"/>
          <w:sz w:val="18"/>
          <w:szCs w:val="18"/>
          <w:color w:val="auto"/>
        </w:rPr>
        <w:t>-----------------------------</w:t>
      </w:r>
    </w:p>
    <w:p>
      <w:pPr>
        <w:spacing w:after="0"/>
        <w:tabs>
          <w:tab w:leader="none" w:pos="840" w:val="left"/>
        </w:tabs>
        <w:rPr>
          <w:sz w:val="20"/>
          <w:szCs w:val="20"/>
          <w:color w:val="auto"/>
        </w:rPr>
      </w:pPr>
      <w:r>
        <w:rPr>
          <w:rFonts w:ascii="Courier New" w:cs="Courier New" w:eastAsia="Courier New" w:hAnsi="Courier New"/>
          <w:sz w:val="18"/>
          <w:szCs w:val="18"/>
          <w:color w:val="auto"/>
        </w:rPr>
        <w:t>8.</w:t>
      </w:r>
      <w:r>
        <w:rPr>
          <w:sz w:val="20"/>
          <w:szCs w:val="20"/>
          <w:color w:val="auto"/>
        </w:rPr>
        <w:tab/>
      </w:r>
      <w:r>
        <w:rPr>
          <w:rFonts w:ascii="Courier New" w:cs="Courier New" w:eastAsia="Courier New" w:hAnsi="Courier New"/>
          <w:sz w:val="16"/>
          <w:szCs w:val="16"/>
          <w:color w:val="auto"/>
        </w:rPr>
        <w:t>Shared Dispositive Power</w:t>
      </w:r>
    </w:p>
    <w:p>
      <w:pPr>
        <w:ind w:left="6760"/>
        <w:spacing w:after="0"/>
        <w:rPr>
          <w:sz w:val="20"/>
          <w:szCs w:val="20"/>
          <w:color w:val="auto"/>
        </w:rPr>
      </w:pPr>
      <w:r>
        <w:rPr>
          <w:rFonts w:ascii="Courier New" w:cs="Courier New" w:eastAsia="Courier New" w:hAnsi="Courier New"/>
          <w:sz w:val="18"/>
          <w:szCs w:val="18"/>
          <w:color w:val="auto"/>
        </w:rPr>
        <w:t>2,036,750</w:t>
      </w:r>
    </w:p>
    <w:p>
      <w:pPr>
        <w:spacing w:after="0" w:line="238" w:lineRule="auto"/>
        <w:rPr>
          <w:sz w:val="20"/>
          <w:szCs w:val="20"/>
          <w:color w:val="auto"/>
        </w:rPr>
      </w:pPr>
      <w:r>
        <w:rPr>
          <w:rFonts w:ascii="Courier New" w:cs="Courier New" w:eastAsia="Courier New" w:hAnsi="Courier New"/>
          <w:sz w:val="18"/>
          <w:szCs w:val="18"/>
          <w:color w:val="auto"/>
        </w:rPr>
        <w:t>- ---------------------------------------------------------------</w:t>
      </w:r>
    </w:p>
    <w:p>
      <w:pPr>
        <w:ind w:left="860" w:hanging="852"/>
        <w:spacing w:after="0"/>
        <w:tabs>
          <w:tab w:leader="none" w:pos="8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169"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2,036,750</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ind w:left="860" w:hanging="852"/>
        <w:spacing w:after="0"/>
        <w:tabs>
          <w:tab w:leader="none" w:pos="8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includes certain shares*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9" w:lineRule="exact"/>
        <w:rPr>
          <w:sz w:val="20"/>
          <w:szCs w:val="20"/>
          <w:color w:val="auto"/>
        </w:rPr>
      </w:pPr>
    </w:p>
    <w:p>
      <w:pPr>
        <w:ind w:left="860" w:hanging="852"/>
        <w:spacing w:after="0"/>
        <w:tabs>
          <w:tab w:leader="none" w:pos="8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ind w:left="860"/>
        <w:spacing w:after="0" w:line="238" w:lineRule="auto"/>
        <w:rPr>
          <w:sz w:val="20"/>
          <w:szCs w:val="20"/>
          <w:color w:val="auto"/>
        </w:rPr>
      </w:pPr>
      <w:r>
        <w:rPr>
          <w:rFonts w:ascii="Courier New" w:cs="Courier New" w:eastAsia="Courier New" w:hAnsi="Courier New"/>
          <w:sz w:val="18"/>
          <w:szCs w:val="18"/>
          <w:color w:val="auto"/>
        </w:rPr>
        <w:t>10.01%</w:t>
      </w:r>
    </w:p>
    <w:p>
      <w:pPr>
        <w:spacing w:after="0"/>
        <w:rPr>
          <w:sz w:val="20"/>
          <w:szCs w:val="20"/>
          <w:color w:val="auto"/>
        </w:rPr>
      </w:pPr>
      <w:r>
        <w:rPr>
          <w:rFonts w:ascii="Courier New" w:cs="Courier New" w:eastAsia="Courier New" w:hAnsi="Courier New"/>
          <w:sz w:val="18"/>
          <w:szCs w:val="18"/>
          <w:color w:val="auto"/>
        </w:rPr>
        <w:t>- ----------------------------------------------------------------</w:t>
      </w:r>
    </w:p>
    <w:p>
      <w:pPr>
        <w:ind w:left="860" w:hanging="852"/>
        <w:spacing w:after="0" w:line="238" w:lineRule="auto"/>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2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IAHC</w:t>
      </w:r>
    </w:p>
    <w:p>
      <w:pPr>
        <w:spacing w:after="0" w:line="372" w:lineRule="exact"/>
        <w:rPr>
          <w:sz w:val="20"/>
          <w:szCs w:val="20"/>
          <w:color w:val="auto"/>
        </w:rPr>
      </w:pPr>
    </w:p>
    <w:p>
      <w:pPr>
        <w:spacing w:after="0"/>
        <w:tabs>
          <w:tab w:leader="none" w:pos="8420" w:val="left"/>
          <w:tab w:leader="none" w:pos="10100" w:val="left"/>
        </w:tabs>
        <w:rPr>
          <w:sz w:val="20"/>
          <w:szCs w:val="20"/>
          <w:color w:val="auto"/>
        </w:rPr>
      </w:pPr>
      <w:r>
        <w:rPr>
          <w:rFonts w:ascii="Courier New" w:cs="Courier New" w:eastAsia="Courier New" w:hAnsi="Courier New"/>
          <w:sz w:val="18"/>
          <w:szCs w:val="18"/>
          <w:color w:val="auto"/>
        </w:rPr>
        <w:t>Page 3 of 4 Pages</w:t>
      </w:r>
      <w:r>
        <w:rPr>
          <w:sz w:val="20"/>
          <w:szCs w:val="20"/>
          <w:color w:val="auto"/>
        </w:rPr>
        <w:tab/>
      </w:r>
      <w:r>
        <w:rPr>
          <w:rFonts w:ascii="Courier New" w:cs="Courier New" w:eastAsia="Courier New" w:hAnsi="Courier New"/>
          <w:sz w:val="18"/>
          <w:szCs w:val="18"/>
          <w:color w:val="auto"/>
        </w:rPr>
        <w:t>Cusip #:</w:t>
      </w:r>
      <w:r>
        <w:rPr>
          <w:sz w:val="20"/>
          <w:szCs w:val="20"/>
          <w:color w:val="auto"/>
        </w:rPr>
        <w:tab/>
      </w:r>
      <w:r>
        <w:rPr>
          <w:rFonts w:ascii="Courier New" w:cs="Courier New" w:eastAsia="Courier New" w:hAnsi="Courier New"/>
          <w:sz w:val="16"/>
          <w:szCs w:val="16"/>
          <w:color w:val="auto"/>
        </w:rPr>
        <w:t>21079530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CONTINENTAL AIRLINES</w:t>
      </w:r>
    </w:p>
    <w:p>
      <w:pPr>
        <w:spacing w:after="0" w:line="20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2929 Allen Parkway</w:t>
      </w:r>
    </w:p>
    <w:p>
      <w:pPr>
        <w:spacing w:after="0" w:line="31" w:lineRule="exact"/>
        <w:rPr>
          <w:sz w:val="20"/>
          <w:szCs w:val="20"/>
          <w:color w:val="auto"/>
        </w:rPr>
      </w:pPr>
    </w:p>
    <w:p>
      <w:pPr>
        <w:ind w:left="860"/>
        <w:spacing w:after="0"/>
        <w:tabs>
          <w:tab w:leader="none" w:pos="2520" w:val="left"/>
        </w:tabs>
        <w:rPr>
          <w:sz w:val="20"/>
          <w:szCs w:val="20"/>
          <w:color w:val="auto"/>
        </w:rPr>
      </w:pPr>
      <w:r>
        <w:rPr>
          <w:rFonts w:ascii="Courier New" w:cs="Courier New" w:eastAsia="Courier New" w:hAnsi="Courier New"/>
          <w:sz w:val="18"/>
          <w:szCs w:val="18"/>
          <w:color w:val="auto"/>
        </w:rPr>
        <w:t>Houston, Texas</w:t>
      </w:r>
      <w:r>
        <w:rPr>
          <w:sz w:val="20"/>
          <w:szCs w:val="20"/>
          <w:color w:val="auto"/>
        </w:rPr>
        <w:tab/>
      </w:r>
      <w:r>
        <w:rPr>
          <w:rFonts w:ascii="Courier New" w:cs="Courier New" w:eastAsia="Courier New" w:hAnsi="Courier New"/>
          <w:sz w:val="16"/>
          <w:szCs w:val="16"/>
          <w:color w:val="auto"/>
        </w:rPr>
        <w:t>77019</w:t>
      </w:r>
    </w:p>
    <w:p>
      <w:pPr>
        <w:spacing w:after="0" w:line="16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Wellington Management Company ("WMC")</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75 State Street</w:t>
      </w:r>
    </w:p>
    <w:p>
      <w:pPr>
        <w:spacing w:after="0" w:line="31" w:lineRule="exact"/>
        <w:rPr>
          <w:sz w:val="20"/>
          <w:szCs w:val="20"/>
          <w:color w:val="auto"/>
        </w:rPr>
      </w:pPr>
    </w:p>
    <w:p>
      <w:pPr>
        <w:ind w:left="860"/>
        <w:spacing w:after="0"/>
        <w:tabs>
          <w:tab w:leader="none" w:pos="3260" w:val="left"/>
        </w:tabs>
        <w:rPr>
          <w:sz w:val="20"/>
          <w:szCs w:val="20"/>
          <w:color w:val="auto"/>
        </w:rPr>
      </w:pPr>
      <w:r>
        <w:rPr>
          <w:rFonts w:ascii="Courier New" w:cs="Courier New" w:eastAsia="Courier New" w:hAnsi="Courier New"/>
          <w:sz w:val="18"/>
          <w:szCs w:val="18"/>
          <w:color w:val="auto"/>
        </w:rPr>
        <w:t>Boston, Massachusetts</w:t>
      </w:r>
      <w:r>
        <w:rPr>
          <w:sz w:val="20"/>
          <w:szCs w:val="20"/>
          <w:color w:val="auto"/>
        </w:rPr>
        <w:tab/>
      </w:r>
      <w:r>
        <w:rPr>
          <w:rFonts w:ascii="Courier New" w:cs="Courier New" w:eastAsia="Courier New" w:hAnsi="Courier New"/>
          <w:sz w:val="16"/>
          <w:szCs w:val="16"/>
          <w:color w:val="auto"/>
        </w:rPr>
        <w:t>02109</w:t>
      </w:r>
    </w:p>
    <w:p>
      <w:pPr>
        <w:spacing w:after="0" w:line="16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Item 4 of Cover Page</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Cover Page</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21079530</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TYPE OF REPORTING PERSON:</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See Item 12 of Cover Page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ind w:right="3580" w:firstLine="8"/>
        <w:spacing w:after="0" w:line="289" w:lineRule="auto"/>
        <w:tabs>
          <w:tab w:leader="none" w:pos="843"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WMC, in its capacity as investment adviser, may be deemed the beneficial owner of 2,036,750 shares</w:t>
      </w:r>
    </w:p>
    <w:p>
      <w:pPr>
        <w:ind w:right="4940"/>
        <w:spacing w:after="0" w:line="309"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 common stock of the Issuer which are owned by numerous investment counselling clients.</w:t>
      </w:r>
    </w:p>
    <w:p>
      <w:pPr>
        <w:spacing w:after="0" w:line="51" w:lineRule="exact"/>
        <w:rPr>
          <w:sz w:val="20"/>
          <w:szCs w:val="20"/>
          <w:color w:val="auto"/>
        </w:rPr>
      </w:pPr>
    </w:p>
    <w:p>
      <w:pPr>
        <w:spacing w:after="0"/>
        <w:tabs>
          <w:tab w:leader="none" w:pos="840" w:val="left"/>
          <w:tab w:leader="none" w:pos="420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PERCENT OF CLASS:</w:t>
      </w:r>
      <w:r>
        <w:rPr>
          <w:sz w:val="20"/>
          <w:szCs w:val="20"/>
          <w:color w:val="auto"/>
        </w:rPr>
        <w:tab/>
      </w:r>
      <w:r>
        <w:rPr>
          <w:rFonts w:ascii="Courier New" w:cs="Courier New" w:eastAsia="Courier New" w:hAnsi="Courier New"/>
          <w:sz w:val="16"/>
          <w:szCs w:val="16"/>
          <w:color w:val="auto"/>
        </w:rPr>
        <w:t>10.01%</w:t>
      </w:r>
    </w:p>
    <w:p>
      <w:pPr>
        <w:spacing w:after="0" w:line="201" w:lineRule="exact"/>
        <w:rPr>
          <w:sz w:val="20"/>
          <w:szCs w:val="20"/>
          <w:color w:val="auto"/>
        </w:rPr>
      </w:pPr>
    </w:p>
    <w:p>
      <w:pPr>
        <w:ind w:right="3060" w:firstLine="8"/>
        <w:spacing w:after="0" w:line="347" w:lineRule="auto"/>
        <w:tabs>
          <w:tab w:leader="none" w:pos="843"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information on voting and dispositive power with respect to the above listed shares, see Items 5 - 8 of Cover Page.</w:t>
      </w:r>
    </w:p>
    <w:p>
      <w:pPr>
        <w:spacing w:after="0" w:line="221" w:lineRule="exact"/>
        <w:rPr>
          <w:sz w:val="20"/>
          <w:szCs w:val="20"/>
          <w:color w:val="auto"/>
        </w:rPr>
      </w:pPr>
    </w:p>
    <w:p>
      <w:pPr>
        <w:spacing w:after="0"/>
        <w:tabs>
          <w:tab w:leader="none" w:pos="8420" w:val="left"/>
          <w:tab w:leader="none" w:pos="10100" w:val="left"/>
        </w:tabs>
        <w:rPr>
          <w:sz w:val="20"/>
          <w:szCs w:val="20"/>
          <w:color w:val="auto"/>
        </w:rPr>
      </w:pPr>
      <w:r>
        <w:rPr>
          <w:rFonts w:ascii="Courier New" w:cs="Courier New" w:eastAsia="Courier New" w:hAnsi="Courier New"/>
          <w:sz w:val="18"/>
          <w:szCs w:val="18"/>
          <w:color w:val="auto"/>
        </w:rPr>
        <w:t>Page 4 of 4 Pages</w:t>
      </w:r>
      <w:r>
        <w:rPr>
          <w:sz w:val="20"/>
          <w:szCs w:val="20"/>
          <w:color w:val="auto"/>
        </w:rPr>
        <w:tab/>
      </w:r>
      <w:r>
        <w:rPr>
          <w:rFonts w:ascii="Courier New" w:cs="Courier New" w:eastAsia="Courier New" w:hAnsi="Courier New"/>
          <w:sz w:val="18"/>
          <w:szCs w:val="18"/>
          <w:color w:val="auto"/>
        </w:rPr>
        <w:t>Cusip #:</w:t>
      </w:r>
      <w:r>
        <w:rPr>
          <w:sz w:val="20"/>
          <w:szCs w:val="20"/>
          <w:color w:val="auto"/>
        </w:rPr>
        <w:tab/>
      </w:r>
      <w:r>
        <w:rPr>
          <w:rFonts w:ascii="Courier New" w:cs="Courier New" w:eastAsia="Courier New" w:hAnsi="Courier New"/>
          <w:sz w:val="16"/>
          <w:szCs w:val="16"/>
          <w:color w:val="auto"/>
        </w:rPr>
        <w:t>21079530</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ind w:right="3900"/>
        <w:spacing w:after="0" w:line="344" w:lineRule="auto"/>
        <w:rPr>
          <w:sz w:val="20"/>
          <w:szCs w:val="20"/>
          <w:color w:val="auto"/>
        </w:rPr>
      </w:pPr>
      <w:r>
        <w:rPr>
          <w:rFonts w:ascii="Courier New" w:cs="Courier New" w:eastAsia="Courier New" w:hAnsi="Courier New"/>
          <w:sz w:val="16"/>
          <w:szCs w:val="16"/>
          <w:color w:val="auto"/>
        </w:rPr>
        <w:t>Shares as to which this Schedule is filed are owned by a variety of investment advisory clients of the person filing this Schedule, which clients receive dividends and the proceeds from the sale of</w:t>
      </w:r>
    </w:p>
    <w:p>
      <w:pPr>
        <w:sectPr>
          <w:pgSz w:w="11900" w:h="16891" w:orient="portrait"/>
          <w:cols w:equalWidth="0" w:num="1">
            <w:col w:w="10960"/>
          </w:cols>
          <w:pgMar w:left="240" w:top="110" w:right="699" w:bottom="0" w:gutter="0" w:footer="0" w:header="0"/>
        </w:sectPr>
      </w:pPr>
    </w:p>
    <w:bookmarkStart w:id="2" w:name="page3"/>
    <w:bookmarkEnd w:id="2"/>
    <w:p>
      <w:pPr>
        <w:ind w:right="3359"/>
        <w:spacing w:after="0" w:line="402" w:lineRule="auto"/>
        <w:rPr>
          <w:sz w:val="20"/>
          <w:szCs w:val="20"/>
          <w:color w:val="auto"/>
        </w:rPr>
      </w:pPr>
      <w:r>
        <w:rPr>
          <w:rFonts w:ascii="Courier New" w:cs="Courier New" w:eastAsia="Courier New" w:hAnsi="Courier New"/>
          <w:sz w:val="16"/>
          <w:szCs w:val="16"/>
          <w:color w:val="auto"/>
        </w:rPr>
        <w:t>such shares. No such client is known to have such interest with respect to more than five percent of the class except as follows:</w:t>
      </w:r>
    </w:p>
    <w:p>
      <w:pPr>
        <w:spacing w:after="0" w:line="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IDENTIFICATION AND CLASSIFICATION OF THE SUBSIDIARY WHICH</w:t>
      </w:r>
    </w:p>
    <w:p>
      <w:pPr>
        <w:spacing w:after="0" w:line="31"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ACQUIRED THE SECURITY BEING REPORTED ON BY THE PARENT HOLDING</w:t>
      </w:r>
    </w:p>
    <w:p>
      <w:pPr>
        <w:spacing w:after="0" w:line="2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COMPANY: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Wellington Trust Company, N.A. (BK)</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signing below, I certify that, to the best of my knowledge</w:t>
      </w:r>
    </w:p>
    <w:p>
      <w:pPr>
        <w:spacing w:after="0" w:line="31" w:lineRule="exact"/>
        <w:rPr>
          <w:sz w:val="20"/>
          <w:szCs w:val="20"/>
          <w:color w:val="auto"/>
        </w:rPr>
      </w:pPr>
    </w:p>
    <w:p>
      <w:pPr>
        <w:ind w:right="3039"/>
        <w:spacing w:after="0" w:line="252" w:lineRule="auto"/>
        <w:rPr>
          <w:sz w:val="20"/>
          <w:szCs w:val="20"/>
          <w:color w:val="auto"/>
        </w:rPr>
      </w:pPr>
      <w:r>
        <w:rPr>
          <w:rFonts w:ascii="Courier New" w:cs="Courier New" w:eastAsia="Courier New" w:hAnsi="Courier New"/>
          <w:sz w:val="18"/>
          <w:szCs w:val="18"/>
          <w:color w:val="auto"/>
        </w:rPr>
        <w:t>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25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ind w:left="1700"/>
        <w:spacing w:after="0"/>
        <w:tabs>
          <w:tab w:leader="none" w:pos="420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JANUARY 24, 1995</w:t>
      </w:r>
    </w:p>
    <w:p>
      <w:pPr>
        <w:spacing w:after="0" w:line="29"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Signature: --//Leslie A. Meinhart//</w:t>
      </w:r>
    </w:p>
    <w:p>
      <w:pPr>
        <w:ind w:left="1700"/>
        <w:spacing w:after="0"/>
        <w:tabs>
          <w:tab w:leader="none" w:pos="3040" w:val="left"/>
        </w:tabs>
        <w:rPr>
          <w:sz w:val="20"/>
          <w:szCs w:val="20"/>
          <w:color w:val="auto"/>
        </w:rPr>
      </w:pPr>
      <w:r>
        <w:rPr>
          <w:rFonts w:ascii="Courier New" w:cs="Courier New" w:eastAsia="Courier New" w:hAnsi="Courier New"/>
          <w:sz w:val="18"/>
          <w:szCs w:val="18"/>
          <w:color w:val="auto"/>
        </w:rPr>
        <w:t>Name/Title:</w:t>
      </w:r>
      <w:r>
        <w:rPr>
          <w:sz w:val="20"/>
          <w:szCs w:val="20"/>
          <w:color w:val="auto"/>
        </w:rPr>
        <w:tab/>
      </w:r>
      <w:r>
        <w:rPr>
          <w:rFonts w:ascii="Courier New" w:cs="Courier New" w:eastAsia="Courier New" w:hAnsi="Courier New"/>
          <w:sz w:val="16"/>
          <w:szCs w:val="16"/>
          <w:color w:val="auto"/>
        </w:rPr>
        <w:t>LESLIE A. MEINHART</w:t>
      </w:r>
    </w:p>
    <w:p>
      <w:pPr>
        <w:ind w:left="3380"/>
        <w:spacing w:after="0"/>
        <w:rPr>
          <w:sz w:val="20"/>
          <w:szCs w:val="20"/>
          <w:color w:val="auto"/>
        </w:rPr>
      </w:pPr>
      <w:r>
        <w:rPr>
          <w:rFonts w:ascii="Courier New" w:cs="Courier New" w:eastAsia="Courier New" w:hAnsi="Courier New"/>
          <w:sz w:val="18"/>
          <w:szCs w:val="18"/>
          <w:color w:val="auto"/>
        </w:rPr>
        <w:t>Senior Regulatory Analyst</w:t>
      </w:r>
    </w:p>
    <w:sectPr>
      <w:pgSz w:w="11900" w:h="16838" w:orient="portrait"/>
      <w:cols w:equalWidth="0" w:num="1">
        <w:col w:w="10219"/>
      </w:cols>
      <w:pgMar w:left="24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1."/>
      <w:numFmt w:val="decimal"/>
      <w:start w:val="1"/>
    </w:lvl>
    <w:lvl w:ilvl="1">
      <w:lvlJc w:val="left"/>
      <w:lvlText w:val="%2"/>
      <w:numFmt w:val="upperLetter"/>
      <w:start w:val="1"/>
    </w:lvl>
  </w:abstractNum>
  <w:abstractNum w:abstractNumId="5">
    <w:nsid w:val="216231B"/>
    <w:multiLevelType w:val="hybridMultilevel"/>
    <w:lvl w:ilvl="0">
      <w:lvlJc w:val="left"/>
      <w:lvlText w:val="%1."/>
      <w:numFmt w:val="decimal"/>
      <w:start w:val="2"/>
    </w:lvl>
  </w:abstractNum>
  <w:abstractNum w:abstractNumId="6">
    <w:nsid w:val="1F16E9E8"/>
    <w:multiLevelType w:val="hybridMultilevel"/>
    <w:lvl w:ilvl="0">
      <w:lvlJc w:val="left"/>
      <w:lvlText w:val="%1."/>
      <w:numFmt w:val="decimal"/>
      <w:start w:val="3"/>
    </w:lvl>
  </w:abstractNum>
  <w:abstractNum w:abstractNumId="7">
    <w:nsid w:val="1190CDE7"/>
    <w:multiLevelType w:val="hybridMultilevel"/>
    <w:lvl w:ilvl="0">
      <w:lvlJc w:val="left"/>
      <w:lvlText w:val="%1."/>
      <w:numFmt w:val="decimal"/>
      <w:start w:val="4"/>
    </w:lvl>
  </w:abstractNum>
  <w:abstractNum w:abstractNumId="8">
    <w:nsid w:val="66EF438D"/>
    <w:multiLevelType w:val="hybridMultilevel"/>
    <w:lvl w:ilvl="0">
      <w:lvlJc w:val="left"/>
      <w:lvlText w:val="-"/>
      <w:numFmt w:val="bullet"/>
      <w:start w:val="1"/>
    </w:lvl>
    <w:lvl w:ilvl="1">
      <w:lvlJc w:val="left"/>
      <w:lvlText w:val="%2."/>
      <w:numFmt w:val="decimal"/>
      <w:start w:val="5"/>
    </w:lvl>
  </w:abstractNum>
  <w:abstractNum w:abstractNumId="9">
    <w:nsid w:val="140E0F76"/>
    <w:multiLevelType w:val="hybridMultilevel"/>
    <w:lvl w:ilvl="0">
      <w:lvlJc w:val="left"/>
      <w:lvlText w:val="%1."/>
      <w:numFmt w:val="decimal"/>
      <w:start w:val="9"/>
    </w:lvl>
  </w:abstractNum>
  <w:abstractNum w:abstractNumId="10">
    <w:nsid w:val="3352255A"/>
    <w:multiLevelType w:val="hybridMultilevel"/>
    <w:lvl w:ilvl="0">
      <w:lvlJc w:val="left"/>
      <w:lvlText w:val="%1."/>
      <w:numFmt w:val="decimal"/>
      <w:start w:val="10"/>
    </w:lvl>
  </w:abstractNum>
  <w:abstractNum w:abstractNumId="11">
    <w:nsid w:val="109CF92E"/>
    <w:multiLevelType w:val="hybridMultilevel"/>
    <w:lvl w:ilvl="0">
      <w:lvlJc w:val="left"/>
      <w:lvlText w:val="%1."/>
      <w:numFmt w:val="decimal"/>
      <w:start w:val="11"/>
    </w:lvl>
  </w:abstractNum>
  <w:abstractNum w:abstractNumId="12">
    <w:nsid w:val="DED7263"/>
    <w:multiLevelType w:val="hybridMultilevel"/>
    <w:lvl w:ilvl="0">
      <w:lvlJc w:val="left"/>
      <w:lvlText w:val="%1."/>
      <w:numFmt w:val="decimal"/>
      <w:start w:val="12"/>
    </w:lvl>
  </w:abstractNum>
  <w:abstractNum w:abstractNumId="13">
    <w:nsid w:val="7FDCC233"/>
    <w:multiLevelType w:val="hybridMultilevel"/>
    <w:lvl w:ilvl="0">
      <w:lvlJc w:val="left"/>
      <w:lvlText w:val="(%1)"/>
      <w:numFmt w:val="lowerLetter"/>
      <w:start w:val="1"/>
    </w:lvl>
  </w:abstractNum>
  <w:abstractNum w:abstractNumId="14">
    <w:nsid w:val="1BEFD79F"/>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2019-12-13T10:10:02Z</dcterms:created>
  <dcterms:modified xsi:type="dcterms:W3CDTF">2019-12-13T10:10:02Z</dcterms:modified>
</cp:coreProperties>
</file>