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001-06033</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36-2675207</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11" w:lineRule="exact"/>
        <w:rPr>
          <w:sz w:val="24"/>
          <w:szCs w:val="24"/>
          <w:color w:val="auto"/>
        </w:rPr>
      </w:pPr>
    </w:p>
    <w:p>
      <w:pPr>
        <w:sectPr>
          <w:pgSz w:w="11900" w:h="16838" w:orient="portrait"/>
          <w:cols w:equalWidth="0" w:num="3">
            <w:col w:w="4400" w:space="720"/>
            <w:col w:w="2720" w:space="720"/>
            <w:col w:w="2680"/>
          </w:cols>
          <w:pgMar w:left="320" w:top="754"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233 S. Wacker Drive, Chicago, IL</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60606</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(872) 825-4000</w:t>
      </w:r>
    </w:p>
    <w:p>
      <w:pPr>
        <w:sectPr>
          <w:pgSz w:w="11900" w:h="16838" w:orient="portrait"/>
          <w:cols w:equalWidth="0" w:num="1">
            <w:col w:w="11240"/>
          </w:cols>
          <w:pgMar w:left="320" w:top="754" w:right="339" w:bottom="1440" w:gutter="0" w:footer="0" w:header="0"/>
          <w:type w:val="continuous"/>
        </w:sect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52"/>
        </w:trPr>
        <w:tc>
          <w:tcPr>
            <w:tcW w:w="29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2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Airlines Holdings, Inc.</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10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UAL</w:t>
            </w:r>
          </w:p>
        </w:tc>
        <w:tc>
          <w:tcPr>
            <w:tcW w:w="1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Airlines Holdings, Inc.</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Preferred Stock Purchase Rights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None</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its Annual Meeting on May 19, 2026.</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matters submitted to a vote at the Annual Meeting and the voting results of such matters are as follows:</w:t>
      </w:r>
    </w:p>
    <w:p>
      <w:pPr>
        <w:spacing w:after="0" w:line="22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u w:val="single" w:color="auto"/>
          <w:color w:val="auto"/>
        </w:rPr>
        <w:t>Item 1 - Election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Holders of the Company’s common stock elected each of the 11 directors nominated by the Company’s Board of Directors to serve as directors of the Company, each for a term expiring at the annual meeting of stockholders in 2027 and until his or her successor has been elected and qualified or his or her earlier death, resignation or removal, based upon the votes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Nominee</w:t>
            </w:r>
          </w:p>
        </w:tc>
        <w:tc>
          <w:tcPr>
            <w:tcW w:w="20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0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Rosalind Brewer</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242,266,849</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1,840,803</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341,550</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Freyre</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239,934,050</w:t>
            </w:r>
          </w:p>
        </w:tc>
        <w:tc>
          <w:tcPr>
            <w:tcW w:w="240" w:type="dxa"/>
            <w:vAlign w:val="bottom"/>
          </w:tcPr>
          <w:p>
            <w:pPr>
              <w:spacing w:after="0"/>
              <w:rPr>
                <w:sz w:val="18"/>
                <w:szCs w:val="18"/>
                <w:color w:val="auto"/>
              </w:rPr>
            </w:pP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4,168,916</w:t>
            </w:r>
          </w:p>
        </w:tc>
        <w:tc>
          <w:tcPr>
            <w:tcW w:w="22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346,236</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Friend</w:t>
            </w:r>
          </w:p>
        </w:tc>
        <w:tc>
          <w:tcPr>
            <w:tcW w:w="1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242,317,553</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1,763,163</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368,486</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Barney Harford</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239,276,014</w:t>
            </w:r>
          </w:p>
        </w:tc>
        <w:tc>
          <w:tcPr>
            <w:tcW w:w="240" w:type="dxa"/>
            <w:vAlign w:val="bottom"/>
          </w:tcPr>
          <w:p>
            <w:pPr>
              <w:spacing w:after="0"/>
              <w:rPr>
                <w:sz w:val="18"/>
                <w:szCs w:val="18"/>
                <w:color w:val="auto"/>
              </w:rPr>
            </w:pP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4,775,255</w:t>
            </w:r>
          </w:p>
        </w:tc>
        <w:tc>
          <w:tcPr>
            <w:tcW w:w="22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397,933</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Michele J. Hooper</w:t>
            </w:r>
          </w:p>
        </w:tc>
        <w:tc>
          <w:tcPr>
            <w:tcW w:w="1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240,402,186</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3,575,071</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471,945</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Walter Isaacson</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237,664,489</w:t>
            </w:r>
          </w:p>
        </w:tc>
        <w:tc>
          <w:tcPr>
            <w:tcW w:w="240" w:type="dxa"/>
            <w:vAlign w:val="bottom"/>
          </w:tcPr>
          <w:p>
            <w:pPr>
              <w:spacing w:after="0"/>
              <w:rPr>
                <w:sz w:val="18"/>
                <w:szCs w:val="18"/>
                <w:color w:val="auto"/>
              </w:rPr>
            </w:pP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6,420,147</w:t>
            </w:r>
          </w:p>
        </w:tc>
        <w:tc>
          <w:tcPr>
            <w:tcW w:w="22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364,566</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Scott Kirby</w:t>
            </w:r>
          </w:p>
        </w:tc>
        <w:tc>
          <w:tcPr>
            <w:tcW w:w="1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242,054,988</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2,093,592</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300,622</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M. Philip</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225,329,969</w:t>
            </w:r>
          </w:p>
        </w:tc>
        <w:tc>
          <w:tcPr>
            <w:tcW w:w="240" w:type="dxa"/>
            <w:vAlign w:val="bottom"/>
          </w:tcPr>
          <w:p>
            <w:pPr>
              <w:spacing w:after="0"/>
              <w:rPr>
                <w:sz w:val="18"/>
                <w:szCs w:val="18"/>
                <w:color w:val="auto"/>
              </w:rPr>
            </w:pP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18,759,897</w:t>
            </w:r>
          </w:p>
        </w:tc>
        <w:tc>
          <w:tcPr>
            <w:tcW w:w="22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359,336</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L. Shapiro</w:t>
            </w:r>
          </w:p>
        </w:tc>
        <w:tc>
          <w:tcPr>
            <w:tcW w:w="1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241,640,350</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2,416,452</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392,400</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Laysha Ward</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238,502,908</w:t>
            </w:r>
          </w:p>
        </w:tc>
        <w:tc>
          <w:tcPr>
            <w:tcW w:w="240" w:type="dxa"/>
            <w:vAlign w:val="bottom"/>
          </w:tcPr>
          <w:p>
            <w:pPr>
              <w:spacing w:after="0"/>
              <w:rPr>
                <w:sz w:val="18"/>
                <w:szCs w:val="18"/>
                <w:color w:val="auto"/>
              </w:rPr>
            </w:pP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5,411,590</w:t>
            </w:r>
          </w:p>
        </w:tc>
        <w:tc>
          <w:tcPr>
            <w:tcW w:w="22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534,704</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Whitehurst</w:t>
            </w:r>
          </w:p>
        </w:tc>
        <w:tc>
          <w:tcPr>
            <w:tcW w:w="1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238,467,485</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5,605,274</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376,443</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United Airlines Pilots Master Executive Council of the Air Line Pilots Association, International (the “ALPA”), the sole holder of the Company’s Class Pilot MEC Junior Preferred Stock, which provides the ALPA with the right to elect one member to the Company’s Board of Directors at each annual meeting of stockholders of the Company, elected Captain Brian Noyes at the Annual Meeting to serve as a director of the Company for a term expiring at the annual meeting of stockholders in 2027 and until his successor has been elected and qualified or his earlier death, resignation or removal.</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International Association of Machinists and Aerospace Workers (the “IAM”), the sole holder of the Company’s Class IAM Junior Preferred Stock, which provides the IAM with the right to elect one member to the Company’s Board of Directors at each annual meeting of stockholders of the Company, elected Richard Johnsen at the Annual Meeting to serve as a director of the Company for a term expiring at the annual meeting of stockholders in 2027 and until his successor has been elected and qualified or his earlier death, resignation or removal.</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Item 2 - Ratification of Appointment of Independent Registered Public Accounting Firm</w:t>
      </w:r>
      <w:r>
        <w:rPr>
          <w:rFonts w:ascii="Times New Roman" w:cs="Times New Roman" w:eastAsia="Times New Roman" w:hAnsi="Times New Roman"/>
          <w:sz w:val="18"/>
          <w:szCs w:val="18"/>
          <w:color w:val="auto"/>
        </w:rPr>
        <w:t>. The Company’s stockholders ratified the appointment of Ernst &amp; Young LLP to serve as the Company’s independent registered public accounting firm for its fiscal year ending December 31, 2026 based upon the votes set forth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2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8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7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274,851,843</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3,727,562</w:t>
            </w:r>
          </w:p>
        </w:tc>
        <w:tc>
          <w:tcPr>
            <w:tcW w:w="1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659,188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Item 3 - Advisory Vote to Approve Executive Compensation</w:t>
      </w:r>
      <w:r>
        <w:rPr>
          <w:rFonts w:ascii="Times New Roman" w:cs="Times New Roman" w:eastAsia="Times New Roman" w:hAnsi="Times New Roman"/>
          <w:sz w:val="18"/>
          <w:szCs w:val="18"/>
          <w:color w:val="auto"/>
        </w:rPr>
        <w:t>. The Company’s stockholders approved a nonbinding, advisory resolution approving the compensation of the Company’s named executive officers, as set forth in the Proxy Statement, based upon the votes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229,976,500</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13,999,639</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473,063</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u w:val="single" w:color="auto"/>
          <w:color w:val="auto"/>
        </w:rPr>
        <w:t>Item 4 – Stockholder Proposal Regarding Shareholder Right to Act by Written Consent</w:t>
      </w:r>
      <w:r>
        <w:rPr>
          <w:rFonts w:ascii="Times New Roman" w:cs="Times New Roman" w:eastAsia="Times New Roman" w:hAnsi="Times New Roman"/>
          <w:sz w:val="18"/>
          <w:szCs w:val="18"/>
          <w:color w:val="auto"/>
        </w:rPr>
        <w:t>. The Company’s stockholders did not approve a stockholder proposal requesting the ability for shareholders to act by written consent, based upon the votes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94,123,936</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143,564,484</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6,760,782</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34,789,391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items are described in more detail in the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S. Rivkin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S. Rivkin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&amp; Chief Legal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2026-05-22T15:37:52Z</dcterms:created>
  <dcterms:modified xsi:type="dcterms:W3CDTF">2026-05-22T15:37:52Z</dcterms:modified>
</cp:coreProperties>
</file>